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footer4.xml" ContentType="application/vnd.openxmlformats-officedocument.wordprocessingml.foot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6.xml" ContentType="application/vnd.openxmlformats-officedocument.wordprocessingml.footer+xml"/>
  <Override PartName="/word/header33.xml" ContentType="application/vnd.openxmlformats-officedocument.wordprocessingml.header+xml"/>
  <Override PartName="/word/footer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line="3787" w:lineRule="exact"/>
        <w:ind w:left="36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drawing>
          <wp:inline distT="0" distB="0" distL="0" distR="0">
            <wp:extent cx="1632194" cy="24048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32194" cy="2404872"/>
                    </a:xfrm>
                    <a:prstGeom prst="rect">
                      <a:avLst/>
                    </a:prstGeom>
                  </pic:spPr>
                </pic:pic>
              </a:graphicData>
            </a:graphic>
          </wp:inline>
        </w:drawing>
      </w:r>
      <w:r>
        <w:rPr>
          <w:rFonts w:ascii="Times New Roman" w:hAnsi="Times New Roman" w:cs="Times New Roman" w:eastAsia="Times New Roman" w:hint="default"/>
          <w:position w:val="-7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39" w:lineRule="exact" w:before="0"/>
        <w:ind w:left="2744" w:right="2705" w:firstLine="0"/>
        <w:jc w:val="center"/>
        <w:rPr>
          <w:rFonts w:ascii="宋体" w:hAnsi="宋体" w:cs="宋体" w:eastAsia="宋体" w:hint="default"/>
          <w:sz w:val="44"/>
          <w:szCs w:val="44"/>
        </w:rPr>
      </w:pPr>
      <w:r>
        <w:rPr>
          <w:rFonts w:ascii="宋体" w:hAnsi="宋体" w:cs="宋体" w:eastAsia="宋体" w:hint="default"/>
          <w:b/>
          <w:bCs/>
          <w:sz w:val="44"/>
          <w:szCs w:val="44"/>
        </w:rPr>
        <w:t>天舟文化股份有限公司</w:t>
      </w:r>
      <w:r>
        <w:rPr>
          <w:rFonts w:ascii="宋体" w:hAnsi="宋体" w:cs="宋体" w:eastAsia="宋体" w:hint="default"/>
          <w:sz w:val="44"/>
          <w:szCs w:val="44"/>
        </w:rPr>
      </w:r>
    </w:p>
    <w:p>
      <w:pPr>
        <w:spacing w:before="48"/>
        <w:ind w:left="2738" w:right="2705"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2012</w:t>
      </w:r>
      <w:r>
        <w:rPr>
          <w:rFonts w:ascii="Times New Roman" w:hAnsi="Times New Roman" w:cs="Times New Roman" w:eastAsia="Times New Roman" w:hint="default"/>
          <w:b/>
          <w:bCs/>
          <w:spacing w:val="-5"/>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3"/>
        <w:rPr>
          <w:rFonts w:ascii="宋体" w:hAnsi="宋体" w:cs="宋体" w:eastAsia="宋体" w:hint="default"/>
          <w:b/>
          <w:bCs/>
          <w:sz w:val="47"/>
          <w:szCs w:val="47"/>
        </w:rPr>
      </w:pPr>
    </w:p>
    <w:p>
      <w:pPr>
        <w:spacing w:line="360" w:lineRule="auto" w:before="0"/>
        <w:ind w:left="3465" w:right="3428" w:firstLine="2"/>
        <w:jc w:val="center"/>
        <w:rPr>
          <w:rFonts w:ascii="宋体" w:hAnsi="宋体" w:cs="宋体" w:eastAsia="宋体" w:hint="default"/>
          <w:sz w:val="30"/>
          <w:szCs w:val="30"/>
        </w:rPr>
      </w:pPr>
      <w:r>
        <w:rPr>
          <w:rFonts w:ascii="宋体" w:hAnsi="宋体" w:cs="宋体" w:eastAsia="宋体" w:hint="default"/>
          <w:b/>
          <w:bCs/>
          <w:sz w:val="30"/>
          <w:szCs w:val="30"/>
        </w:rPr>
        <w:t>证券代码：</w:t>
      </w:r>
      <w:r>
        <w:rPr>
          <w:rFonts w:ascii="Times New Roman" w:hAnsi="Times New Roman" w:cs="Times New Roman" w:eastAsia="Times New Roman" w:hint="default"/>
          <w:b/>
          <w:bCs/>
          <w:sz w:val="30"/>
          <w:szCs w:val="30"/>
        </w:rPr>
        <w:t>300148 </w:t>
      </w:r>
      <w:r>
        <w:rPr>
          <w:rFonts w:ascii="宋体" w:hAnsi="宋体" w:cs="宋体" w:eastAsia="宋体" w:hint="default"/>
          <w:b/>
          <w:bCs/>
          <w:sz w:val="30"/>
          <w:szCs w:val="30"/>
        </w:rPr>
        <w:t>证券简称：天舟文化</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3"/>
          <w:szCs w:val="23"/>
        </w:rPr>
      </w:pPr>
    </w:p>
    <w:p>
      <w:pPr>
        <w:spacing w:before="0"/>
        <w:ind w:left="2740" w:right="2705" w:firstLine="0"/>
        <w:jc w:val="center"/>
        <w:rPr>
          <w:rFonts w:ascii="宋体" w:hAnsi="宋体" w:cs="宋体" w:eastAsia="宋体" w:hint="default"/>
          <w:sz w:val="30"/>
          <w:szCs w:val="30"/>
        </w:rPr>
      </w:pPr>
      <w:r>
        <w:rPr>
          <w:rFonts w:ascii="宋体" w:hAnsi="宋体" w:cs="宋体" w:eastAsia="宋体" w:hint="default"/>
          <w:b/>
          <w:bCs/>
          <w:sz w:val="30"/>
          <w:szCs w:val="30"/>
        </w:rPr>
        <w:t>二〇一三年三月三十日</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1910" w:h="16840"/>
          <w:pgMar w:header="918" w:footer="999" w:top="1100" w:bottom="1180" w:left="980" w:right="1020"/>
          <w:pgNumType w:start="1"/>
        </w:sectPr>
      </w:pPr>
    </w:p>
    <w:p>
      <w:pPr>
        <w:spacing w:line="240" w:lineRule="auto" w:before="0"/>
        <w:rPr>
          <w:rFonts w:ascii="宋体" w:hAnsi="宋体" w:cs="宋体" w:eastAsia="宋体" w:hint="default"/>
          <w:b/>
          <w:bCs/>
          <w:sz w:val="20"/>
          <w:szCs w:val="20"/>
        </w:rPr>
      </w:pPr>
    </w:p>
    <w:p>
      <w:pPr>
        <w:spacing w:before="173"/>
        <w:ind w:left="2803" w:right="0" w:firstLine="0"/>
        <w:jc w:val="left"/>
        <w:rPr>
          <w:rFonts w:ascii="宋体" w:hAnsi="宋体" w:cs="宋体" w:eastAsia="宋体" w:hint="default"/>
          <w:sz w:val="32"/>
          <w:szCs w:val="32"/>
        </w:rPr>
      </w:pPr>
      <w:r>
        <w:rPr>
          <w:rFonts w:ascii="宋体" w:hAnsi="宋体" w:cs="宋体" w:eastAsia="宋体" w:hint="default"/>
          <w:b/>
          <w:bCs/>
          <w:sz w:val="32"/>
          <w:szCs w:val="32"/>
        </w:rPr>
        <w:t>第一节</w:t>
      </w:r>
      <w:r>
        <w:rPr>
          <w:rFonts w:ascii="宋体" w:hAnsi="宋体" w:cs="宋体" w:eastAsia="宋体" w:hint="default"/>
          <w:b/>
          <w:bCs/>
          <w:spacing w:val="-6"/>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45"/>
          <w:szCs w:val="45"/>
        </w:rPr>
      </w:pPr>
    </w:p>
    <w:p>
      <w:pPr>
        <w:pStyle w:val="Heading4"/>
        <w:spacing w:line="357" w:lineRule="auto" w:before="0"/>
        <w:ind w:right="118"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91"/>
        </w:rPr>
        <w:t> </w:t>
      </w:r>
      <w:r>
        <w:rPr>
          <w:spacing w:val="-91"/>
        </w:rPr>
      </w:r>
      <w:r>
        <w:rPr/>
        <w:t>责任。</w:t>
      </w:r>
    </w:p>
    <w:p>
      <w:pPr>
        <w:pStyle w:val="Heading4"/>
        <w:spacing w:line="357" w:lineRule="auto"/>
        <w:ind w:left="633" w:right="0"/>
        <w:jc w:val="left"/>
      </w:pPr>
      <w:r>
        <w:rPr/>
        <w:t>所有董事均已出席了审议本报告的董事会会议。 </w:t>
      </w:r>
      <w:r>
        <w:rPr>
          <w:spacing w:val="2"/>
        </w:rPr>
        <w:t>公司负责人肖志鸿、主管会计工作负责人陈四清及会计机构负责人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周艳</w:t>
      </w:r>
      <w:r>
        <w:rPr/>
      </w:r>
    </w:p>
    <w:p>
      <w:pPr>
        <w:pStyle w:val="Heading4"/>
        <w:spacing w:line="357" w:lineRule="auto" w:before="5"/>
        <w:ind w:left="633" w:right="0" w:hanging="480"/>
        <w:jc w:val="left"/>
      </w:pPr>
      <w:r>
        <w:rPr/>
        <w:t>声明：保证年度报告中财务报告的真实、准确、完整。 本报告中如有涉及未来的计划、业绩预测等方面的内容，均不构成本公司对任何投资者</w:t>
      </w:r>
    </w:p>
    <w:p>
      <w:pPr>
        <w:pStyle w:val="Heading4"/>
        <w:spacing w:line="357" w:lineRule="auto"/>
        <w:ind w:right="0"/>
        <w:jc w:val="left"/>
      </w:pPr>
      <w:r>
        <w:rPr/>
        <w:t>及相关人士的承诺。投资者及相关人士均应对此保持足够的风险认识，并应当理解计划、预</w:t>
      </w:r>
      <w:r>
        <w:rPr>
          <w:spacing w:val="-91"/>
        </w:rPr>
        <w:t> </w:t>
      </w:r>
      <w:r>
        <w:rPr>
          <w:spacing w:val="-91"/>
        </w:rPr>
      </w:r>
      <w:r>
        <w:rPr/>
        <w:t>测与承诺之间的差异。</w:t>
      </w:r>
    </w:p>
    <w:p>
      <w:pPr>
        <w:spacing w:after="0" w:line="357" w:lineRule="auto"/>
        <w:jc w:val="left"/>
        <w:sectPr>
          <w:pgSz w:w="11910" w:h="16840"/>
          <w:pgMar w:header="918" w:footer="999" w:top="110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460" w:lineRule="exact" w:before="0"/>
        <w:ind w:left="2744" w:right="270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rPr/>
            <w:t>第一节</w:t>
          </w:r>
          <w:r>
            <w:rPr>
              <w:spacing w:val="-24"/>
            </w:rPr>
            <w:t> </w:t>
          </w:r>
          <w:r>
            <w:rPr/>
            <w:t>重要提示、目录</w:t>
          </w:r>
          <w:r>
            <w:rPr>
              <w:rFonts w:ascii="Times New Roman" w:hAnsi="Times New Roman" w:cs="Times New Roman" w:eastAsia="Times New Roman" w:hint="default"/>
            </w:rPr>
            <w:tab/>
            <w:t>2</w:t>
          </w:r>
        </w:p>
        <w:p>
          <w:pPr>
            <w:pStyle w:val="TOC1"/>
            <w:tabs>
              <w:tab w:pos="9783" w:val="right" w:leader="dot"/>
            </w:tabs>
            <w:spacing w:line="240" w:lineRule="auto" w:before="136"/>
            <w:ind w:right="0"/>
            <w:jc w:val="left"/>
            <w:rPr>
              <w:rFonts w:ascii="Times New Roman" w:hAnsi="Times New Roman" w:cs="Times New Roman" w:eastAsia="Times New Roman" w:hint="default"/>
            </w:rPr>
          </w:pPr>
          <w:hyperlink w:history="true" w:anchor="_TOC_250008">
            <w:r>
              <w:rPr/>
              <w:t>第二节</w:t>
            </w:r>
            <w:r>
              <w:rPr>
                <w:spacing w:val="-24"/>
              </w:rPr>
              <w:t> </w:t>
            </w:r>
            <w:r>
              <w:rPr/>
              <w:t>公司基本情况简介</w:t>
            </w:r>
            <w:r>
              <w:rPr>
                <w:rFonts w:ascii="Times New Roman" w:hAnsi="Times New Roman" w:cs="Times New Roman" w:eastAsia="Times New Roman" w:hint="default"/>
              </w:rPr>
              <w:tab/>
              <w:t>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第三节</w:t>
            </w:r>
            <w:r>
              <w:rPr>
                <w:spacing w:val="-24"/>
              </w:rPr>
              <w:t> </w:t>
            </w:r>
            <w:r>
              <w:rPr/>
              <w:t>会计数据和财务指标摘要</w:t>
            </w:r>
            <w:r>
              <w:rPr>
                <w:rFonts w:ascii="Times New Roman" w:hAnsi="Times New Roman" w:cs="Times New Roman" w:eastAsia="Times New Roman" w:hint="default"/>
              </w:rPr>
              <w:tab/>
              <w:t>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24"/>
              </w:rPr>
              <w:t> </w:t>
            </w:r>
            <w:r>
              <w:rPr/>
              <w:t>董事会报告</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24"/>
              </w:rPr>
              <w:t> </w:t>
            </w:r>
            <w:r>
              <w:rPr/>
              <w:t>重要事项</w:t>
            </w:r>
            <w:r>
              <w:rPr>
                <w:rFonts w:ascii="Times New Roman" w:hAnsi="Times New Roman" w:cs="Times New Roman" w:eastAsia="Times New Roman" w:hint="default"/>
              </w:rPr>
              <w:tab/>
              <w:t>32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4">
            <w:r>
              <w:rPr/>
              <w:t>第六节</w:t>
            </w:r>
            <w:r>
              <w:rPr>
                <w:spacing w:val="-24"/>
              </w:rPr>
              <w:t> </w:t>
            </w:r>
            <w:r>
              <w:rPr/>
              <w:t>股份变动及股东情况</w:t>
            </w:r>
            <w:r>
              <w:rPr>
                <w:rFonts w:ascii="Times New Roman" w:hAnsi="Times New Roman" w:cs="Times New Roman" w:eastAsia="Times New Roman" w:hint="default"/>
              </w:rPr>
              <w:tab/>
              <w:t>36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24"/>
              </w:rPr>
              <w:t> </w:t>
            </w:r>
            <w:r>
              <w:rPr/>
              <w:t>董事、监事、高级管理人员和员工情况</w:t>
            </w:r>
            <w:r>
              <w:rPr>
                <w:rFonts w:ascii="Times New Roman" w:hAnsi="Times New Roman" w:cs="Times New Roman" w:eastAsia="Times New Roman" w:hint="default"/>
              </w:rPr>
              <w:tab/>
              <w:t>40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24"/>
              </w:rPr>
              <w:t> </w:t>
            </w:r>
            <w:r>
              <w:rPr/>
              <w:t>公司治理</w:t>
            </w:r>
            <w:r>
              <w:rPr>
                <w:rFonts w:ascii="Times New Roman" w:hAnsi="Times New Roman" w:cs="Times New Roman" w:eastAsia="Times New Roman" w:hint="default"/>
              </w:rPr>
              <w:tab/>
              <w:t>44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24"/>
              </w:rPr>
              <w:t> </w:t>
            </w:r>
            <w:r>
              <w:rPr/>
              <w:t>财务报告</w:t>
            </w:r>
            <w:r>
              <w:rPr>
                <w:rFonts w:ascii="Times New Roman" w:hAnsi="Times New Roman" w:cs="Times New Roman" w:eastAsia="Times New Roman" w:hint="default"/>
              </w:rPr>
              <w:tab/>
              <w:t>48</w:t>
            </w:r>
          </w:hyperlink>
        </w:p>
        <w:p>
          <w:pPr>
            <w:pStyle w:val="TOC1"/>
            <w:tabs>
              <w:tab w:pos="9783" w:val="right" w:leader="dot"/>
            </w:tabs>
            <w:spacing w:line="240" w:lineRule="auto" w:before="136"/>
            <w:ind w:right="0"/>
            <w:jc w:val="left"/>
            <w:rPr>
              <w:rFonts w:ascii="Times New Roman" w:hAnsi="Times New Roman" w:cs="Times New Roman" w:eastAsia="Times New Roman" w:hint="default"/>
            </w:rPr>
          </w:pPr>
          <w:hyperlink w:history="true" w:anchor="_TOC_250000">
            <w:r>
              <w:rPr/>
              <w:t>第十节</w:t>
            </w:r>
            <w:r>
              <w:rPr>
                <w:spacing w:val="-24"/>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4"/>
              </w:rPr>
              <w:t>118</w:t>
            </w:r>
          </w:hyperlink>
        </w:p>
      </w:sdtContent>
    </w:sdt>
    <w:p>
      <w:pPr>
        <w:spacing w:after="0" w:line="240" w:lineRule="auto"/>
        <w:jc w:val="left"/>
        <w:rPr>
          <w:rFonts w:ascii="Times New Roman" w:hAnsi="Times New Roman" w:cs="Times New Roman" w:eastAsia="Times New Roman" w:hint="default"/>
        </w:rPr>
        <w:sectPr>
          <w:pgSz w:w="11910" w:h="16840"/>
          <w:pgMar w:header="918" w:footer="999" w:top="1100" w:bottom="1180" w:left="980" w:right="1020"/>
        </w:sectPr>
      </w:pPr>
    </w:p>
    <w:p>
      <w:pPr>
        <w:pStyle w:val="Heading1"/>
        <w:spacing w:line="240" w:lineRule="auto" w:before="776"/>
        <w:ind w:left="3125" w:right="0"/>
        <w:jc w:val="left"/>
        <w:rPr>
          <w:b w:val="0"/>
          <w:bCs w:val="0"/>
        </w:rPr>
      </w:pPr>
      <w:bookmarkStart w:name="_TOC_250008" w:id="1"/>
      <w:r>
        <w:rPr/>
        <w:t>第二节</w:t>
      </w:r>
      <w:r>
        <w:rPr>
          <w:spacing w:val="-6"/>
        </w:rPr>
        <w:t> </w:t>
      </w:r>
      <w:r>
        <w:rPr/>
        <w:t>公司基本情况简介</w:t>
      </w:r>
      <w:bookmarkEnd w:id="1"/>
      <w:r>
        <w:rPr>
          <w:b w:val="0"/>
          <w:bCs w:val="0"/>
        </w:rPr>
      </w:r>
    </w:p>
    <w:p>
      <w:pPr>
        <w:pStyle w:val="Heading3"/>
        <w:spacing w:line="240" w:lineRule="auto" w:before="586"/>
        <w:ind w:right="0"/>
        <w:jc w:val="left"/>
        <w:rPr>
          <w:b w:val="0"/>
          <w:bCs w:val="0"/>
        </w:rPr>
      </w:pPr>
      <w:r>
        <w:rPr/>
        <w:t>一、公司信息</w:t>
      </w:r>
      <w:r>
        <w:rPr>
          <w:b w:val="0"/>
          <w:bCs w:val="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919"/>
        <w:gridCol w:w="2327"/>
        <w:gridCol w:w="2135"/>
        <w:gridCol w:w="2188"/>
      </w:tblGrid>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300148</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TANGEL </w:t>
            </w:r>
            <w:r>
              <w:rPr>
                <w:rFonts w:ascii="Times New Roman"/>
                <w:sz w:val="18"/>
              </w:rPr>
              <w:t>PUBLISHING CO.,</w:t>
            </w:r>
            <w:r>
              <w:rPr>
                <w:rFonts w:ascii="Times New Roman"/>
                <w:spacing w:val="-6"/>
                <w:sz w:val="18"/>
              </w:rPr>
              <w:t> </w:t>
            </w:r>
            <w:r>
              <w:rPr>
                <w:rFonts w:ascii="Times New Roman"/>
                <w:spacing w:val="-5"/>
                <w:sz w:val="18"/>
              </w:rPr>
              <w:t>LTD.</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TANGEL</w:t>
            </w:r>
            <w:r>
              <w:rPr>
                <w:rFonts w:ascii="Times New Roman"/>
                <w:spacing w:val="-9"/>
                <w:sz w:val="18"/>
              </w:rPr>
              <w:t> </w:t>
            </w:r>
            <w:r>
              <w:rPr>
                <w:rFonts w:ascii="Times New Roman"/>
                <w:sz w:val="18"/>
              </w:rPr>
              <w:t>PUBLISHING</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肖志鸿</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湖南省长沙县星沙镇茶叶大市场办公楼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410199</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湖南省长沙市东二环二段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号天域新都商务楼</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410016</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http://www.t-angel.com</w:t>
              </w:r>
            </w:hyperlink>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4"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湖南省长沙市韶山北路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号唯一</w:t>
            </w:r>
            <w:r>
              <w:rPr>
                <w:rFonts w:ascii="Times New Roman" w:hAnsi="Times New Roman" w:cs="Times New Roman" w:eastAsia="Times New Roman" w:hint="default"/>
                <w:sz w:val="18"/>
                <w:szCs w:val="18"/>
              </w:rPr>
              <w:t>.</w:t>
            </w:r>
            <w:r>
              <w:rPr>
                <w:rFonts w:ascii="宋体" w:hAnsi="宋体" w:cs="宋体" w:eastAsia="宋体" w:hint="default"/>
                <w:sz w:val="18"/>
                <w:szCs w:val="18"/>
              </w:rPr>
              <w:t>星城国际</w:t>
            </w:r>
          </w:p>
        </w:tc>
      </w:tr>
    </w:tbl>
    <w:p>
      <w:pPr>
        <w:pStyle w:val="Heading3"/>
        <w:spacing w:line="240" w:lineRule="auto" w:before="39"/>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1"/>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李忠</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5"/>
              <w:jc w:val="left"/>
              <w:rPr>
                <w:rFonts w:ascii="宋体" w:hAnsi="宋体" w:cs="宋体" w:eastAsia="宋体" w:hint="default"/>
                <w:sz w:val="18"/>
                <w:szCs w:val="18"/>
              </w:rPr>
            </w:pPr>
            <w:r>
              <w:rPr>
                <w:rFonts w:ascii="宋体" w:hAnsi="宋体" w:cs="宋体" w:eastAsia="宋体" w:hint="default"/>
                <w:sz w:val="18"/>
                <w:szCs w:val="18"/>
              </w:rPr>
              <w:t>湖南省长沙市东二环二段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号天域新 都商务楼</w:t>
            </w:r>
          </w:p>
        </w:tc>
        <w:tc>
          <w:tcPr>
            <w:tcW w:w="3191"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湖南省长沙市东二环二段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号天域新 都商务楼</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0731-85565647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0731-85565647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0731-85565647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0731-85565647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r>
    </w:tbl>
    <w:p>
      <w:pPr>
        <w:pStyle w:val="Heading3"/>
        <w:spacing w:line="240" w:lineRule="auto" w:before="39"/>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859"/>
        <w:gridCol w:w="5711"/>
      </w:tblGrid>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1"/>
              <w:jc w:val="left"/>
              <w:rPr>
                <w:rFonts w:ascii="Times New Roman" w:hAnsi="Times New Roman" w:cs="Times New Roman" w:eastAsia="Times New Roman"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http://www.cs.com.cn/</w:t>
              </w:r>
            </w:hyperlink>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http://www.stcn.com/</w:t>
              </w:r>
            </w:hyperlink>
            <w:r>
              <w:rPr>
                <w:rFonts w:ascii="宋体" w:hAnsi="宋体" w:cs="宋体" w:eastAsia="宋体" w:hint="default"/>
                <w:spacing w:val="-1"/>
                <w:sz w:val="18"/>
                <w:szCs w:val="18"/>
              </w:rPr>
              <w:t>、</w:t>
            </w:r>
            <w:r>
              <w:rPr>
                <w:rFonts w:ascii="宋体" w:hAnsi="宋体" w:cs="宋体" w:eastAsia="宋体" w:hint="default"/>
                <w:spacing w:val="-76"/>
                <w:sz w:val="18"/>
                <w:szCs w:val="18"/>
              </w:rPr>
              <w:t> </w:t>
            </w:r>
            <w:hyperlink r:id="rId13">
              <w:r>
                <w:rPr>
                  <w:rFonts w:ascii="Times New Roman" w:hAnsi="Times New Roman" w:cs="Times New Roman" w:eastAsia="Times New Roman" w:hint="default"/>
                  <w:sz w:val="18"/>
                  <w:szCs w:val="18"/>
                </w:rPr>
                <w:t>http://www.cnstock.com/</w:t>
              </w:r>
            </w:hyperlink>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http://www.ccstock.cn/</w:t>
              </w:r>
            </w:hyperlink>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918" w:footer="999" w:top="1100" w:bottom="1180" w:left="980" w:right="102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84"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湖南省长沙县星沙 镇茶叶大市场办公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430121000002025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430121750635435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75063543-5</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最近一次工商变更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湖南省长沙县星沙 镇茶叶大市场办公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430121000002025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430121750635435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75063543-5</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999" w:top="1100" w:bottom="1180" w:left="98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2" w:right="0"/>
        <w:jc w:val="left"/>
        <w:rPr>
          <w:b w:val="0"/>
          <w:bCs w:val="0"/>
        </w:rPr>
      </w:pPr>
      <w:bookmarkStart w:name="_TOC_250007" w:id="2"/>
      <w:r>
        <w:rPr/>
        <w:t>第三节</w:t>
      </w:r>
      <w:r>
        <w:rPr>
          <w:spacing w:val="-6"/>
        </w:rPr>
        <w:t> </w:t>
      </w:r>
      <w:r>
        <w:rPr/>
        <w:t>会计数据和财务指标摘要</w:t>
      </w:r>
      <w:bookmarkEnd w:id="2"/>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53"/>
        <w:jc w:val="left"/>
      </w:pPr>
      <w:r>
        <w:rPr>
          <w:rFonts w:ascii="Times New Roman" w:hAnsi="Times New Roman" w:cs="Times New Roman" w:eastAsia="Times New Roman" w:hint="default"/>
        </w:rPr>
        <w:t>□ </w:t>
      </w:r>
      <w:r>
        <w:rPr/>
        <w:t>是 √</w:t>
      </w:r>
      <w:r>
        <w:rPr>
          <w:spacing w:val="2"/>
        </w:rPr>
        <w:t> </w:t>
      </w:r>
      <w:r>
        <w:rPr/>
        <w:t>否</w:t>
      </w:r>
      <w:r>
        <w:rPr>
          <w:w w:val="99"/>
        </w:rPr>
        <w:t> </w:t>
      </w:r>
      <w:r>
        <w:rPr/>
        <w:t>主要会计数据</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368"/>
        <w:gridCol w:w="1466"/>
        <w:gridCol w:w="1262"/>
        <w:gridCol w:w="2098"/>
        <w:gridCol w:w="1376"/>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827" w:val="left" w:leader="none"/>
              </w:tabs>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279,907,785.50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277,601,529.49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0.83%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213,835,989.99</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29,081,344.51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44,182,820.07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-34.18%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38,329,361.74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30,062,660.57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45,329,547.48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-33.68%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38,748,929.11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19,000,989.88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33,182,234.30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-42.74%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30,829,663.65</w:t>
            </w:r>
          </w:p>
        </w:tc>
      </w:tr>
      <w:tr>
        <w:trPr>
          <w:trHeight w:val="71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归属于上市公司股东的扣除非经常性损益 </w:t>
            </w:r>
            <w:r>
              <w:rPr>
                <w:rFonts w:ascii="宋体" w:hAnsi="宋体" w:cs="宋体" w:eastAsia="宋体" w:hint="default"/>
                <w:sz w:val="18"/>
                <w:szCs w:val="18"/>
              </w:rPr>
              <w:t>的净利润（元）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18,257,636.82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32,303,731.40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-43.48%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30,515,052.19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2,936,885.26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22,599,684.84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-87.00%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36,665,806.79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600,780,277.97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577,527,201.23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534,139,745.18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67,154,997.15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49,287,810.83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36.25%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31,798,601.70</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归属于上市公司股东的所有者权益（元）</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526,481,722.83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521,924,768.70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499,992,534.40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4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126,750,000.00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97,500,000.00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8"/>
        <w:gridCol w:w="1109"/>
        <w:gridCol w:w="1291"/>
        <w:gridCol w:w="2026"/>
        <w:gridCol w:w="1044"/>
      </w:tblGrid>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832" w:val="left" w:leader="none"/>
              </w:tabs>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0.15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0.15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0.14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3.61%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6.36%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6.17%</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3.64%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6.51%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29.07%</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6.10%</w:t>
            </w:r>
          </w:p>
        </w:tc>
      </w:tr>
      <w:tr>
        <w:trPr>
          <w:trHeight w:val="403" w:hRule="exact"/>
        </w:trPr>
        <w:tc>
          <w:tcPr>
            <w:tcW w:w="409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6"/>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3.50%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6.33%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28.77%</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0.02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-89.99%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4.15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6.67</w:t>
            </w:r>
          </w:p>
        </w:tc>
      </w:tr>
      <w:tr>
        <w:trPr>
          <w:trHeight w:val="403" w:hRule="exact"/>
        </w:trPr>
        <w:tc>
          <w:tcPr>
            <w:tcW w:w="4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11.18%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8.53%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5.95%</w:t>
            </w:r>
          </w:p>
        </w:tc>
      </w:tr>
    </w:tbl>
    <w:p>
      <w:pPr>
        <w:pStyle w:val="BodyText"/>
        <w:spacing w:line="240" w:lineRule="auto" w:before="49"/>
        <w:ind w:right="0"/>
        <w:jc w:val="left"/>
      </w:pPr>
      <w:r>
        <w:rPr>
          <w:spacing w:val="-2"/>
        </w:rPr>
        <w:t>公司报告期末至报告披露日股本是否因发行新股、增发、配股、股权激励行权、回购等原因发生变化且影响所有者权益金额</w:t>
      </w:r>
    </w:p>
    <w:p>
      <w:pPr>
        <w:spacing w:after="0" w:line="240" w:lineRule="auto"/>
        <w:jc w:val="left"/>
        <w:sectPr>
          <w:pgSz w:w="11910" w:h="16840"/>
          <w:pgMar w:header="918" w:footer="999" w:top="1100" w:bottom="1180" w:left="980" w:right="1020"/>
        </w:sectPr>
      </w:pPr>
    </w:p>
    <w:p>
      <w:pPr>
        <w:spacing w:line="240" w:lineRule="auto" w:before="11"/>
        <w:rPr>
          <w:rFonts w:ascii="宋体" w:hAnsi="宋体" w:cs="宋体" w:eastAsia="宋体" w:hint="default"/>
          <w:sz w:val="21"/>
          <w:szCs w:val="21"/>
        </w:rPr>
      </w:pPr>
      <w:r>
        <w:rPr/>
        <w:pict>
          <v:group style="position:absolute;margin-left:262.730011pt;margin-top:653.26001pt;width:60.3pt;height:23.4pt;mso-position-horizontal-relative:page;mso-position-vertical-relative:page;z-index:-686824" coordorigin="5255,13065" coordsize="1206,468">
            <v:shape style="position:absolute;left:5255;top:13065;width:1206;height:468" coordorigin="5255,13065" coordsize="1206,468" path="m5255,13533l6460,13533,6460,13065,5255,13065,5255,13533xe" filled="true" fillcolor="#ffffff" stroked="false">
              <v:path arrowok="t"/>
              <v:fill type="solid"/>
            </v:shape>
            <w10:wrap type="none"/>
          </v:group>
        </w:pict>
      </w:r>
    </w:p>
    <w:p>
      <w:pPr>
        <w:pStyle w:val="BodyText"/>
        <w:spacing w:line="340" w:lineRule="auto" w:before="44"/>
        <w:ind w:right="7193"/>
        <w:jc w:val="left"/>
      </w:pPr>
      <w:r>
        <w:rPr>
          <w:rFonts w:ascii="Times New Roman" w:hAnsi="Times New Roman" w:cs="Times New Roman" w:eastAsia="Times New Roman" w:hint="default"/>
        </w:rPr>
        <w:t>□ </w:t>
      </w:r>
      <w:r>
        <w:rPr/>
        <w:t>是 √</w:t>
      </w:r>
      <w:r>
        <w:rPr>
          <w:spacing w:val="2"/>
        </w:rPr>
        <w:t> </w:t>
      </w:r>
      <w:r>
        <w:rPr/>
        <w:t>否</w:t>
      </w:r>
      <w:r>
        <w:rPr>
          <w:w w:val="99"/>
        </w:rPr>
        <w:t> </w:t>
      </w:r>
      <w:r>
        <w:rPr/>
        <w:t>是否存在公司债和可转债等其他证券</w:t>
      </w:r>
    </w:p>
    <w:p>
      <w:pPr>
        <w:pStyle w:val="BodyText"/>
        <w:spacing w:line="340" w:lineRule="auto" w:before="39"/>
        <w:ind w:right="1973"/>
        <w:jc w:val="left"/>
      </w:pPr>
      <w:r>
        <w:rPr>
          <w:rFonts w:ascii="Times New Roman" w:hAnsi="Times New Roman" w:cs="Times New Roman" w:eastAsia="Times New Roman" w:hint="default"/>
        </w:rPr>
        <w:t>□ </w:t>
      </w:r>
      <w:r>
        <w:rPr/>
        <w:t>是 √</w:t>
      </w:r>
      <w:r>
        <w:rPr>
          <w:spacing w:val="2"/>
        </w:rPr>
        <w:t> </w:t>
      </w:r>
      <w:r>
        <w:rPr/>
        <w:t>否</w:t>
      </w:r>
      <w:r>
        <w:rPr>
          <w:w w:val="99"/>
        </w:rPr>
        <w:t> </w:t>
      </w:r>
      <w:r>
        <w:rPr/>
        <w:t>如果公司存在最近两年连续亏损的情形，公司债和可转债等其他证券是否需要于次一交易日开市起停牌</w:t>
      </w:r>
    </w:p>
    <w:p>
      <w:pPr>
        <w:pStyle w:val="BodyText"/>
        <w:spacing w:line="240" w:lineRule="auto" w:before="41"/>
        <w:ind w:right="7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 不适用</w:t>
      </w:r>
    </w:p>
    <w:p>
      <w:pPr>
        <w:spacing w:line="240" w:lineRule="auto" w:before="0"/>
        <w:rPr>
          <w:rFonts w:ascii="宋体" w:hAnsi="宋体" w:cs="宋体" w:eastAsia="宋体" w:hint="default"/>
          <w:sz w:val="24"/>
          <w:szCs w:val="24"/>
        </w:rPr>
      </w:pPr>
    </w:p>
    <w:p>
      <w:pPr>
        <w:pStyle w:val="Heading3"/>
        <w:spacing w:line="240" w:lineRule="auto"/>
        <w:ind w:right="1973"/>
        <w:jc w:val="left"/>
        <w:rPr>
          <w:b w:val="0"/>
          <w:bCs w:val="0"/>
        </w:rPr>
      </w:pPr>
      <w:r>
        <w:rPr/>
        <w:t>二、报告期内非经常性损益的项目及金额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4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91"/>
        <w:gridCol w:w="1226"/>
        <w:gridCol w:w="1111"/>
        <w:gridCol w:w="1141"/>
        <w:gridCol w:w="2400"/>
      </w:tblGrid>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销部分）</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-8,474.20</w:t>
            </w: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14" w:hRule="exact"/>
        </w:trPr>
        <w:tc>
          <w:tcPr>
            <w:tcW w:w="4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2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文化产业发展引导资金；</w:t>
            </w:r>
            <w:r>
              <w:rPr>
                <w:rFonts w:ascii="Times New Roman" w:hAnsi="Times New Roman" w:cs="Times New Roman" w:eastAsia="Times New Roman" w:hint="default"/>
                <w:sz w:val="18"/>
                <w:szCs w:val="18"/>
              </w:rPr>
              <w:t>2010</w:t>
            </w:r>
          </w:p>
        </w:tc>
      </w:tr>
      <w:tr>
        <w:trPr>
          <w:trHeight w:val="467" w:hRule="exact"/>
        </w:trPr>
        <w:tc>
          <w:tcPr>
            <w:tcW w:w="40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照国家统一标准定额或定量享受的政府补助除外）</w:t>
            </w:r>
          </w:p>
        </w:tc>
        <w:tc>
          <w:tcPr>
            <w:tcW w:w="1226" w:type="dxa"/>
            <w:tcBorders>
              <w:top w:val="nil" w:sz="6" w:space="0" w:color="auto"/>
              <w:left w:val="single" w:sz="10" w:space="0" w:color="D2D2D2"/>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1,200,000.00</w:t>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1,100,000.00</w:t>
            </w:r>
          </w:p>
        </w:tc>
        <w:tc>
          <w:tcPr>
            <w:tcW w:w="2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年新获中国驰名商标企业奖励</w:t>
            </w:r>
          </w:p>
        </w:tc>
      </w:tr>
      <w:tr>
        <w:trPr>
          <w:trHeight w:val="236" w:hRule="exact"/>
        </w:trPr>
        <w:tc>
          <w:tcPr>
            <w:tcW w:w="4091" w:type="dxa"/>
            <w:vMerge/>
            <w:tcBorders>
              <w:left w:val="single" w:sz="4" w:space="0" w:color="000000"/>
              <w:bottom w:val="nil" w:sz="6" w:space="0" w:color="auto"/>
              <w:right w:val="single" w:sz="4" w:space="0" w:color="000000"/>
            </w:tcBorders>
            <w:shd w:val="clear" w:color="auto" w:fill="D2D2D2"/>
          </w:tcPr>
          <w:p>
            <w:pPr/>
          </w:p>
        </w:tc>
        <w:tc>
          <w:tcPr>
            <w:tcW w:w="1226" w:type="dxa"/>
            <w:tcBorders>
              <w:top w:val="nil" w:sz="6" w:space="0" w:color="auto"/>
              <w:left w:val="single" w:sz="10" w:space="0" w:color="D2D2D2"/>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2400"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经费；长沙市知识产权专项经</w:t>
            </w:r>
          </w:p>
        </w:tc>
      </w:tr>
      <w:tr>
        <w:trPr>
          <w:trHeight w:val="413" w:hRule="exact"/>
        </w:trPr>
        <w:tc>
          <w:tcPr>
            <w:tcW w:w="4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2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费补贴。</w:t>
            </w: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09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企业取得子公司</w:t>
            </w:r>
            <w:r>
              <w:rPr>
                <w:rFonts w:ascii="宋体" w:hAnsi="宋体" w:cs="宋体" w:eastAsia="宋体" w:hint="default"/>
                <w:spacing w:val="-82"/>
                <w:sz w:val="18"/>
                <w:szCs w:val="18"/>
              </w:rPr>
              <w:t>、</w:t>
            </w:r>
            <w:r>
              <w:rPr>
                <w:rFonts w:ascii="宋体" w:hAnsi="宋体" w:cs="宋体" w:eastAsia="宋体" w:hint="default"/>
                <w:sz w:val="18"/>
                <w:szCs w:val="18"/>
              </w:rPr>
              <w:t>联营企业及合营企业的投资成本小</w:t>
            </w:r>
          </w:p>
        </w:tc>
        <w:tc>
          <w:tcPr>
            <w:tcW w:w="1226" w:type="dxa"/>
            <w:vMerge w:val="restart"/>
            <w:tcBorders>
              <w:top w:val="single" w:sz="4" w:space="0" w:color="000000"/>
              <w:left w:val="single" w:sz="10" w:space="0" w:color="D2D2D2"/>
              <w:right w:val="single" w:sz="4" w:space="0" w:color="000000"/>
            </w:tcBorders>
          </w:tcPr>
          <w:p>
            <w:pPr/>
          </w:p>
        </w:tc>
        <w:tc>
          <w:tcPr>
            <w:tcW w:w="1111" w:type="dxa"/>
            <w:vMerge w:val="restart"/>
            <w:tcBorders>
              <w:top w:val="single" w:sz="4" w:space="0" w:color="000000"/>
              <w:left w:val="single" w:sz="4" w:space="0" w:color="000000"/>
              <w:right w:val="single" w:sz="4" w:space="0" w:color="000000"/>
            </w:tcBorders>
          </w:tcPr>
          <w:p>
            <w:pPr/>
          </w:p>
        </w:tc>
        <w:tc>
          <w:tcPr>
            <w:tcW w:w="1141" w:type="dxa"/>
            <w:vMerge w:val="restart"/>
            <w:tcBorders>
              <w:top w:val="single" w:sz="4" w:space="0" w:color="000000"/>
              <w:left w:val="single" w:sz="4" w:space="0" w:color="000000"/>
              <w:right w:val="single" w:sz="4" w:space="0" w:color="000000"/>
            </w:tcBorders>
          </w:tcPr>
          <w:p>
            <w:pPr/>
          </w:p>
        </w:tc>
        <w:tc>
          <w:tcPr>
            <w:tcW w:w="2400" w:type="dxa"/>
            <w:vMerge w:val="restart"/>
            <w:tcBorders>
              <w:top w:val="single" w:sz="4" w:space="0" w:color="000000"/>
              <w:left w:val="single" w:sz="4" w:space="0" w:color="000000"/>
              <w:right w:val="single" w:sz="4" w:space="0" w:color="000000"/>
            </w:tcBorders>
          </w:tcPr>
          <w:p>
            <w:pPr/>
          </w:p>
        </w:tc>
      </w:tr>
      <w:tr>
        <w:trPr>
          <w:trHeight w:val="311" w:hRule="exact"/>
        </w:trPr>
        <w:tc>
          <w:tcPr>
            <w:tcW w:w="4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于取得投资时应享有被投资单位可辨认净资产公允</w:t>
            </w:r>
          </w:p>
        </w:tc>
        <w:tc>
          <w:tcPr>
            <w:tcW w:w="1226" w:type="dxa"/>
            <w:vMerge/>
            <w:tcBorders>
              <w:left w:val="single" w:sz="10" w:space="0" w:color="D2D2D2"/>
              <w:right w:val="single" w:sz="4" w:space="0" w:color="000000"/>
            </w:tcBorders>
          </w:tcPr>
          <w:p>
            <w:pPr/>
          </w:p>
        </w:tc>
        <w:tc>
          <w:tcPr>
            <w:tcW w:w="1111"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2400" w:type="dxa"/>
            <w:vMerge/>
            <w:tcBorders>
              <w:left w:val="single" w:sz="4" w:space="0" w:color="000000"/>
              <w:right w:val="single" w:sz="4" w:space="0" w:color="000000"/>
            </w:tcBorders>
          </w:tcPr>
          <w:p>
            <w:pPr/>
          </w:p>
        </w:tc>
      </w:tr>
      <w:tr>
        <w:trPr>
          <w:trHeight w:val="360" w:hRule="exact"/>
        </w:trPr>
        <w:tc>
          <w:tcPr>
            <w:tcW w:w="409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价值产生的收益</w:t>
            </w:r>
          </w:p>
        </w:tc>
        <w:tc>
          <w:tcPr>
            <w:tcW w:w="1226" w:type="dxa"/>
            <w:vMerge/>
            <w:tcBorders>
              <w:left w:val="single" w:sz="10" w:space="0" w:color="D2D2D2"/>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1141" w:type="dxa"/>
            <w:vMerge/>
            <w:tcBorders>
              <w:left w:val="single" w:sz="4" w:space="0" w:color="000000"/>
              <w:bottom w:val="single" w:sz="4" w:space="0" w:color="000000"/>
              <w:right w:val="single" w:sz="4" w:space="0" w:color="000000"/>
            </w:tcBorders>
          </w:tcPr>
          <w:p>
            <w:pPr/>
          </w:p>
        </w:tc>
        <w:tc>
          <w:tcPr>
            <w:tcW w:w="2400" w:type="dxa"/>
            <w:vMerge/>
            <w:tcBorders>
              <w:left w:val="single" w:sz="4" w:space="0" w:color="000000"/>
              <w:bottom w:val="single" w:sz="4" w:space="0" w:color="000000"/>
              <w:right w:val="single" w:sz="4" w:space="0" w:color="000000"/>
            </w:tcBorders>
          </w:tcPr>
          <w:p>
            <w:pP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4"/>
                <w:sz w:val="18"/>
                <w:szCs w:val="18"/>
              </w:rPr>
              <w:t>因不可抗力因素，如遭受自然灾害而计提的各项资产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减值准备</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07"/>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 的损益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 当期净损益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09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w:t>
            </w:r>
          </w:p>
        </w:tc>
        <w:tc>
          <w:tcPr>
            <w:tcW w:w="1226" w:type="dxa"/>
            <w:tcBorders>
              <w:top w:val="single" w:sz="4" w:space="0" w:color="000000"/>
              <w:left w:val="single" w:sz="10" w:space="0" w:color="D2D2D2"/>
              <w:bottom w:val="nil" w:sz="6" w:space="0" w:color="auto"/>
              <w:right w:val="single" w:sz="4"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1" w:type="dxa"/>
            <w:vMerge w:val="restart"/>
            <w:tcBorders>
              <w:top w:val="single" w:sz="4" w:space="0" w:color="000000"/>
              <w:left w:val="single" w:sz="4" w:space="0" w:color="000000"/>
              <w:right w:val="single" w:sz="4" w:space="0" w:color="000000"/>
            </w:tcBorders>
          </w:tcPr>
          <w:p>
            <w:pPr/>
          </w:p>
        </w:tc>
        <w:tc>
          <w:tcPr>
            <w:tcW w:w="1141" w:type="dxa"/>
            <w:vMerge w:val="restart"/>
            <w:tcBorders>
              <w:top w:val="single" w:sz="4" w:space="0" w:color="000000"/>
              <w:left w:val="single" w:sz="4" w:space="0" w:color="000000"/>
              <w:right w:val="single" w:sz="4" w:space="0" w:color="000000"/>
            </w:tcBorders>
          </w:tcPr>
          <w:p>
            <w:pPr/>
          </w:p>
        </w:tc>
        <w:tc>
          <w:tcPr>
            <w:tcW w:w="2400" w:type="dxa"/>
            <w:vMerge w:val="restart"/>
            <w:tcBorders>
              <w:top w:val="single" w:sz="4" w:space="0" w:color="000000"/>
              <w:left w:val="single" w:sz="4" w:space="0" w:color="000000"/>
              <w:right w:val="single" w:sz="4" w:space="0" w:color="000000"/>
            </w:tcBorders>
          </w:tcPr>
          <w:p>
            <w:pPr/>
          </w:p>
        </w:tc>
      </w:tr>
      <w:tr>
        <w:trPr>
          <w:trHeight w:val="312" w:hRule="exact"/>
        </w:trPr>
        <w:tc>
          <w:tcPr>
            <w:tcW w:w="4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w:t>
            </w:r>
            <w:r>
              <w:rPr>
                <w:rFonts w:ascii="宋体" w:hAnsi="宋体" w:cs="宋体" w:eastAsia="宋体" w:hint="default"/>
                <w:spacing w:val="-82"/>
                <w:sz w:val="18"/>
                <w:szCs w:val="18"/>
              </w:rPr>
              <w:t>、</w:t>
            </w:r>
            <w:r>
              <w:rPr>
                <w:rFonts w:ascii="宋体" w:hAnsi="宋体" w:cs="宋体" w:eastAsia="宋体" w:hint="default"/>
                <w:sz w:val="18"/>
                <w:szCs w:val="18"/>
              </w:rPr>
              <w:t>交易性金融负债产生的公允价</w:t>
            </w:r>
          </w:p>
        </w:tc>
        <w:tc>
          <w:tcPr>
            <w:tcW w:w="1226" w:type="dxa"/>
            <w:tcBorders>
              <w:top w:val="nil" w:sz="6" w:space="0" w:color="auto"/>
              <w:left w:val="single" w:sz="10" w:space="0" w:color="D2D2D2"/>
              <w:bottom w:val="nil" w:sz="6" w:space="0" w:color="auto"/>
              <w:right w:val="single" w:sz="4" w:space="0" w:color="000000"/>
            </w:tcBorders>
          </w:tcPr>
          <w:p>
            <w:pPr/>
          </w:p>
        </w:tc>
        <w:tc>
          <w:tcPr>
            <w:tcW w:w="1111"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2400" w:type="dxa"/>
            <w:vMerge/>
            <w:tcBorders>
              <w:left w:val="single" w:sz="4" w:space="0" w:color="000000"/>
              <w:right w:val="single" w:sz="4" w:space="0" w:color="000000"/>
            </w:tcBorders>
          </w:tcPr>
          <w:p>
            <w:pPr/>
          </w:p>
        </w:tc>
      </w:tr>
      <w:tr>
        <w:trPr>
          <w:trHeight w:val="312" w:hRule="exact"/>
        </w:trPr>
        <w:tc>
          <w:tcPr>
            <w:tcW w:w="4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4"/>
                <w:sz w:val="18"/>
                <w:szCs w:val="18"/>
              </w:rPr>
              <w:t>值变动损益，以及处置交易性金融资产、交易性金融</w:t>
            </w:r>
          </w:p>
        </w:tc>
        <w:tc>
          <w:tcPr>
            <w:tcW w:w="1226" w:type="dxa"/>
            <w:tcBorders>
              <w:top w:val="nil" w:sz="6" w:space="0" w:color="auto"/>
              <w:left w:val="single" w:sz="10" w:space="0" w:color="D2D2D2"/>
              <w:bottom w:val="nil" w:sz="6" w:space="0" w:color="auto"/>
              <w:right w:val="single" w:sz="4" w:space="0" w:color="000000"/>
            </w:tcBorders>
          </w:tcPr>
          <w:p>
            <w:pPr/>
          </w:p>
        </w:tc>
        <w:tc>
          <w:tcPr>
            <w:tcW w:w="1111"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2400" w:type="dxa"/>
            <w:vMerge/>
            <w:tcBorders>
              <w:left w:val="single" w:sz="4" w:space="0" w:color="000000"/>
              <w:right w:val="single" w:sz="4" w:space="0" w:color="000000"/>
            </w:tcBorders>
          </w:tcPr>
          <w:p>
            <w:pPr/>
          </w:p>
        </w:tc>
      </w:tr>
      <w:tr>
        <w:trPr>
          <w:trHeight w:val="359" w:hRule="exact"/>
        </w:trPr>
        <w:tc>
          <w:tcPr>
            <w:tcW w:w="409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负债和可供出售金融资产取得的投资收益</w:t>
            </w:r>
          </w:p>
        </w:tc>
        <w:tc>
          <w:tcPr>
            <w:tcW w:w="1226" w:type="dxa"/>
            <w:tcBorders>
              <w:top w:val="nil" w:sz="6" w:space="0" w:color="auto"/>
              <w:left w:val="single" w:sz="10" w:space="0" w:color="D2D2D2"/>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1141" w:type="dxa"/>
            <w:vMerge/>
            <w:tcBorders>
              <w:left w:val="single" w:sz="4" w:space="0" w:color="000000"/>
              <w:bottom w:val="single" w:sz="4" w:space="0" w:color="000000"/>
              <w:right w:val="single" w:sz="4" w:space="0" w:color="000000"/>
            </w:tcBorders>
          </w:tcPr>
          <w:p>
            <w:pPr/>
          </w:p>
        </w:tc>
        <w:tc>
          <w:tcPr>
            <w:tcW w:w="2400" w:type="dxa"/>
            <w:vMerge/>
            <w:tcBorders>
              <w:left w:val="single" w:sz="4" w:space="0" w:color="000000"/>
              <w:bottom w:val="single" w:sz="4" w:space="0" w:color="000000"/>
              <w:right w:val="single" w:sz="4" w:space="0" w:color="000000"/>
            </w:tcBorders>
          </w:tcPr>
          <w:p>
            <w:pPr/>
          </w:p>
        </w:tc>
      </w:tr>
      <w:tr>
        <w:trPr>
          <w:trHeight w:val="40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999" w:top="1100" w:bottom="1180" w:left="980" w:right="6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02"/>
        <w:gridCol w:w="1226"/>
        <w:gridCol w:w="1111"/>
        <w:gridCol w:w="1141"/>
        <w:gridCol w:w="2400"/>
      </w:tblGrid>
      <w:tr>
        <w:trPr>
          <w:trHeight w:val="714"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 允价值变动产生的损益</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9"/>
              <w:jc w:val="left"/>
              <w:rPr>
                <w:rFonts w:ascii="宋体" w:hAnsi="宋体" w:cs="宋体" w:eastAsia="宋体" w:hint="default"/>
                <w:sz w:val="18"/>
                <w:szCs w:val="18"/>
              </w:rPr>
            </w:pPr>
            <w:r>
              <w:rPr>
                <w:rFonts w:ascii="宋体" w:hAnsi="宋体" w:cs="宋体" w:eastAsia="宋体" w:hint="default"/>
                <w:spacing w:val="-4"/>
                <w:sz w:val="18"/>
                <w:szCs w:val="18"/>
              </w:rPr>
              <w:t>根据税收、会计等法律、法规的要求对当期损益进行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一次性调整对当期损益的影响</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-218,683.94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-244,798.39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-680,432.63</w:t>
            </w: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26" w:type="dxa"/>
            <w:tcBorders>
              <w:top w:val="single" w:sz="4" w:space="0" w:color="000000"/>
              <w:left w:val="single" w:sz="10" w:space="0" w:color="D2D2D2"/>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-245,329.02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-286,681.85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-104,891.84</w:t>
            </w: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7,366.02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18,457.34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-64.07</w:t>
            </w: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743,353.06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878,502.90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314,611.46</w:t>
            </w:r>
          </w:p>
        </w:tc>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三、重大风险提示</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before="0"/>
        <w:ind w:left="633" w:right="473"/>
        <w:jc w:val="left"/>
      </w:pPr>
      <w:r>
        <w:rPr/>
        <w:t>（</w:t>
      </w:r>
      <w:r>
        <w:rPr>
          <w:rFonts w:ascii="宋体" w:hAnsi="宋体" w:cs="宋体" w:eastAsia="宋体" w:hint="default"/>
        </w:rPr>
        <w:t>1</w:t>
      </w:r>
      <w:r>
        <w:rPr/>
        <w:t>）行业政策风险 公司所属的图书出版发行行业是具有意识形态属性的重要产业，受到国家相关法律、法</w:t>
      </w:r>
    </w:p>
    <w:p>
      <w:pPr>
        <w:pStyle w:val="Heading4"/>
        <w:spacing w:line="357" w:lineRule="auto"/>
        <w:ind w:right="491"/>
        <w:jc w:val="both"/>
      </w:pPr>
      <w:r>
        <w:rPr/>
        <w:t>规及政策的严格监督和管理。为此，公司建立了较为严谨的选题审核流程及相应的质量控制 体系。公司各项目组根据市场调研信息提出选题后，首先须经公司选题审核委员会统一审核 通过；其次，公司确定的选题还必须通过出版社和省级新闻出版局的审核，并最后在新闻出 版总署备案。另一方面，本公司主要从事青少年读物的策划、设计、制作与发行业务，一般 不涉及宗教、民族、国家安定等重大选题范畴。</w:t>
      </w:r>
    </w:p>
    <w:p>
      <w:pPr>
        <w:pStyle w:val="Heading4"/>
        <w:spacing w:line="357" w:lineRule="auto"/>
        <w:ind w:left="633" w:right="473"/>
        <w:jc w:val="left"/>
      </w:pPr>
      <w:r>
        <w:rPr/>
        <w:t>（</w:t>
      </w:r>
      <w:r>
        <w:rPr>
          <w:rFonts w:ascii="宋体" w:hAnsi="宋体" w:cs="宋体" w:eastAsia="宋体" w:hint="default"/>
        </w:rPr>
        <w:t>2</w:t>
      </w:r>
      <w:r>
        <w:rPr/>
        <w:t>）公司销售区域集中的风险 公司目前已成为湖南省民营图书策划发行的龙头企业，在湖南省青少年读物市场形成了</w:t>
      </w:r>
    </w:p>
    <w:p>
      <w:pPr>
        <w:pStyle w:val="Heading4"/>
        <w:spacing w:line="357" w:lineRule="auto"/>
        <w:ind w:right="491"/>
        <w:jc w:val="both"/>
      </w:pPr>
      <w:r>
        <w:rPr/>
        <w:t>较强的品牌影响力，虽然公司近年来加大了拓展全国市场的力度，省外市场规模和份额逐年 提高，但公司在湖南省内的业务仍占主导地位，如果湖南省的青少年读物市场发生波动，将 对公司的经营业绩造成一定影响。公司将继续加大省外市场的拓展力度，不断提高省外市场 所占比例，同时改善省内市场的产品和服务结构，降低省内市场对教辅产品的依赖程度，形 成多渠道的产品和服务体系，进一步提高省内市场的抗风险能力。</w:t>
      </w:r>
    </w:p>
    <w:p>
      <w:pPr>
        <w:pStyle w:val="Heading4"/>
        <w:spacing w:line="357" w:lineRule="auto" w:before="37"/>
        <w:ind w:left="633" w:right="473"/>
        <w:jc w:val="left"/>
      </w:pPr>
      <w:r>
        <w:rPr/>
        <w:t>（</w:t>
      </w:r>
      <w:r>
        <w:rPr>
          <w:rFonts w:ascii="宋体" w:hAnsi="宋体" w:cs="宋体" w:eastAsia="宋体" w:hint="default"/>
        </w:rPr>
        <w:t>3</w:t>
      </w:r>
      <w:r>
        <w:rPr/>
        <w:t>）教育政策风险 根据国家教育体制改革方向，近年来教育主管部门加强了对减轻中小学生学习负担的相</w:t>
      </w:r>
    </w:p>
    <w:p>
      <w:pPr>
        <w:pStyle w:val="Heading4"/>
        <w:spacing w:line="357" w:lineRule="auto"/>
        <w:ind w:right="491"/>
        <w:jc w:val="both"/>
      </w:pPr>
      <w:r>
        <w:rPr/>
        <w:t>关管理，规范教辅图书市场，要求学校对学生家庭作业等方面作出科学合理安排，切实减轻 课内外过重的课业负担，依法保障学生的休息权利。中小学生课业负担的减轻将可能对中小 学教辅类图书销售造成一定影响。针对政策走势，公司教辅图书从素质教育入手，不断开发</w:t>
      </w:r>
    </w:p>
    <w:p>
      <w:pPr>
        <w:spacing w:after="0" w:line="357" w:lineRule="auto"/>
        <w:jc w:val="both"/>
        <w:sectPr>
          <w:headerReference w:type="default" r:id="rId15"/>
          <w:pgSz w:w="11910" w:h="16840"/>
          <w:pgMar w:header="918" w:footer="999" w:top="1100" w:bottom="1180" w:left="980" w:right="680"/>
        </w:sectPr>
      </w:pPr>
    </w:p>
    <w:p>
      <w:pPr>
        <w:spacing w:line="240" w:lineRule="auto" w:before="7"/>
        <w:rPr>
          <w:rFonts w:ascii="宋体" w:hAnsi="宋体" w:cs="宋体" w:eastAsia="宋体" w:hint="default"/>
          <w:sz w:val="25"/>
          <w:szCs w:val="25"/>
        </w:rPr>
      </w:pPr>
    </w:p>
    <w:p>
      <w:pPr>
        <w:pStyle w:val="Heading4"/>
        <w:spacing w:line="357" w:lineRule="auto" w:before="26"/>
        <w:ind w:right="253"/>
        <w:jc w:val="left"/>
      </w:pPr>
      <w:r>
        <w:rPr/>
        <w:t>优质、高效的学习辅导读物和课外读物，并积极切入教材的开发和发行，全方面服务于青少 年的学习、生活、娱乐和心理健康，避免产品结构过分依赖教辅。</w:t>
      </w:r>
    </w:p>
    <w:p>
      <w:pPr>
        <w:pStyle w:val="Heading4"/>
        <w:spacing w:line="357" w:lineRule="auto"/>
        <w:ind w:left="633" w:right="95"/>
        <w:jc w:val="left"/>
      </w:pPr>
      <w:r>
        <w:rPr/>
        <w:t>（</w:t>
      </w:r>
      <w:r>
        <w:rPr>
          <w:rFonts w:ascii="宋体" w:hAnsi="宋体" w:cs="宋体" w:eastAsia="宋体" w:hint="default"/>
        </w:rPr>
        <w:t>4</w:t>
      </w:r>
      <w:r>
        <w:rPr/>
        <w:t>）新媒体竞争风险 </w:t>
      </w:r>
      <w:r>
        <w:rPr>
          <w:spacing w:val="-3"/>
        </w:rPr>
        <w:t>近年来，数字媒体的迅速发展，特别是互联网、移动互联网、智能数字终端设备的发展，</w:t>
      </w:r>
    </w:p>
    <w:p>
      <w:pPr>
        <w:pStyle w:val="Heading4"/>
        <w:spacing w:line="357" w:lineRule="auto"/>
        <w:ind w:right="270"/>
        <w:jc w:val="both"/>
      </w:pPr>
      <w:r>
        <w:rPr/>
        <w:t>改变了人们对媒介的传统认识和消费理念，也对传统出版物的生产方式、运作流程和销售收 入造成了一定的冲击，如果今后公司在数字出版和新媒体应用方面的发展跟不上社会新媒体 的逐渐普及和图书出版信息化技术的变革，则可能对公司的经营造成一定影响。为此，公司 积极应对，储备人才，研究数字出版的发展趋势和商业模式，寻求合作伙伴与并购对象，力 争快速培育自身的数字出版与新媒体业务板块。</w:t>
      </w:r>
    </w:p>
    <w:p>
      <w:pPr>
        <w:pStyle w:val="Heading4"/>
        <w:spacing w:line="357" w:lineRule="auto"/>
        <w:ind w:left="633" w:right="253"/>
        <w:jc w:val="left"/>
      </w:pPr>
      <w:r>
        <w:rPr/>
        <w:t>（</w:t>
      </w:r>
      <w:r>
        <w:rPr>
          <w:rFonts w:ascii="宋体" w:hAnsi="宋体" w:cs="宋体" w:eastAsia="宋体" w:hint="default"/>
        </w:rPr>
        <w:t>5</w:t>
      </w:r>
      <w:r>
        <w:rPr/>
        <w:t>）人力资源风险 文化企业的发展有赖于各方面专业人才的持续创新和突破，目前公司正处于快速发展的</w:t>
      </w:r>
    </w:p>
    <w:p>
      <w:pPr>
        <w:pStyle w:val="Heading4"/>
        <w:spacing w:line="357" w:lineRule="auto"/>
        <w:ind w:right="95"/>
        <w:jc w:val="left"/>
      </w:pPr>
      <w:r>
        <w:rPr/>
        <w:t>阶段，产品种类不断丰富、销售规模不断增长、销售区域不断扩大，如果公司的人才资源不 能跟随业务的增长而同步扩张，或者公司的核心人才队伍不稳定，都将可能对公司的正常经 </w:t>
      </w:r>
      <w:r>
        <w:rPr>
          <w:spacing w:val="-2"/>
        </w:rPr>
        <w:t>营产生不利影响。公司将把人力资源建设作为核心工作来抓，加强人才的引进、储备和培训，</w:t>
      </w:r>
      <w:r>
        <w:rPr/>
        <w:t> 不断完善薪酬考核体系，适时推出股权激励计划，建立有特色的文化创意企业激励与约束机 制，并营造创新、创业、融洽的企业文化氛围。</w:t>
      </w:r>
    </w:p>
    <w:p>
      <w:pPr>
        <w:spacing w:after="0" w:line="357" w:lineRule="auto"/>
        <w:jc w:val="left"/>
        <w:sectPr>
          <w:pgSz w:w="11910" w:h="16840"/>
          <w:pgMar w:header="918" w:footer="999" w:top="110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42" w:right="2705"/>
        <w:jc w:val="center"/>
        <w:rPr>
          <w:b w:val="0"/>
          <w:bCs w:val="0"/>
        </w:rPr>
      </w:pPr>
      <w:bookmarkStart w:name="_TOC_250006" w:id="3"/>
      <w:r>
        <w:rPr/>
        <w:t>第四节</w:t>
      </w:r>
      <w:r>
        <w:rPr>
          <w:spacing w:val="-5"/>
        </w:rPr>
        <w:t> </w:t>
      </w:r>
      <w:r>
        <w:rPr/>
        <w:t>董事会报告</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w:t>
      </w:r>
      <w:r>
        <w:rPr>
          <w:spacing w:val="-95"/>
        </w:rPr>
        <w:t> </w:t>
      </w:r>
      <w:r>
        <w:rPr/>
        <w:t>管理层讨论与分析</w:t>
      </w:r>
      <w:r>
        <w:rPr>
          <w:b w:val="0"/>
          <w:bCs w:val="0"/>
        </w:rPr>
      </w:r>
    </w:p>
    <w:p>
      <w:pPr>
        <w:spacing w:line="240" w:lineRule="auto" w:before="8"/>
        <w:rPr>
          <w:rFonts w:ascii="宋体" w:hAnsi="宋体" w:cs="宋体" w:eastAsia="宋体" w:hint="default"/>
          <w:b/>
          <w:bCs/>
          <w:sz w:val="28"/>
          <w:szCs w:val="28"/>
        </w:rPr>
      </w:pPr>
    </w:p>
    <w:p>
      <w:pPr>
        <w:pStyle w:val="Heading4"/>
        <w:spacing w:line="357" w:lineRule="auto" w:before="0"/>
        <w:ind w:right="112" w:firstLine="480"/>
        <w:jc w:val="both"/>
      </w:pPr>
      <w:r>
        <w:rPr>
          <w:rFonts w:ascii="宋体" w:hAnsi="宋体" w:cs="宋体" w:eastAsia="宋体" w:hint="default"/>
        </w:rPr>
        <w:t>2012</w:t>
      </w:r>
      <w:r>
        <w:rPr>
          <w:rFonts w:ascii="宋体" w:hAnsi="宋体" w:cs="宋体" w:eastAsia="宋体" w:hint="default"/>
          <w:spacing w:val="-82"/>
        </w:rPr>
        <w:t> </w:t>
      </w:r>
      <w:r>
        <w:rPr/>
        <w:t>年是公司实施五年规划的布局之年。在经济运行环境整体变幻莫测，新媒体、教辅 新政给行业带来巨大影响的情况下，公司面对挑战，认真分析形势，顺应变化，紧扣五年战</w:t>
      </w:r>
      <w:r>
        <w:rPr>
          <w:spacing w:val="-91"/>
        </w:rPr>
        <w:t> </w:t>
      </w:r>
      <w:r>
        <w:rPr>
          <w:spacing w:val="-91"/>
        </w:rPr>
      </w:r>
      <w:r>
        <w:rPr/>
        <w:t>略规划，以“教育服务”为内涵，以“文化发展”为外延，在产业结构和市场渠道上加快战</w:t>
      </w:r>
      <w:r>
        <w:rPr>
          <w:spacing w:val="-90"/>
        </w:rPr>
        <w:t> </w:t>
      </w:r>
      <w:r>
        <w:rPr>
          <w:spacing w:val="-90"/>
        </w:rPr>
      </w:r>
      <w:r>
        <w:rPr>
          <w:spacing w:val="-6"/>
        </w:rPr>
        <w:t>略布局；在管理上注重规范狠抓执行，努力提升自身业务及管理能力，向“集团化”、“品牌</w:t>
      </w:r>
      <w:r>
        <w:rPr>
          <w:spacing w:val="-85"/>
        </w:rPr>
        <w:t> </w:t>
      </w:r>
      <w:r>
        <w:rPr>
          <w:spacing w:val="-85"/>
        </w:rPr>
      </w:r>
      <w:r>
        <w:rPr/>
        <w:t>化”和“规范化”转型，稳步推动各项业务开展，取得了一定成绩。</w:t>
      </w:r>
    </w:p>
    <w:p>
      <w:pPr>
        <w:pStyle w:val="Heading4"/>
        <w:spacing w:line="357" w:lineRule="auto"/>
        <w:ind w:right="108" w:firstLine="482"/>
        <w:jc w:val="both"/>
      </w:pPr>
      <w:r>
        <w:rPr>
          <w:rFonts w:ascii="宋体" w:hAnsi="宋体" w:cs="宋体" w:eastAsia="宋体" w:hint="default"/>
          <w:b/>
          <w:bCs/>
          <w:spacing w:val="-5"/>
        </w:rPr>
        <w:t>第一、公司主营业务基本稳定，加快了新业务的培育。</w:t>
      </w:r>
      <w:r>
        <w:rPr>
          <w:rFonts w:ascii="宋体" w:hAnsi="宋体" w:cs="宋体" w:eastAsia="宋体" w:hint="default"/>
          <w:spacing w:val="-5"/>
        </w:rPr>
        <w:t>2012</w:t>
      </w:r>
      <w:r>
        <w:rPr>
          <w:spacing w:val="-5"/>
        </w:rPr>
        <w:t>年公司实现营业收入</w:t>
      </w:r>
      <w:r>
        <w:rPr>
          <w:rFonts w:ascii="宋体" w:hAnsi="宋体" w:cs="宋体" w:eastAsia="宋体" w:hint="default"/>
          <w:spacing w:val="-5"/>
        </w:rPr>
        <w:t>27990.78</w:t>
      </w:r>
      <w:r>
        <w:rPr>
          <w:rFonts w:ascii="宋体" w:hAnsi="宋体" w:cs="宋体" w:eastAsia="宋体" w:hint="default"/>
        </w:rPr>
        <w:t> </w:t>
      </w:r>
      <w:r>
        <w:rPr/>
        <w:t>万元，比上年同期增长</w:t>
      </w:r>
      <w:r>
        <w:rPr>
          <w:rFonts w:ascii="宋体" w:hAnsi="宋体" w:cs="宋体" w:eastAsia="宋体" w:hint="default"/>
        </w:rPr>
        <w:t>0.83 %</w:t>
      </w:r>
      <w:r>
        <w:rPr/>
        <w:t>；营业利润</w:t>
      </w:r>
      <w:r>
        <w:rPr>
          <w:rFonts w:ascii="宋体" w:hAnsi="宋体" w:cs="宋体" w:eastAsia="宋体" w:hint="default"/>
        </w:rPr>
        <w:t>2908.13</w:t>
      </w:r>
      <w:r>
        <w:rPr/>
        <w:t>万元，比上年同期减少</w:t>
      </w:r>
      <w:r>
        <w:rPr>
          <w:rFonts w:ascii="宋体" w:hAnsi="宋体" w:cs="宋体" w:eastAsia="宋体" w:hint="default"/>
        </w:rPr>
        <w:t>34.18 %</w:t>
      </w:r>
      <w:r>
        <w:rPr/>
        <w:t>；归属于母 公司所有者的净利润</w:t>
      </w:r>
      <w:r>
        <w:rPr>
          <w:rFonts w:ascii="宋体" w:hAnsi="宋体" w:cs="宋体" w:eastAsia="宋体" w:hint="default"/>
        </w:rPr>
        <w:t>1900.10</w:t>
      </w:r>
      <w:r>
        <w:rPr/>
        <w:t>万元，比上年同期减少</w:t>
      </w:r>
      <w:r>
        <w:rPr>
          <w:rFonts w:ascii="宋体" w:hAnsi="宋体" w:cs="宋体" w:eastAsia="宋体" w:hint="default"/>
        </w:rPr>
        <w:t>42.74%</w:t>
      </w:r>
      <w:r>
        <w:rPr/>
        <w:t>。</w:t>
      </w:r>
    </w:p>
    <w:p>
      <w:pPr>
        <w:pStyle w:val="Heading4"/>
        <w:spacing w:line="357" w:lineRule="auto"/>
        <w:ind w:right="111" w:firstLine="480"/>
        <w:jc w:val="both"/>
      </w:pPr>
      <w:r>
        <w:rPr/>
        <w:t>报告期内，公司主营业务在消化了政策调整的影响后，基本保持了稳定，但利润有一定 的下降，主要原因包括以下几个方面：一是基于公司发展战略，加大了对教育培训、数字出 版、教育信息服务等新业务方面的培育，成本、费用增长较快；二是为适应国家教辅管理新 政，公司新开发的小学至高中阶段全科覆盖的《能力培养与测试》系列产品，</w:t>
      </w:r>
      <w:r>
        <w:rPr>
          <w:rFonts w:ascii="宋体" w:hAnsi="宋体" w:cs="宋体" w:eastAsia="宋体" w:hint="default"/>
        </w:rPr>
        <w:t>2012</w:t>
      </w:r>
      <w:r>
        <w:rPr>
          <w:rFonts w:ascii="宋体" w:hAnsi="宋体" w:cs="宋体" w:eastAsia="宋体" w:hint="default"/>
          <w:spacing w:val="-80"/>
        </w:rPr>
        <w:t> </w:t>
      </w:r>
      <w:r>
        <w:rPr/>
        <w:t>年开始在 </w:t>
      </w:r>
      <w:r>
        <w:rPr>
          <w:spacing w:val="-3"/>
        </w:rPr>
        <w:t>全国市场开展产品研发、各省送审上目录、市场推广等工作，但销售须到</w:t>
      </w:r>
      <w:r>
        <w:rPr>
          <w:spacing w:val="-53"/>
        </w:rPr>
        <w:t> </w:t>
      </w:r>
      <w:r>
        <w:rPr>
          <w:rFonts w:ascii="宋体" w:hAnsi="宋体" w:cs="宋体" w:eastAsia="宋体" w:hint="default"/>
        </w:rPr>
        <w:t>2013</w:t>
      </w:r>
      <w:r>
        <w:rPr>
          <w:rFonts w:ascii="宋体" w:hAnsi="宋体" w:cs="宋体" w:eastAsia="宋体" w:hint="default"/>
          <w:spacing w:val="-55"/>
        </w:rPr>
        <w:t> </w:t>
      </w:r>
      <w:r>
        <w:rPr/>
        <w:t>年才能全面体</w:t>
      </w:r>
    </w:p>
    <w:p>
      <w:pPr>
        <w:pStyle w:val="Heading4"/>
        <w:spacing w:line="357" w:lineRule="auto"/>
        <w:ind w:right="111"/>
        <w:jc w:val="both"/>
      </w:pPr>
      <w:r>
        <w:rPr>
          <w:spacing w:val="-3"/>
        </w:rPr>
        <w:t>现，加大了当期成本、费用负担，导致了公司当期利润的下降；三是</w:t>
      </w:r>
      <w:r>
        <w:rPr>
          <w:spacing w:val="-46"/>
        </w:rPr>
        <w:t> </w:t>
      </w:r>
      <w:r>
        <w:rPr>
          <w:rFonts w:ascii="宋体" w:hAnsi="宋体" w:cs="宋体" w:eastAsia="宋体" w:hint="default"/>
        </w:rPr>
        <w:t>2012</w:t>
      </w:r>
      <w:r>
        <w:rPr>
          <w:rFonts w:ascii="宋体" w:hAnsi="宋体" w:cs="宋体" w:eastAsia="宋体" w:hint="default"/>
          <w:spacing w:val="-47"/>
        </w:rPr>
        <w:t> </w:t>
      </w:r>
      <w:r>
        <w:rPr>
          <w:spacing w:val="-3"/>
        </w:rPr>
        <w:t>年湖南省的“农家</w:t>
      </w:r>
      <w:r>
        <w:rPr>
          <w:spacing w:val="-118"/>
        </w:rPr>
        <w:t> </w:t>
      </w:r>
      <w:r>
        <w:rPr>
          <w:spacing w:val="-118"/>
        </w:rPr>
      </w:r>
      <w:r>
        <w:rPr/>
        <w:t>书屋”建设已近尾声，公司中标金额为</w:t>
      </w:r>
      <w:r>
        <w:rPr>
          <w:spacing w:val="-68"/>
        </w:rPr>
        <w:t> </w:t>
      </w:r>
      <w:r>
        <w:rPr>
          <w:rFonts w:ascii="宋体" w:hAnsi="宋体" w:cs="宋体" w:eastAsia="宋体" w:hint="default"/>
        </w:rPr>
        <w:t>4975</w:t>
      </w:r>
      <w:r>
        <w:rPr>
          <w:rFonts w:ascii="宋体" w:hAnsi="宋体" w:cs="宋体" w:eastAsia="宋体" w:hint="default"/>
          <w:spacing w:val="-68"/>
        </w:rPr>
        <w:t> </w:t>
      </w:r>
      <w:r>
        <w:rPr/>
        <w:t>万元，比上年度下降了</w:t>
      </w:r>
      <w:r>
        <w:rPr>
          <w:spacing w:val="-68"/>
        </w:rPr>
        <w:t> </w:t>
      </w:r>
      <w:r>
        <w:rPr>
          <w:rFonts w:ascii="宋体" w:hAnsi="宋体" w:cs="宋体" w:eastAsia="宋体" w:hint="default"/>
        </w:rPr>
        <w:t>36.1%</w:t>
      </w:r>
      <w:r>
        <w:rPr/>
        <w:t>，导致当期利润下 降。</w:t>
      </w:r>
    </w:p>
    <w:p>
      <w:pPr>
        <w:pStyle w:val="Heading4"/>
        <w:spacing w:line="357" w:lineRule="auto"/>
        <w:ind w:right="151" w:firstLine="482"/>
        <w:jc w:val="both"/>
      </w:pPr>
      <w:r>
        <w:rPr>
          <w:rFonts w:ascii="宋体" w:hAnsi="宋体" w:cs="宋体" w:eastAsia="宋体" w:hint="default"/>
          <w:b/>
          <w:bCs/>
        </w:rPr>
        <w:t>第二、构建立体式产业布局，核心业务版块逐步形成。 </w:t>
      </w:r>
      <w:r>
        <w:rPr>
          <w:rFonts w:ascii="宋体" w:hAnsi="宋体" w:cs="宋体" w:eastAsia="宋体" w:hint="default"/>
        </w:rPr>
        <w:t>2012</w:t>
      </w:r>
      <w:r>
        <w:rPr>
          <w:rFonts w:ascii="宋体" w:hAnsi="宋体" w:cs="宋体" w:eastAsia="宋体" w:hint="default"/>
          <w:spacing w:val="-61"/>
        </w:rPr>
        <w:t> </w:t>
      </w:r>
      <w:r>
        <w:rPr/>
        <w:t>年，公司按照新的五年战 略规划，进行多向扩张的产业布局：文教出版向教育服务延伸，纸质媒介向多媒体转型，市 场空间向全国拓展。目前公司已初步形成了策划发行、教育服务、新媒体、文化创意等四大 核心业务板块，为后续发展打下了基础。</w:t>
      </w:r>
    </w:p>
    <w:p>
      <w:pPr>
        <w:pStyle w:val="Heading4"/>
        <w:spacing w:line="357" w:lineRule="auto" w:before="37"/>
        <w:ind w:right="108" w:firstLine="482"/>
        <w:jc w:val="both"/>
      </w:pPr>
      <w:r>
        <w:rPr>
          <w:rFonts w:ascii="宋体" w:hAnsi="宋体" w:cs="宋体" w:eastAsia="宋体" w:hint="default"/>
          <w:b/>
          <w:bCs/>
          <w:w w:val="95"/>
        </w:rPr>
        <w:t>第三、自主知识产权容量进一步扩大，内容资源更加丰富。</w:t>
      </w:r>
      <w:r>
        <w:rPr>
          <w:rFonts w:ascii="宋体" w:hAnsi="宋体" w:cs="宋体" w:eastAsia="宋体" w:hint="default"/>
          <w:w w:val="95"/>
        </w:rPr>
        <w:t>2012</w:t>
      </w:r>
      <w:r>
        <w:rPr>
          <w:rFonts w:ascii="宋体" w:hAnsi="宋体" w:cs="宋体" w:eastAsia="宋体" w:hint="default"/>
          <w:spacing w:val="57"/>
          <w:w w:val="95"/>
        </w:rPr>
        <w:t> </w:t>
      </w:r>
      <w:r>
        <w:rPr>
          <w:w w:val="95"/>
        </w:rPr>
        <w:t>年，公司完成了适应教</w:t>
      </w:r>
      <w:r>
        <w:rPr/>
        <w:t> </w:t>
      </w:r>
      <w:r>
        <w:rPr>
          <w:spacing w:val="-12"/>
        </w:rPr>
        <w:t>辅新政的经由出版社授权编写的全学段、全学科《能力培养与测试》、《剑指中考》、《剑指高</w:t>
      </w:r>
      <w:r>
        <w:rPr>
          <w:spacing w:val="-96"/>
        </w:rPr>
        <w:t> </w:t>
      </w:r>
      <w:r>
        <w:rPr>
          <w:spacing w:val="-96"/>
        </w:rPr>
      </w:r>
      <w:r>
        <w:rPr>
          <w:spacing w:val="-11"/>
        </w:rPr>
        <w:t>考》、《快乐寒暑假作业》等产品的开发；学前教育资源第一批</w:t>
      </w:r>
      <w:r>
        <w:rPr>
          <w:spacing w:val="-55"/>
        </w:rPr>
        <w:t> </w:t>
      </w:r>
      <w:r>
        <w:rPr>
          <w:rFonts w:ascii="宋体" w:hAnsi="宋体" w:cs="宋体" w:eastAsia="宋体" w:hint="default"/>
        </w:rPr>
        <w:t>50</w:t>
      </w:r>
      <w:r>
        <w:rPr>
          <w:rFonts w:ascii="宋体" w:hAnsi="宋体" w:cs="宋体" w:eastAsia="宋体" w:hint="default"/>
          <w:spacing w:val="-56"/>
        </w:rPr>
        <w:t> </w:t>
      </w:r>
      <w:r>
        <w:rPr>
          <w:spacing w:val="-2"/>
        </w:rPr>
        <w:t>种产品已进入编写阶段；幼</w:t>
      </w:r>
      <w:r>
        <w:rPr/>
        <w:t> 少英语、数学教育培训课程体系完成了部分开发，上述内容研发夯实了公司的自主知识产品 资源。</w:t>
      </w:r>
    </w:p>
    <w:p>
      <w:pPr>
        <w:spacing w:after="0" w:line="357" w:lineRule="auto"/>
        <w:jc w:val="both"/>
        <w:sectPr>
          <w:pgSz w:w="11910" w:h="16840"/>
          <w:pgMar w:header="918" w:footer="999" w:top="1100" w:bottom="1180" w:left="980" w:right="1020"/>
        </w:sectPr>
      </w:pPr>
    </w:p>
    <w:p>
      <w:pPr>
        <w:spacing w:line="240" w:lineRule="auto" w:before="7"/>
        <w:rPr>
          <w:rFonts w:ascii="宋体" w:hAnsi="宋体" w:cs="宋体" w:eastAsia="宋体" w:hint="default"/>
          <w:sz w:val="25"/>
          <w:szCs w:val="25"/>
        </w:rPr>
      </w:pPr>
    </w:p>
    <w:p>
      <w:pPr>
        <w:pStyle w:val="Heading4"/>
        <w:spacing w:line="357" w:lineRule="auto" w:before="26"/>
        <w:ind w:right="209" w:firstLine="482"/>
        <w:jc w:val="right"/>
      </w:pPr>
      <w:r>
        <w:rPr>
          <w:rFonts w:ascii="宋体" w:hAnsi="宋体" w:cs="宋体" w:eastAsia="宋体" w:hint="default"/>
          <w:b/>
          <w:bCs/>
          <w:w w:val="95"/>
        </w:rPr>
        <w:t>第四、销售区域扩大，产品影响力增强。</w:t>
      </w:r>
      <w:r>
        <w:rPr>
          <w:rFonts w:ascii="宋体" w:hAnsi="宋体" w:cs="宋体" w:eastAsia="宋体" w:hint="default"/>
          <w:w w:val="95"/>
        </w:rPr>
        <w:t>2012</w:t>
      </w:r>
      <w:r>
        <w:rPr>
          <w:rFonts w:ascii="宋体" w:hAnsi="宋体" w:cs="宋体" w:eastAsia="宋体" w:hint="default"/>
          <w:spacing w:val="17"/>
          <w:w w:val="95"/>
        </w:rPr>
        <w:t> </w:t>
      </w:r>
      <w:r>
        <w:rPr>
          <w:w w:val="95"/>
        </w:rPr>
        <w:t>年湖南省内教辅发行稳中有升的同时，省</w:t>
      </w:r>
      <w:r>
        <w:rPr/>
        <w:t> 外教辅市场开拓取得了良好的业绩，公司与人民教育出版社、语文教育出版社等出版社合作 出版的《能力培养与测试》全学段系列教辅产品已成功进入了安徽、湖北、河南、河北、新 疆、青海、福建、宁夏、西藏、四川等省份的教辅目录。省外市场销售同比增长了</w:t>
      </w:r>
      <w:r>
        <w:rPr>
          <w:spacing w:val="-60"/>
        </w:rPr>
        <w:t> </w:t>
      </w:r>
      <w:r>
        <w:rPr>
          <w:rFonts w:ascii="宋体" w:hAnsi="宋体" w:cs="宋体" w:eastAsia="宋体" w:hint="default"/>
        </w:rPr>
        <w:t>30.64%</w:t>
      </w:r>
      <w:r>
        <w:rPr/>
        <w:t>。 </w:t>
      </w:r>
      <w:r>
        <w:rPr>
          <w:rFonts w:ascii="宋体" w:hAnsi="宋体" w:cs="宋体" w:eastAsia="宋体" w:hint="default"/>
          <w:b/>
          <w:bCs/>
        </w:rPr>
        <w:t>第五、稳步开拓新的业务板块，培养新的利润增长点。</w:t>
      </w:r>
      <w:r>
        <w:rPr>
          <w:rFonts w:ascii="宋体" w:hAnsi="宋体" w:cs="宋体" w:eastAsia="宋体" w:hint="default"/>
        </w:rPr>
        <w:t>2012</w:t>
      </w:r>
      <w:r>
        <w:rPr>
          <w:rFonts w:ascii="宋体" w:hAnsi="宋体" w:cs="宋体" w:eastAsia="宋体" w:hint="default"/>
          <w:spacing w:val="-76"/>
        </w:rPr>
        <w:t> </w:t>
      </w:r>
      <w:r>
        <w:rPr/>
        <w:t>年</w:t>
      </w:r>
      <w:r>
        <w:rPr>
          <w:spacing w:val="-76"/>
        </w:rPr>
        <w:t> </w:t>
      </w:r>
      <w:r>
        <w:rPr>
          <w:rFonts w:ascii="宋体" w:hAnsi="宋体" w:cs="宋体" w:eastAsia="宋体" w:hint="default"/>
        </w:rPr>
        <w:t>6</w:t>
      </w:r>
      <w:r>
        <w:rPr>
          <w:rFonts w:ascii="宋体" w:hAnsi="宋体" w:cs="宋体" w:eastAsia="宋体" w:hint="default"/>
          <w:spacing w:val="-76"/>
        </w:rPr>
        <w:t> </w:t>
      </w:r>
      <w:r>
        <w:rPr/>
        <w:t>月公司启动了教育培训 项目，成立了东方天舟教育培训机构，目前已在北京和天津设立</w:t>
      </w:r>
      <w:r>
        <w:rPr>
          <w:spacing w:val="-59"/>
        </w:rPr>
        <w:t> </w:t>
      </w:r>
      <w:r>
        <w:rPr>
          <w:rFonts w:ascii="宋体" w:hAnsi="宋体" w:cs="宋体" w:eastAsia="宋体" w:hint="default"/>
        </w:rPr>
        <w:t>5</w:t>
      </w:r>
      <w:r>
        <w:rPr>
          <w:rFonts w:ascii="宋体" w:hAnsi="宋体" w:cs="宋体" w:eastAsia="宋体" w:hint="default"/>
          <w:spacing w:val="-60"/>
        </w:rPr>
        <w:t> </w:t>
      </w:r>
      <w:r>
        <w:rPr/>
        <w:t>个教学点，培训模式基本 确立，招生人数稳定增长。下一步主要是课程体系的持续开发和优化，同时加强营销力度， 向全国市场拓展；建立了以“微课堂”为核心功能的在线教育资源交流平台——云上森林信 息技术（北京）有限公司，积极探索新的教育培训模式。经长沙市委、市政府评定，公司获</w:t>
      </w:r>
    </w:p>
    <w:p>
      <w:pPr>
        <w:spacing w:line="357" w:lineRule="auto" w:before="36"/>
        <w:ind w:left="635" w:right="289" w:hanging="483"/>
        <w:jc w:val="left"/>
        <w:rPr>
          <w:rFonts w:ascii="宋体" w:hAnsi="宋体" w:cs="宋体" w:eastAsia="宋体" w:hint="default"/>
          <w:sz w:val="24"/>
          <w:szCs w:val="24"/>
        </w:rPr>
      </w:pPr>
      <w:r>
        <w:rPr>
          <w:rFonts w:ascii="宋体" w:hAnsi="宋体" w:cs="宋体" w:eastAsia="宋体" w:hint="default"/>
          <w:sz w:val="24"/>
          <w:szCs w:val="24"/>
        </w:rPr>
        <w:t>得长沙市首批“文化和科技融合示范企业”称号。 </w:t>
      </w:r>
      <w:r>
        <w:rPr>
          <w:rFonts w:ascii="宋体" w:hAnsi="宋体" w:cs="宋体" w:eastAsia="宋体" w:hint="default"/>
          <w:b/>
          <w:bCs/>
          <w:spacing w:val="-4"/>
          <w:w w:val="99"/>
          <w:sz w:val="24"/>
          <w:szCs w:val="24"/>
        </w:rPr>
        <w:t>第六、围绕“文化”，聚合优势出版资源，打造精品阅读。</w:t>
      </w:r>
      <w:r>
        <w:rPr>
          <w:rFonts w:ascii="宋体" w:hAnsi="宋体" w:cs="宋体" w:eastAsia="宋体" w:hint="default"/>
          <w:spacing w:val="-4"/>
          <w:w w:val="99"/>
          <w:sz w:val="24"/>
          <w:szCs w:val="24"/>
        </w:rPr>
        <w:t>2012</w:t>
      </w:r>
      <w:r>
        <w:rPr>
          <w:rFonts w:ascii="宋体" w:hAnsi="宋体" w:cs="宋体" w:eastAsia="宋体" w:hint="default"/>
          <w:spacing w:val="-29"/>
          <w:w w:val="99"/>
          <w:sz w:val="24"/>
          <w:szCs w:val="24"/>
        </w:rPr>
        <w:t> </w:t>
      </w:r>
      <w:r>
        <w:rPr>
          <w:rFonts w:ascii="宋体" w:hAnsi="宋体" w:cs="宋体" w:eastAsia="宋体" w:hint="default"/>
          <w:spacing w:val="-1"/>
          <w:sz w:val="24"/>
          <w:szCs w:val="24"/>
        </w:rPr>
        <w:t>年，公司通过与有品牌</w:t>
      </w:r>
    </w:p>
    <w:p>
      <w:pPr>
        <w:pStyle w:val="Heading4"/>
        <w:spacing w:line="357" w:lineRule="auto"/>
        <w:ind w:right="253"/>
        <w:jc w:val="left"/>
      </w:pPr>
      <w:r>
        <w:rPr/>
        <w:t>影响力的作者合作，推出了一系列有影响力的作品，打造精品阅读，公司的品牌影响力进一 步得到了提高。</w:t>
      </w:r>
    </w:p>
    <w:p>
      <w:pPr>
        <w:pStyle w:val="Heading4"/>
        <w:spacing w:line="357" w:lineRule="auto"/>
        <w:ind w:right="215" w:firstLine="480"/>
        <w:jc w:val="left"/>
      </w:pPr>
      <w:r>
        <w:rPr/>
        <w:t>公司策划出版的系列图书获得了市场的认可和良好的评价</w:t>
      </w:r>
      <w:r>
        <w:rPr>
          <w:spacing w:val="-41"/>
        </w:rPr>
        <w:t>，</w:t>
      </w:r>
      <w:r>
        <w:rPr/>
        <w:t>其中</w:t>
      </w:r>
      <w:r>
        <w:rPr>
          <w:spacing w:val="-161"/>
        </w:rPr>
        <w:t>：</w:t>
      </w:r>
      <w:r>
        <w:rPr/>
        <w:t>《野草莓山谷里的短耳</w:t>
      </w:r>
      <w:r>
        <w:rPr/>
        <w:t> 兔</w:t>
      </w:r>
      <w:r>
        <w:rPr>
          <w:spacing w:val="-159"/>
        </w:rPr>
        <w:t>》</w:t>
      </w:r>
      <w:r>
        <w:rPr/>
        <w:t>《苏格兰裙男生</w:t>
      </w:r>
      <w:r>
        <w:rPr>
          <w:spacing w:val="-159"/>
        </w:rPr>
        <w:t>》</w:t>
      </w:r>
      <w:r>
        <w:rPr>
          <w:spacing w:val="2"/>
        </w:rPr>
        <w:t>《</w:t>
      </w:r>
      <w:r>
        <w:rPr/>
        <w:t>我是你的拉拉队</w:t>
      </w:r>
      <w:r>
        <w:rPr>
          <w:spacing w:val="-159"/>
        </w:rPr>
        <w:t>》</w:t>
      </w:r>
      <w:r>
        <w:rPr/>
        <w:t>（文学类</w:t>
      </w:r>
      <w:r>
        <w:rPr>
          <w:spacing w:val="-39"/>
        </w:rPr>
        <w:t>）</w:t>
      </w:r>
      <w:r>
        <w:rPr/>
        <w:t>获得</w:t>
      </w:r>
      <w:r>
        <w:rPr>
          <w:spacing w:val="-38"/>
        </w:rPr>
        <w:t> </w:t>
      </w:r>
      <w:r>
        <w:rPr/>
        <w:t>“</w:t>
      </w:r>
      <w:r>
        <w:rPr>
          <w:rFonts w:ascii="宋体" w:hAnsi="宋体" w:cs="宋体" w:eastAsia="宋体" w:hint="default"/>
        </w:rPr>
        <w:t>2012</w:t>
      </w:r>
      <w:r>
        <w:rPr>
          <w:rFonts w:ascii="宋体" w:hAnsi="宋体" w:cs="宋体" w:eastAsia="宋体" w:hint="default"/>
          <w:spacing w:val="-60"/>
        </w:rPr>
        <w:t> </w:t>
      </w:r>
      <w:r>
        <w:rPr>
          <w:spacing w:val="2"/>
        </w:rPr>
        <w:t>年</w:t>
      </w:r>
      <w:r>
        <w:rPr/>
        <w:t>度桂冠童书</w:t>
      </w:r>
      <w:r>
        <w:rPr>
          <w:spacing w:val="-120"/>
        </w:rPr>
        <w:t>”</w:t>
      </w:r>
      <w:r>
        <w:rPr/>
        <w:t>；</w:t>
      </w:r>
      <w:r>
        <w:rPr>
          <w:spacing w:val="-39"/>
        </w:rPr>
        <w:t> </w:t>
      </w:r>
      <w:r>
        <w:rPr/>
        <w:t>杨鹏</w:t>
      </w:r>
      <w:r>
        <w:rPr>
          <w:spacing w:val="-39"/>
        </w:rPr>
        <w:t>的</w:t>
      </w:r>
      <w:r>
        <w:rPr/>
        <w:t>《超</w:t>
      </w:r>
      <w:r>
        <w:rPr/>
        <w:t> 能神探帅小天》被评为“</w:t>
      </w:r>
      <w:r>
        <w:rPr>
          <w:rFonts w:ascii="宋体" w:hAnsi="宋体" w:cs="宋体" w:eastAsia="宋体" w:hint="default"/>
        </w:rPr>
        <w:t>2012</w:t>
      </w:r>
      <w:r>
        <w:rPr>
          <w:rFonts w:ascii="宋体" w:hAnsi="宋体" w:cs="宋体" w:eastAsia="宋体" w:hint="default"/>
          <w:spacing w:val="-60"/>
        </w:rPr>
        <w:t> </w:t>
      </w:r>
      <w:r>
        <w:rPr/>
        <w:t>年度中国影响力图书</w:t>
      </w:r>
      <w:r>
        <w:rPr>
          <w:spacing w:val="-120"/>
        </w:rPr>
        <w:t>”</w:t>
      </w:r>
      <w:r>
        <w:rPr/>
        <w:t>；张炜的《游走：从少年到青年》获得</w:t>
      </w:r>
      <w:r>
        <w:rPr/>
        <w:t> “</w:t>
      </w:r>
      <w:r>
        <w:rPr>
          <w:rFonts w:ascii="宋体" w:hAnsi="宋体" w:cs="宋体" w:eastAsia="宋体" w:hint="default"/>
        </w:rPr>
        <w:t>2012</w:t>
      </w:r>
      <w:r>
        <w:rPr>
          <w:rFonts w:ascii="宋体" w:hAnsi="宋体" w:cs="宋体" w:eastAsia="宋体" w:hint="default"/>
          <w:spacing w:val="-60"/>
        </w:rPr>
        <w:t> </w:t>
      </w:r>
      <w:r>
        <w:rPr/>
        <w:t>年度畅销书</w:t>
      </w:r>
      <w:r>
        <w:rPr>
          <w:spacing w:val="-120"/>
        </w:rPr>
        <w:t>”；</w:t>
      </w:r>
      <w:r>
        <w:rPr/>
        <w:t>《洛克王国神宠传说》获“</w:t>
      </w:r>
      <w:r>
        <w:rPr>
          <w:rFonts w:ascii="宋体" w:hAnsi="宋体" w:cs="宋体" w:eastAsia="宋体" w:hint="default"/>
        </w:rPr>
        <w:t>2012</w:t>
      </w:r>
      <w:r>
        <w:rPr>
          <w:rFonts w:ascii="宋体" w:hAnsi="宋体" w:cs="宋体" w:eastAsia="宋体" w:hint="default"/>
          <w:spacing w:val="-60"/>
        </w:rPr>
        <w:t> </w:t>
      </w:r>
      <w:r>
        <w:rPr/>
        <w:t>年度桂冠童书（多媒体类</w:t>
      </w:r>
      <w:r>
        <w:rPr>
          <w:spacing w:val="-120"/>
        </w:rPr>
        <w:t>）”；</w:t>
      </w:r>
      <w:r>
        <w:rPr/>
        <w:t>《洛克王</w:t>
      </w:r>
      <w:r>
        <w:rPr/>
        <w:t> 国剧情漫画龙之战争》获“</w:t>
      </w:r>
      <w:r>
        <w:rPr>
          <w:rFonts w:ascii="宋体" w:hAnsi="宋体" w:cs="宋体" w:eastAsia="宋体" w:hint="default"/>
        </w:rPr>
        <w:t>2012</w:t>
      </w:r>
      <w:r>
        <w:rPr>
          <w:rFonts w:ascii="宋体" w:hAnsi="宋体" w:cs="宋体" w:eastAsia="宋体" w:hint="default"/>
          <w:spacing w:val="-60"/>
        </w:rPr>
        <w:t> </w:t>
      </w:r>
      <w:r>
        <w:rPr/>
        <w:t>年度桂冠童书（动漫类</w:t>
      </w:r>
      <w:r>
        <w:rPr>
          <w:spacing w:val="-120"/>
        </w:rPr>
        <w:t>）”</w:t>
      </w:r>
      <w:r>
        <w:rPr/>
        <w:t>。</w:t>
      </w:r>
    </w:p>
    <w:p>
      <w:pPr>
        <w:pStyle w:val="Heading4"/>
        <w:spacing w:line="357" w:lineRule="auto"/>
        <w:ind w:right="230" w:firstLine="482"/>
        <w:jc w:val="both"/>
      </w:pPr>
      <w:r>
        <w:rPr>
          <w:rFonts w:ascii="宋体" w:hAnsi="宋体" w:cs="宋体" w:eastAsia="宋体" w:hint="default"/>
          <w:b/>
          <w:bCs/>
        </w:rPr>
        <w:t>第七、积极开拓数字出版与新媒体业务。</w:t>
      </w:r>
      <w:r>
        <w:rPr/>
        <w:t>基于云计算技术，为实现客户利用云终端使用 </w:t>
      </w:r>
      <w:r>
        <w:rPr>
          <w:spacing w:val="-5"/>
        </w:rPr>
        <w:t>硬件环境及云平台教育资源内容的目的，公司建设了“天舟教育云平台”，为客户提供终生教</w:t>
      </w:r>
      <w:r>
        <w:rPr>
          <w:spacing w:val="-116"/>
        </w:rPr>
        <w:t> </w:t>
      </w:r>
      <w:r>
        <w:rPr>
          <w:spacing w:val="-116"/>
        </w:rPr>
      </w:r>
      <w:r>
        <w:rPr/>
        <w:t>育服务；北京东方天舟教育科技有限公司和云上森林信息技术（北京）有限公司分别开发了 “</w:t>
      </w:r>
      <w:r>
        <w:rPr>
          <w:rFonts w:ascii="宋体" w:hAnsi="宋体" w:cs="宋体" w:eastAsia="宋体" w:hint="default"/>
        </w:rPr>
        <w:t>ILearn Park</w:t>
      </w:r>
      <w:r>
        <w:rPr/>
        <w:t>”和小学作文的第三方应用软件，先后在 </w:t>
      </w:r>
      <w:r>
        <w:rPr>
          <w:rFonts w:ascii="宋体" w:hAnsi="宋体" w:cs="宋体" w:eastAsia="宋体" w:hint="default"/>
        </w:rPr>
        <w:t>App Store </w:t>
      </w:r>
      <w:r>
        <w:rPr/>
        <w:t>上线运营；</w:t>
      </w:r>
      <w:r>
        <w:rPr>
          <w:rFonts w:ascii="宋体" w:hAnsi="宋体" w:cs="宋体" w:eastAsia="宋体" w:hint="default"/>
        </w:rPr>
        <w:t>2012</w:t>
      </w:r>
      <w:r>
        <w:rPr>
          <w:rFonts w:ascii="宋体" w:hAnsi="宋体" w:cs="宋体" w:eastAsia="宋体" w:hint="default"/>
          <w:spacing w:val="-84"/>
        </w:rPr>
        <w:t> </w:t>
      </w:r>
      <w:r>
        <w:rPr/>
        <w:t>年公司 还取得了“多媒体教学一体机软件”等十项软件著作权。</w:t>
      </w:r>
    </w:p>
    <w:p>
      <w:pPr>
        <w:pStyle w:val="Heading4"/>
        <w:spacing w:line="357" w:lineRule="auto"/>
        <w:ind w:right="113" w:firstLine="600"/>
        <w:jc w:val="left"/>
      </w:pPr>
      <w:r>
        <w:rPr>
          <w:rFonts w:ascii="宋体" w:hAnsi="宋体" w:cs="宋体" w:eastAsia="宋体" w:hint="default"/>
          <w:b/>
          <w:bCs/>
        </w:rPr>
        <w:t>第八、增强服务意识，加大规范运作力度。</w:t>
      </w:r>
      <w:r>
        <w:rPr>
          <w:rFonts w:ascii="宋体" w:hAnsi="宋体" w:cs="宋体" w:eastAsia="宋体" w:hint="default"/>
        </w:rPr>
        <w:t>2012</w:t>
      </w:r>
      <w:r>
        <w:rPr>
          <w:rFonts w:ascii="宋体" w:hAnsi="宋体" w:cs="宋体" w:eastAsia="宋体" w:hint="default"/>
          <w:spacing w:val="-60"/>
        </w:rPr>
        <w:t> </w:t>
      </w:r>
      <w:r>
        <w:rPr/>
        <w:t>年，管理部门坚持以业务发展和客户 需求为重点来提供相应服务，重管理，强服务，监管和服务一体化，加强监管的同时注重提 </w:t>
      </w:r>
      <w:r>
        <w:rPr>
          <w:spacing w:val="-4"/>
        </w:rPr>
        <w:t>高服务质量和水平。</w:t>
      </w:r>
      <w:r>
        <w:rPr>
          <w:rFonts w:ascii="宋体" w:hAnsi="宋体" w:cs="宋体" w:eastAsia="宋体" w:hint="default"/>
          <w:spacing w:val="-4"/>
        </w:rPr>
        <w:t>2012</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5"/>
        </w:rPr>
        <w:t>月，湖南省企业信用评价中心授予公司“信用等级</w:t>
      </w:r>
      <w:r>
        <w:rPr>
          <w:spacing w:val="-56"/>
        </w:rPr>
        <w:t> </w:t>
      </w:r>
      <w:r>
        <w:rPr>
          <w:rFonts w:ascii="宋体" w:hAnsi="宋体" w:cs="宋体" w:eastAsia="宋体" w:hint="default"/>
        </w:rPr>
        <w:t>AAA</w:t>
      </w:r>
      <w:r>
        <w:rPr>
          <w:rFonts w:ascii="宋体" w:hAnsi="宋体" w:cs="宋体" w:eastAsia="宋体" w:hint="default"/>
          <w:spacing w:val="-57"/>
        </w:rPr>
        <w:t> </w:t>
      </w:r>
      <w:r>
        <w:rPr/>
        <w:t>级企业” </w:t>
      </w:r>
      <w:r>
        <w:rPr>
          <w:spacing w:val="-3"/>
        </w:rPr>
        <w:t>荣誉称号；</w:t>
      </w:r>
      <w:r>
        <w:rPr>
          <w:rFonts w:ascii="宋体" w:hAnsi="宋体" w:cs="宋体" w:eastAsia="宋体" w:hint="default"/>
          <w:spacing w:val="-3"/>
        </w:rPr>
        <w:t>2012</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5"/>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spacing w:val="-3"/>
        </w:rPr>
        <w:t>日，经省人民政府批准同意，公司被确定为“</w:t>
      </w:r>
      <w:r>
        <w:rPr>
          <w:rFonts w:ascii="宋体" w:hAnsi="宋体" w:cs="宋体" w:eastAsia="宋体" w:hint="default"/>
          <w:spacing w:val="-3"/>
        </w:rPr>
        <w:t>2012</w:t>
      </w:r>
      <w:r>
        <w:rPr>
          <w:rFonts w:ascii="宋体" w:hAnsi="宋体" w:cs="宋体" w:eastAsia="宋体" w:hint="default"/>
          <w:spacing w:val="-59"/>
        </w:rPr>
        <w:t> </w:t>
      </w:r>
      <w:r>
        <w:rPr/>
        <w:t>年度湖南省诚</w:t>
      </w:r>
      <w:r>
        <w:rPr>
          <w:spacing w:val="-116"/>
        </w:rPr>
        <w:t> </w:t>
      </w:r>
      <w:r>
        <w:rPr>
          <w:spacing w:val="-9"/>
        </w:rPr>
        <w:t>信经营先进私营企业”；</w:t>
      </w:r>
      <w:r>
        <w:rPr>
          <w:rFonts w:ascii="宋体" w:hAnsi="宋体" w:cs="宋体" w:eastAsia="宋体" w:hint="default"/>
          <w:spacing w:val="-9"/>
        </w:rPr>
        <w:t>2012</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spacing w:val="-1"/>
        </w:rPr>
        <w:t>月，公司获评由湖南省国家税务局、湖南省地方税务局颁</w:t>
      </w:r>
      <w:r>
        <w:rPr>
          <w:spacing w:val="-113"/>
        </w:rPr>
        <w:t> </w:t>
      </w:r>
      <w:r>
        <w:rPr>
          <w:spacing w:val="-113"/>
        </w:rPr>
      </w:r>
      <w:r>
        <w:rPr/>
        <w:t>发的“</w:t>
      </w:r>
      <w:r>
        <w:rPr>
          <w:rFonts w:ascii="宋体" w:hAnsi="宋体" w:cs="宋体" w:eastAsia="宋体" w:hint="default"/>
        </w:rPr>
        <w:t>2010-2011</w:t>
      </w:r>
      <w:r>
        <w:rPr>
          <w:rFonts w:ascii="宋体" w:hAnsi="宋体" w:cs="宋体" w:eastAsia="宋体" w:hint="default"/>
          <w:spacing w:val="-61"/>
        </w:rPr>
        <w:t> </w:t>
      </w:r>
      <w:r>
        <w:rPr/>
        <w:t>年度纳税信用</w:t>
      </w:r>
      <w:r>
        <w:rPr>
          <w:spacing w:val="-61"/>
        </w:rPr>
        <w:t> </w:t>
      </w:r>
      <w:r>
        <w:rPr>
          <w:rFonts w:ascii="宋体" w:hAnsi="宋体" w:cs="宋体" w:eastAsia="宋体" w:hint="default"/>
        </w:rPr>
        <w:t>A</w:t>
      </w:r>
      <w:r>
        <w:rPr>
          <w:rFonts w:ascii="宋体" w:hAnsi="宋体" w:cs="宋体" w:eastAsia="宋体" w:hint="default"/>
          <w:spacing w:val="-61"/>
        </w:rPr>
        <w:t> </w:t>
      </w:r>
      <w:r>
        <w:rPr/>
        <w:t>级单位”荣誉称号。</w:t>
      </w:r>
    </w:p>
    <w:p>
      <w:pPr>
        <w:spacing w:after="0" w:line="357" w:lineRule="auto"/>
        <w:jc w:val="left"/>
        <w:sectPr>
          <w:pgSz w:w="11910" w:h="16840"/>
          <w:pgMar w:header="918" w:footer="999" w:top="1100" w:bottom="1180" w:left="980" w:right="900"/>
        </w:sectPr>
      </w:pPr>
    </w:p>
    <w:p>
      <w:pPr>
        <w:spacing w:line="240" w:lineRule="auto" w:before="11"/>
        <w:rPr>
          <w:rFonts w:ascii="宋体" w:hAnsi="宋体" w:cs="宋体" w:eastAsia="宋体" w:hint="default"/>
          <w:sz w:val="9"/>
          <w:szCs w:val="9"/>
        </w:rPr>
      </w:pPr>
    </w:p>
    <w:p>
      <w:pPr>
        <w:pStyle w:val="Heading4"/>
        <w:spacing w:line="357" w:lineRule="auto" w:before="26"/>
        <w:ind w:right="0"/>
        <w:jc w:val="left"/>
      </w:pPr>
      <w:r>
        <w:rPr/>
        <w:t>时，强化内部培训和沟通，打造高效团队；成立了天舟文化网络商学院，通过网络培训和考</w:t>
      </w:r>
      <w:r>
        <w:rPr>
          <w:spacing w:val="-91"/>
        </w:rPr>
        <w:t> </w:t>
      </w:r>
      <w:r>
        <w:rPr>
          <w:spacing w:val="-91"/>
        </w:rPr>
      </w:r>
      <w:r>
        <w:rPr/>
        <w:t>核，提高了中高层和骨干人员的综合素质。</w:t>
      </w:r>
    </w:p>
    <w:p>
      <w:pPr>
        <w:pStyle w:val="Heading4"/>
        <w:spacing w:line="357" w:lineRule="auto"/>
        <w:ind w:right="92" w:firstLine="482"/>
        <w:jc w:val="left"/>
      </w:pPr>
      <w:r>
        <w:rPr>
          <w:rFonts w:ascii="宋体" w:hAnsi="宋体" w:cs="宋体" w:eastAsia="宋体" w:hint="default"/>
          <w:b/>
          <w:bCs/>
        </w:rPr>
        <w:t>第十、积极助力政府，回报社会。</w:t>
      </w:r>
      <w:r>
        <w:rPr>
          <w:rFonts w:ascii="宋体" w:hAnsi="宋体" w:cs="宋体" w:eastAsia="宋体" w:hint="default"/>
        </w:rPr>
        <w:t>2012</w:t>
      </w:r>
      <w:r>
        <w:rPr>
          <w:rFonts w:ascii="宋体" w:hAnsi="宋体" w:cs="宋体" w:eastAsia="宋体" w:hint="default"/>
          <w:spacing w:val="-95"/>
        </w:rPr>
        <w:t> </w:t>
      </w:r>
      <w:r>
        <w:rPr/>
        <w:t>年，公司一如继往积极参加农家书屋和教育馆配 工作，并参加各种捐赠捐助，被新闻出版总署评为“</w:t>
      </w:r>
      <w:r>
        <w:rPr>
          <w:rFonts w:ascii="宋体" w:hAnsi="宋体" w:cs="宋体" w:eastAsia="宋体" w:hint="default"/>
        </w:rPr>
        <w:t>2012</w:t>
      </w:r>
      <w:r>
        <w:rPr>
          <w:rFonts w:ascii="宋体" w:hAnsi="宋体" w:cs="宋体" w:eastAsia="宋体" w:hint="default"/>
          <w:spacing w:val="-81"/>
        </w:rPr>
        <w:t> </w:t>
      </w:r>
      <w:r>
        <w:rPr/>
        <w:t>年全国农家书屋工程建设突出贡献 </w:t>
      </w:r>
      <w:r>
        <w:rPr>
          <w:spacing w:val="-9"/>
        </w:rPr>
        <w:t>单位”，还先后获得“</w:t>
      </w:r>
      <w:r>
        <w:rPr>
          <w:rFonts w:ascii="宋体" w:hAnsi="宋体" w:cs="宋体" w:eastAsia="宋体" w:hint="default"/>
          <w:spacing w:val="-9"/>
        </w:rPr>
        <w:t>2011</w:t>
      </w:r>
      <w:r>
        <w:rPr>
          <w:rFonts w:ascii="宋体" w:hAnsi="宋体" w:cs="宋体" w:eastAsia="宋体" w:hint="default"/>
          <w:spacing w:val="-51"/>
        </w:rPr>
        <w:t> </w:t>
      </w:r>
      <w:r>
        <w:rPr>
          <w:spacing w:val="-9"/>
        </w:rPr>
        <w:t>年度企业责任建设示范单位”、“湖南省青少年法制教育大型公益</w:t>
      </w:r>
      <w:r>
        <w:rPr>
          <w:spacing w:val="-103"/>
        </w:rPr>
        <w:t> </w:t>
      </w:r>
      <w:r>
        <w:rPr>
          <w:spacing w:val="-103"/>
        </w:rPr>
      </w:r>
      <w:r>
        <w:rPr/>
        <w:t>活动爱心奉献单位”等称号。</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公司实物销售收入是否大于劳务收入</w:t>
      </w:r>
    </w:p>
    <w:p>
      <w:pPr>
        <w:pStyle w:val="BodyText"/>
        <w:spacing w:line="240" w:lineRule="auto" w:before="115"/>
        <w:ind w:right="0"/>
        <w:jc w:val="left"/>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7"/>
        <w:gridCol w:w="1891"/>
        <w:gridCol w:w="1926"/>
        <w:gridCol w:w="1913"/>
        <w:gridCol w:w="1916"/>
      </w:tblGrid>
      <w:tr>
        <w:trPr>
          <w:trHeight w:val="401" w:hRule="exact"/>
        </w:trPr>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图书出版发行</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276,950,120.97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277,541,693.49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-0.21%</w:t>
            </w:r>
          </w:p>
        </w:tc>
      </w:tr>
      <w:tr>
        <w:trPr>
          <w:trHeight w:val="401" w:hRule="exact"/>
        </w:trPr>
        <w:tc>
          <w:tcPr>
            <w:tcW w:w="192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教育咨询</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2,823,050.23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2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279,773,171.20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277,541,693.49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0.80%</w:t>
            </w:r>
          </w:p>
        </w:tc>
      </w:tr>
    </w:tbl>
    <w:p>
      <w:pPr>
        <w:pStyle w:val="BodyText"/>
        <w:spacing w:line="338" w:lineRule="auto" w:before="49"/>
        <w:ind w:right="5953"/>
        <w:jc w:val="left"/>
      </w:pPr>
      <w:r>
        <w:rPr/>
        <w:t>相关数据同比发生变动</w:t>
      </w:r>
      <w:r>
        <w:rPr>
          <w:spacing w:val="-46"/>
        </w:rPr>
        <w:t> </w:t>
      </w:r>
      <w:r>
        <w:rPr>
          <w:rFonts w:ascii="Times New Roman" w:hAnsi="Times New Roman" w:cs="Times New Roman" w:eastAsia="Times New Roman" w:hint="default"/>
        </w:rPr>
        <w:t>30%</w:t>
      </w:r>
      <w:r>
        <w:rPr/>
        <w:t>以上的原因说明： 本期新增了教育咨询业务，增加收入</w:t>
      </w:r>
      <w:r>
        <w:rPr>
          <w:spacing w:val="-45"/>
        </w:rPr>
        <w:t> </w:t>
      </w:r>
      <w:r>
        <w:rPr>
          <w:rFonts w:ascii="Times New Roman" w:hAnsi="Times New Roman" w:cs="Times New Roman" w:eastAsia="Times New Roman" w:hint="default"/>
        </w:rPr>
        <w:t>282 </w:t>
      </w:r>
      <w:r>
        <w:rPr/>
        <w:t>万元。</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524"/>
        <w:gridCol w:w="1210"/>
        <w:gridCol w:w="1627"/>
        <w:gridCol w:w="110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图书出版发行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191,126,107.12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199,221,643.01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教育咨询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1,635,599.54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0.85%</w:t>
            </w:r>
          </w:p>
        </w:tc>
        <w:tc>
          <w:tcPr>
            <w:tcW w:w="121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192,761,706.66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199,221,643.01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headerReference w:type="default" r:id="rId16"/>
          <w:pgSz w:w="11910" w:h="16840"/>
          <w:pgMar w:header="1104" w:footer="999" w:top="1780" w:bottom="1180" w:left="980" w:right="10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28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pacing w:val="-1"/>
                <w:sz w:val="18"/>
              </w:rPr>
              <w:t>33,992,096.35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1"/>
                <w:sz w:val="18"/>
              </w:rPr>
              <w:t>19,797,211.03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71.70%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销售费用本期较上期增加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1,419.49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71.70%</w:t>
            </w:r>
            <w:r>
              <w:rPr>
                <w:rFonts w:ascii="宋体" w:hAnsi="宋体" w:cs="宋体" w:eastAsia="宋体" w:hint="default"/>
                <w:spacing w:val="-3"/>
                <w:sz w:val="18"/>
                <w:szCs w:val="18"/>
              </w:rPr>
              <w:t>，主要原因是公司加</w:t>
            </w:r>
            <w:r>
              <w:rPr>
                <w:rFonts w:ascii="宋体" w:hAnsi="宋体" w:cs="宋体" w:eastAsia="宋体" w:hint="default"/>
                <w:sz w:val="18"/>
                <w:szCs w:val="18"/>
              </w:rPr>
              <w:t> 大了对教育培训、数字出版、教育信 息服务等新业务方面的培育，费用增 </w:t>
            </w:r>
            <w:r>
              <w:rPr>
                <w:rFonts w:ascii="宋体" w:hAnsi="宋体" w:cs="宋体" w:eastAsia="宋体" w:hint="default"/>
                <w:spacing w:val="-6"/>
                <w:sz w:val="18"/>
                <w:szCs w:val="18"/>
              </w:rPr>
              <w:t>长较快；《能力培养与测试》系列产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品，</w:t>
            </w:r>
            <w:r>
              <w:rPr>
                <w:rFonts w:ascii="Times New Roman" w:hAnsi="Times New Roman" w:cs="Times New Roman" w:eastAsia="Times New Roman" w:hint="default"/>
                <w:spacing w:val="-11"/>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年开始在全国市场开展产品 研发、各省送审上目录、市场推广等 工作，导致人工费用、业务宣传费、 租赁费、业务招待费等相应增加。</w:t>
            </w:r>
          </w:p>
        </w:tc>
      </w:tr>
      <w:tr>
        <w:trPr>
          <w:trHeight w:val="19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27,163,738.45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18,412,462.59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管理费用本期较上期增加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875.12 </w:t>
            </w:r>
            <w:r>
              <w:rPr>
                <w:rFonts w:ascii="宋体" w:hAnsi="宋体" w:cs="宋体" w:eastAsia="宋体" w:hint="default"/>
                <w:sz w:val="18"/>
                <w:szCs w:val="18"/>
              </w:rPr>
              <w:t>万 </w:t>
            </w:r>
            <w:r>
              <w:rPr>
                <w:rFonts w:ascii="宋体" w:hAnsi="宋体" w:cs="宋体" w:eastAsia="宋体" w:hint="default"/>
                <w:spacing w:val="-10"/>
                <w:sz w:val="18"/>
                <w:szCs w:val="18"/>
              </w:rPr>
              <w:t>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47.53%</w:t>
            </w:r>
            <w:r>
              <w:rPr>
                <w:rFonts w:ascii="宋体" w:hAnsi="宋体" w:cs="宋体" w:eastAsia="宋体" w:hint="default"/>
                <w:spacing w:val="-3"/>
                <w:sz w:val="18"/>
                <w:szCs w:val="18"/>
              </w:rPr>
              <w:t>，主要原因是公司加</w:t>
            </w:r>
            <w:r>
              <w:rPr>
                <w:rFonts w:ascii="宋体" w:hAnsi="宋体" w:cs="宋体" w:eastAsia="宋体" w:hint="default"/>
                <w:sz w:val="18"/>
                <w:szCs w:val="18"/>
              </w:rPr>
              <w:t> </w:t>
            </w:r>
            <w:r>
              <w:rPr>
                <w:rFonts w:ascii="宋体" w:hAnsi="宋体" w:cs="宋体" w:eastAsia="宋体" w:hint="default"/>
                <w:spacing w:val="-2"/>
                <w:sz w:val="18"/>
                <w:szCs w:val="18"/>
              </w:rPr>
              <w:t>大对教育咨询培训、教育装备、数字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出版等新业务方面的培育，人工费 </w:t>
            </w:r>
            <w:r>
              <w:rPr>
                <w:rFonts w:ascii="宋体" w:hAnsi="宋体" w:cs="宋体" w:eastAsia="宋体" w:hint="default"/>
                <w:spacing w:val="-2"/>
                <w:sz w:val="18"/>
                <w:szCs w:val="18"/>
              </w:rPr>
              <w:t>用、折旧摊销、业务招待费等相应增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-7,524,037.57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-8,459,519.00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9,795,370.15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12,131,300.56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所得税本期较上期减少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下降</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19.26%</w:t>
            </w:r>
            <w:r>
              <w:rPr>
                <w:rFonts w:ascii="宋体" w:hAnsi="宋体" w:cs="宋体" w:eastAsia="宋体" w:hint="default"/>
                <w:spacing w:val="-5"/>
                <w:sz w:val="18"/>
                <w:szCs w:val="18"/>
              </w:rPr>
              <w:t>，主要原因是公司本期利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润总额较上期减少，所得税费用相应</w:t>
            </w:r>
            <w:r>
              <w:rPr>
                <w:rFonts w:ascii="宋体" w:hAnsi="宋体" w:cs="宋体" w:eastAsia="宋体" w:hint="default"/>
                <w:sz w:val="18"/>
                <w:szCs w:val="18"/>
              </w:rPr>
              <w:t> 减少。</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80"/>
        <w:gridCol w:w="991"/>
        <w:gridCol w:w="1412"/>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14,579,744.73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研发投入占营业收入比例（</w:t>
            </w:r>
            <w:r>
              <w:rPr>
                <w:rFonts w:ascii="Times New Roman" w:hAnsi="Times New Roman" w:cs="Times New Roman" w:eastAsia="Times New Roman" w:hint="default"/>
                <w:spacing w:val="-6"/>
                <w:sz w:val="18"/>
                <w:szCs w:val="18"/>
              </w:rPr>
              <w:t>%</w:t>
            </w:r>
          </w:p>
        </w:tc>
        <w:tc>
          <w:tcPr>
            <w:tcW w:w="991"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19" w:right="0"/>
              <w:jc w:val="left"/>
              <w:rPr>
                <w:rFonts w:ascii="Times New Roman" w:hAnsi="Times New Roman" w:cs="Times New Roman" w:eastAsia="Times New Roman" w:hint="default"/>
                <w:sz w:val="18"/>
                <w:szCs w:val="18"/>
              </w:rPr>
            </w:pPr>
            <w:r>
              <w:rPr>
                <w:rFonts w:ascii="Times New Roman"/>
                <w:sz w:val="18"/>
              </w:rPr>
              <w:t>5.21%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pict>
          <v:group style="position:absolute;margin-left:177.770004pt;margin-top:-20.038294pt;width:116.8pt;height:19.6pt;mso-position-horizontal-relative:page;mso-position-vertical-relative:paragraph;z-index:-686800" coordorigin="3555,-401" coordsize="2336,392">
            <v:shape style="position:absolute;left:3555;top:-401;width:2336;height:392" coordorigin="3555,-401" coordsize="2336,392" path="m3555,-10l5891,-10,5891,-401,3555,-401,3555,-10xe" filled="true" fillcolor="#ffffff" stroked="false">
              <v:path arrowok="t"/>
              <v:fill type="solid"/>
            </v:shape>
            <w10:wrap type="none"/>
          </v:group>
        </w:pict>
      </w:r>
      <w:r>
        <w:rPr/>
        <w:t>注：研发投入金额是以合并报表为口径。</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6"/>
        <w:gridCol w:w="2408"/>
        <w:gridCol w:w="2393"/>
        <w:gridCol w:w="2052"/>
      </w:tblGrid>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08"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320,725,356.05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311,302,951.48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3.03%</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317,788,470.79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288,703,266.64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10.07%</w:t>
            </w:r>
          </w:p>
        </w:tc>
      </w:tr>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2,936,885.26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22,599,684.84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-87.00%</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08"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3,466,723.00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19159.57%</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7,465,489.99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60,245,434.02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-87.61%</w:t>
            </w:r>
          </w:p>
        </w:tc>
      </w:tr>
    </w:tbl>
    <w:p>
      <w:pPr>
        <w:spacing w:after="0" w:line="240" w:lineRule="auto"/>
        <w:jc w:val="center"/>
        <w:rPr>
          <w:rFonts w:ascii="Times New Roman" w:hAnsi="Times New Roman" w:cs="Times New Roman" w:eastAsia="Times New Roman" w:hint="default"/>
          <w:sz w:val="18"/>
          <w:szCs w:val="18"/>
        </w:rPr>
        <w:sectPr>
          <w:headerReference w:type="default" r:id="rId17"/>
          <w:pgSz w:w="11910" w:h="16840"/>
          <w:pgMar w:header="918" w:footer="999" w:top="1100" w:bottom="1180" w:left="980" w:right="10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06"/>
        <w:gridCol w:w="2408"/>
        <w:gridCol w:w="2393"/>
        <w:gridCol w:w="2052"/>
      </w:tblGrid>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-3,998,766.99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-60,227,434.02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-93.36%</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08"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-77.22%</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15,781,400.00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13,700,000.00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4" w:right="0"/>
              <w:jc w:val="left"/>
              <w:rPr>
                <w:rFonts w:ascii="Times New Roman" w:hAnsi="Times New Roman" w:cs="Times New Roman" w:eastAsia="Times New Roman" w:hint="default"/>
                <w:sz w:val="18"/>
                <w:szCs w:val="18"/>
              </w:rPr>
            </w:pPr>
            <w:r>
              <w:rPr>
                <w:rFonts w:ascii="Times New Roman"/>
                <w:sz w:val="18"/>
              </w:rPr>
              <w:t>15.19%</w:t>
            </w:r>
          </w:p>
        </w:tc>
      </w:tr>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-9,750,000.00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4" w:right="0"/>
              <w:jc w:val="left"/>
              <w:rPr>
                <w:rFonts w:ascii="Times New Roman" w:hAnsi="Times New Roman" w:cs="Times New Roman" w:eastAsia="Times New Roman" w:hint="default"/>
                <w:sz w:val="18"/>
                <w:szCs w:val="18"/>
              </w:rPr>
            </w:pPr>
            <w:r>
              <w:rPr>
                <w:rFonts w:ascii="Times New Roman"/>
                <w:sz w:val="18"/>
              </w:rPr>
              <w:t>52.63%</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-15,943,281.73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-47,377,749.18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-66.35%</w:t>
            </w:r>
          </w:p>
        </w:tc>
      </w:tr>
      <w:tr>
        <w:trPr>
          <w:trHeight w:val="401"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加：期初现金及现金等价物的余额</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403,483,216.42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450,860,965.60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-10.51%</w:t>
            </w:r>
          </w:p>
        </w:tc>
      </w:tr>
      <w:tr>
        <w:trPr>
          <w:trHeight w:val="403"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387,539,934.69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403,483,216.42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-3.95%</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00" w:lineRule="auto" w:before="101"/>
        <w:ind w:right="100"/>
        <w:jc w:val="left"/>
      </w:pPr>
      <w:r>
        <w:rPr>
          <w:rFonts w:ascii="Times New Roman" w:hAnsi="Times New Roman" w:cs="Times New Roman" w:eastAsia="Times New Roman" w:hint="default"/>
        </w:rPr>
        <w:t>1</w:t>
      </w:r>
      <w:r>
        <w:rPr/>
        <w:t>、经营活动产生的现金流量净额本期较上期减少</w:t>
      </w:r>
      <w:r>
        <w:rPr>
          <w:spacing w:val="-49"/>
        </w:rPr>
        <w:t> </w:t>
      </w:r>
      <w:r>
        <w:rPr>
          <w:rFonts w:ascii="Times New Roman" w:hAnsi="Times New Roman" w:cs="Times New Roman" w:eastAsia="Times New Roman" w:hint="default"/>
        </w:rPr>
        <w:t>1966.28</w:t>
      </w:r>
      <w:r>
        <w:rPr>
          <w:rFonts w:ascii="Times New Roman" w:hAnsi="Times New Roman" w:cs="Times New Roman" w:eastAsia="Times New Roman" w:hint="default"/>
          <w:spacing w:val="-3"/>
        </w:rPr>
        <w:t> </w:t>
      </w:r>
      <w:r>
        <w:rPr/>
        <w:t>万元，下降</w:t>
      </w:r>
      <w:r>
        <w:rPr>
          <w:spacing w:val="-50"/>
        </w:rPr>
        <w:t> </w:t>
      </w:r>
      <w:r>
        <w:rPr>
          <w:rFonts w:ascii="Times New Roman" w:hAnsi="Times New Roman" w:cs="Times New Roman" w:eastAsia="Times New Roman" w:hint="default"/>
        </w:rPr>
        <w:t>87.00%</w:t>
      </w:r>
      <w:r>
        <w:rPr/>
        <w:t>，主要原因是公司本期经营费用较上期有较大 幅度的增长所致。</w:t>
      </w:r>
    </w:p>
    <w:p>
      <w:pPr>
        <w:pStyle w:val="BodyText"/>
        <w:spacing w:line="300" w:lineRule="auto" w:before="72"/>
        <w:ind w:right="99"/>
        <w:jc w:val="left"/>
      </w:pPr>
      <w:r>
        <w:rPr>
          <w:rFonts w:ascii="Times New Roman" w:hAnsi="Times New Roman" w:cs="Times New Roman" w:eastAsia="Times New Roman" w:hint="default"/>
        </w:rPr>
        <w:t>2</w:t>
      </w:r>
      <w:r>
        <w:rPr/>
        <w:t>、投资活动现金流入小计本期较上期增加</w:t>
      </w:r>
      <w:r>
        <w:rPr>
          <w:spacing w:val="-48"/>
        </w:rPr>
        <w:t> </w:t>
      </w:r>
      <w:r>
        <w:rPr>
          <w:rFonts w:ascii="Times New Roman" w:hAnsi="Times New Roman" w:cs="Times New Roman" w:eastAsia="Times New Roman" w:hint="default"/>
        </w:rPr>
        <w:t>344.87</w:t>
      </w:r>
      <w:r>
        <w:rPr>
          <w:rFonts w:ascii="Times New Roman" w:hAnsi="Times New Roman" w:cs="Times New Roman" w:eastAsia="Times New Roman" w:hint="default"/>
          <w:spacing w:val="-2"/>
        </w:rPr>
        <w:t> </w:t>
      </w:r>
      <w:r>
        <w:rPr/>
        <w:t>万元，增长</w:t>
      </w:r>
      <w:r>
        <w:rPr>
          <w:spacing w:val="-51"/>
        </w:rPr>
        <w:t> </w:t>
      </w:r>
      <w:r>
        <w:rPr>
          <w:rFonts w:ascii="Times New Roman" w:hAnsi="Times New Roman" w:cs="Times New Roman" w:eastAsia="Times New Roman" w:hint="default"/>
        </w:rPr>
        <w:t>19159.57%</w:t>
      </w:r>
      <w:r>
        <w:rPr/>
        <w:t>，主要原因是公司本期收到待出售的星沙茶叶大市 场办公房产定金。</w:t>
      </w:r>
    </w:p>
    <w:p>
      <w:pPr>
        <w:pStyle w:val="BodyText"/>
        <w:spacing w:line="319" w:lineRule="auto" w:before="72"/>
        <w:ind w:right="100"/>
        <w:jc w:val="left"/>
      </w:pPr>
      <w:r>
        <w:rPr>
          <w:rFonts w:ascii="Times New Roman" w:hAnsi="Times New Roman" w:cs="Times New Roman" w:eastAsia="Times New Roman" w:hint="default"/>
        </w:rPr>
        <w:t>3</w:t>
      </w:r>
      <w:r>
        <w:rPr/>
        <w:t>、投资活动现金流出小计本期较上期减少</w:t>
      </w:r>
      <w:r>
        <w:rPr>
          <w:spacing w:val="-49"/>
        </w:rPr>
        <w:t> </w:t>
      </w:r>
      <w:r>
        <w:rPr>
          <w:rFonts w:ascii="Times New Roman" w:hAnsi="Times New Roman" w:cs="Times New Roman" w:eastAsia="Times New Roman" w:hint="default"/>
        </w:rPr>
        <w:t>5277.99</w:t>
      </w:r>
      <w:r>
        <w:rPr>
          <w:rFonts w:ascii="Times New Roman" w:hAnsi="Times New Roman" w:cs="Times New Roman" w:eastAsia="Times New Roman" w:hint="default"/>
          <w:spacing w:val="-3"/>
        </w:rPr>
        <w:t> </w:t>
      </w:r>
      <w:r>
        <w:rPr/>
        <w:t>万元，下降</w:t>
      </w:r>
      <w:r>
        <w:rPr>
          <w:spacing w:val="-50"/>
        </w:rPr>
        <w:t> </w:t>
      </w:r>
      <w:r>
        <w:rPr>
          <w:rFonts w:ascii="Times New Roman" w:hAnsi="Times New Roman" w:cs="Times New Roman" w:eastAsia="Times New Roman" w:hint="default"/>
        </w:rPr>
        <w:t>87.61%</w:t>
      </w:r>
      <w:r>
        <w:rPr/>
        <w:t>，主要原因是公司上期新设立的北京事业部购入办公 用房产</w:t>
      </w:r>
      <w:r>
        <w:rPr>
          <w:spacing w:val="-46"/>
        </w:rPr>
        <w:t> </w:t>
      </w:r>
      <w:r>
        <w:rPr>
          <w:rFonts w:ascii="Times New Roman" w:hAnsi="Times New Roman" w:cs="Times New Roman" w:eastAsia="Times New Roman" w:hint="default"/>
        </w:rPr>
        <w:t>2580</w:t>
      </w:r>
      <w:r>
        <w:rPr>
          <w:rFonts w:ascii="Times New Roman" w:hAnsi="Times New Roman" w:cs="Times New Roman" w:eastAsia="Times New Roman" w:hint="default"/>
          <w:spacing w:val="1"/>
        </w:rPr>
        <w:t> </w:t>
      </w:r>
      <w:r>
        <w:rPr/>
        <w:t>万元及对江苏凤凰天舟新媒体发展有限公司、北京北舟文化传媒有限责任公司的长期投资款支出</w:t>
      </w:r>
      <w:r>
        <w:rPr>
          <w:spacing w:val="-44"/>
        </w:rPr>
        <w:t> </w:t>
      </w:r>
      <w:r>
        <w:rPr>
          <w:rFonts w:ascii="Times New Roman" w:hAnsi="Times New Roman" w:cs="Times New Roman" w:eastAsia="Times New Roman" w:hint="default"/>
        </w:rPr>
        <w:t>3430</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rPr>
        <w:t>4</w:t>
      </w:r>
      <w:r>
        <w:rPr/>
        <w:t>、筹资活动现金流入小计本期较上期减少</w:t>
      </w:r>
      <w:r>
        <w:rPr>
          <w:spacing w:val="-59"/>
        </w:rPr>
        <w:t> </w:t>
      </w:r>
      <w:r>
        <w:rPr>
          <w:rFonts w:ascii="Times New Roman" w:hAnsi="Times New Roman" w:cs="Times New Roman" w:eastAsia="Times New Roman" w:hint="default"/>
        </w:rPr>
        <w:t>305</w:t>
      </w:r>
      <w:r>
        <w:rPr>
          <w:rFonts w:ascii="Times New Roman" w:hAnsi="Times New Roman" w:cs="Times New Roman" w:eastAsia="Times New Roman" w:hint="default"/>
          <w:spacing w:val="-14"/>
        </w:rPr>
        <w:t> </w:t>
      </w:r>
      <w:r>
        <w:rPr>
          <w:spacing w:val="-4"/>
        </w:rPr>
        <w:t>万元，下降</w:t>
      </w:r>
      <w:r>
        <w:rPr>
          <w:spacing w:val="-59"/>
        </w:rPr>
        <w:t> </w:t>
      </w:r>
      <w:r>
        <w:rPr>
          <w:rFonts w:ascii="Times New Roman" w:hAnsi="Times New Roman" w:cs="Times New Roman" w:eastAsia="Times New Roman" w:hint="default"/>
        </w:rPr>
        <w:t>77.22%</w:t>
      </w:r>
      <w:r>
        <w:rPr/>
        <w:t>，主要原因是公司上期收到少数股东对北京永载、浙江天</w:t>
      </w:r>
    </w:p>
    <w:p>
      <w:pPr>
        <w:pStyle w:val="BodyText"/>
        <w:spacing w:line="340" w:lineRule="auto"/>
        <w:ind w:right="1723"/>
        <w:jc w:val="left"/>
      </w:pPr>
      <w:r>
        <w:rPr/>
        <w:t>舟的投资款共计</w:t>
      </w:r>
      <w:r>
        <w:rPr>
          <w:spacing w:val="-46"/>
        </w:rPr>
        <w:t> </w:t>
      </w:r>
      <w:r>
        <w:rPr>
          <w:rFonts w:ascii="Times New Roman" w:hAnsi="Times New Roman" w:cs="Times New Roman" w:eastAsia="Times New Roman" w:hint="default"/>
        </w:rPr>
        <w:t>395 </w:t>
      </w:r>
      <w:r>
        <w:rPr/>
        <w:t>万元，本期收到少数股东对新设立的东方天舟、云上森林的投资款共计</w:t>
      </w:r>
      <w:r>
        <w:rPr>
          <w:spacing w:val="-44"/>
        </w:rPr>
        <w:t> </w:t>
      </w:r>
      <w:r>
        <w:rPr>
          <w:rFonts w:ascii="Times New Roman" w:hAnsi="Times New Roman" w:cs="Times New Roman" w:eastAsia="Times New Roman" w:hint="default"/>
        </w:rPr>
        <w:t>90 </w:t>
      </w:r>
      <w:r>
        <w:rPr/>
        <w:t>万元。 报告期内公司经营活动的现金流量与本年度净利润存在重大差异的原因说明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w:t>
      </w:r>
      <w:r>
        <w:rPr>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141,672,398.14</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50.62%</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3"/>
        <w:gridCol w:w="2084"/>
        <w:gridCol w:w="2821"/>
        <w:gridCol w:w="2820"/>
      </w:tblGrid>
      <w:tr>
        <w:trPr>
          <w:trHeight w:val="715"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6" w:right="53" w:hanging="812"/>
              <w:jc w:val="left"/>
              <w:rPr>
                <w:rFonts w:ascii="宋体" w:hAnsi="宋体" w:cs="宋体" w:eastAsia="宋体" w:hint="default"/>
                <w:sz w:val="18"/>
                <w:szCs w:val="18"/>
              </w:rPr>
            </w:pPr>
            <w:r>
              <w:rPr>
                <w:rFonts w:ascii="宋体" w:hAnsi="宋体" w:cs="宋体" w:eastAsia="宋体" w:hint="default"/>
                <w:sz w:val="18"/>
                <w:szCs w:val="18"/>
              </w:rPr>
              <w:t>销售金额或比例与以前年度相比变 化情况的说明</w:t>
            </w:r>
          </w:p>
        </w:tc>
      </w:tr>
      <w:tr>
        <w:trPr>
          <w:trHeight w:val="71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湖南省新华书店有限 责任公司</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87,735,113.40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31.34%</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5.58%</w:t>
            </w:r>
          </w:p>
        </w:tc>
      </w:tr>
      <w:tr>
        <w:trPr>
          <w:trHeight w:val="40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87,735,113.40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31.34%</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pict>
          <v:group style="position:absolute;margin-left:271.010010pt;margin-top:40.201717pt;width:262.75pt;height:19.6pt;mso-position-horizontal-relative:page;mso-position-vertical-relative:paragraph;z-index:-686776" coordorigin="5420,804" coordsize="5255,392">
            <v:shape style="position:absolute;left:5420;top:804;width:5255;height:392" coordorigin="5420,804" coordsize="5255,392" path="m5420,1195l10675,1195,10675,804,5420,804,5420,1195xe" filled="true" fillcolor="#ffffff" stroked="false">
              <v:path arrowok="t"/>
              <v:fill type="solid"/>
            </v:shape>
            <w10:wrap type="none"/>
          </v:group>
        </w:pict>
      </w: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78,331,575.61</w:t>
            </w:r>
          </w:p>
        </w:tc>
      </w:tr>
      <w:tr>
        <w:trPr>
          <w:trHeight w:val="401" w:hRule="exact"/>
        </w:trPr>
        <w:tc>
          <w:tcPr>
            <w:tcW w:w="424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3" w:type="dxa"/>
            <w:tcBorders>
              <w:top w:val="single" w:sz="4" w:space="0" w:color="000000"/>
              <w:left w:val="single" w:sz="22" w:space="0" w:color="FFFFFF"/>
              <w:bottom w:val="single" w:sz="4" w:space="0" w:color="000000"/>
              <w:right w:val="single" w:sz="4" w:space="0" w:color="000000"/>
            </w:tcBorders>
          </w:tcPr>
          <w:p>
            <w:pPr>
              <w:pStyle w:val="TableParagraph"/>
              <w:tabs>
                <w:tab w:pos="4714" w:val="left" w:leader="none"/>
              </w:tabs>
              <w:spacing w:line="240" w:lineRule="auto" w:before="49"/>
              <w:ind w:left="-137"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36.20%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80" w:right="102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5"/>
        <w:rPr>
          <w:rFonts w:ascii="宋体" w:hAnsi="宋体" w:cs="宋体" w:eastAsia="宋体" w:hint="default"/>
          <w:b/>
          <w:bCs/>
          <w:sz w:val="26"/>
          <w:szCs w:val="26"/>
        </w:rPr>
      </w:pPr>
    </w:p>
    <w:p>
      <w:pPr>
        <w:pStyle w:val="Heading8"/>
        <w:spacing w:line="240" w:lineRule="auto"/>
        <w:ind w:left="153" w:right="0"/>
        <w:jc w:val="left"/>
        <w:rPr>
          <w:b w:val="0"/>
          <w:bCs w:val="0"/>
        </w:rPr>
      </w:pPr>
      <w:r>
        <w:rPr/>
        <w:t>首次公开发行招股说明书中披露的未来发展与规划在本报告期的实施情况</w:t>
      </w:r>
      <w:r>
        <w:rPr>
          <w:b w:val="0"/>
          <w:bCs w:val="0"/>
        </w:rPr>
      </w:r>
    </w:p>
    <w:p>
      <w:pPr>
        <w:pStyle w:val="BodyText"/>
        <w:spacing w:line="300" w:lineRule="auto" w:before="76"/>
        <w:ind w:left="513" w:right="0" w:hanging="360"/>
        <w:jc w:val="left"/>
      </w:pPr>
      <w:r>
        <w:rPr>
          <w:rFonts w:ascii="Arial" w:hAnsi="Arial" w:cs="Arial" w:eastAsia="Arial" w:hint="default"/>
        </w:rPr>
        <w:t>√</w:t>
      </w:r>
      <w:r>
        <w:rPr/>
        <w:t>适用 </w:t>
      </w:r>
      <w:r>
        <w:rPr>
          <w:rFonts w:ascii="Times New Roman" w:hAnsi="Times New Roman" w:cs="Times New Roman" w:eastAsia="Times New Roman" w:hint="default"/>
        </w:rPr>
        <w:t>□ </w:t>
      </w:r>
      <w:r>
        <w:rPr/>
        <w:t>不适用 </w:t>
      </w:r>
      <w:r>
        <w:rPr>
          <w:spacing w:val="-2"/>
        </w:rPr>
        <w:t>公司根据国家教育政策的改革与发展，以及出版产业的变革与调整，对发展战略进行了优化和调整，确定了“传播先进</w:t>
      </w:r>
    </w:p>
    <w:p>
      <w:pPr>
        <w:pStyle w:val="BodyText"/>
        <w:spacing w:line="316" w:lineRule="auto" w:before="31"/>
        <w:ind w:right="0"/>
        <w:jc w:val="left"/>
      </w:pPr>
      <w:r>
        <w:rPr>
          <w:spacing w:val="-2"/>
        </w:rPr>
        <w:t>文化，服务教育发展”的市场定位，以教育为内核、以文化为外延，文教图书向教育服务延伸、纸质媒介向多媒介转型、市</w:t>
      </w:r>
      <w:r>
        <w:rPr>
          <w:spacing w:val="-72"/>
        </w:rPr>
        <w:t> </w:t>
      </w:r>
      <w:r>
        <w:rPr>
          <w:spacing w:val="-72"/>
        </w:rPr>
      </w:r>
      <w:r>
        <w:rPr/>
        <w:t>场区域向全国拓展，力争成为中国一流的青少年文化教育传媒集团。</w:t>
      </w:r>
    </w:p>
    <w:p>
      <w:pPr>
        <w:spacing w:line="240" w:lineRule="auto" w:before="4"/>
        <w:rPr>
          <w:rFonts w:ascii="宋体" w:hAnsi="宋体" w:cs="宋体" w:eastAsia="宋体" w:hint="default"/>
          <w:sz w:val="25"/>
          <w:szCs w:val="25"/>
        </w:rPr>
      </w:pPr>
    </w:p>
    <w:p>
      <w:pPr>
        <w:spacing w:line="316" w:lineRule="auto" w:before="0"/>
        <w:ind w:left="153" w:right="2713" w:firstLine="0"/>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b/>
          <w:bCs/>
          <w:w w:val="99"/>
          <w:sz w:val="18"/>
          <w:szCs w:val="18"/>
        </w:rPr>
        <w:t> </w:t>
      </w:r>
      <w:r>
        <w:rPr>
          <w:rFonts w:ascii="宋体" w:hAnsi="宋体" w:cs="宋体" w:eastAsia="宋体" w:hint="default"/>
          <w:sz w:val="18"/>
          <w:szCs w:val="18"/>
        </w:rPr>
        <w:t>详见管理层讨论与分析。</w:t>
      </w:r>
    </w:p>
    <w:p>
      <w:pPr>
        <w:spacing w:line="240" w:lineRule="auto" w:before="4"/>
        <w:rPr>
          <w:rFonts w:ascii="宋体" w:hAnsi="宋体" w:cs="宋体" w:eastAsia="宋体" w:hint="default"/>
          <w:sz w:val="25"/>
          <w:szCs w:val="25"/>
        </w:rPr>
      </w:pPr>
    </w:p>
    <w:p>
      <w:pPr>
        <w:pStyle w:val="Heading8"/>
        <w:spacing w:line="240" w:lineRule="auto"/>
        <w:ind w:left="153" w:right="0"/>
        <w:jc w:val="left"/>
        <w:rPr>
          <w:b w:val="0"/>
          <w:bCs w:val="0"/>
        </w:rPr>
      </w:pPr>
      <w:r>
        <w:rPr/>
        <w:t>公司实际经营业绩较曾公开披露过的本年度盈利预测低于或高于</w:t>
      </w:r>
      <w:r>
        <w:rPr>
          <w:spacing w:val="-47"/>
        </w:rPr>
        <w:t> </w:t>
      </w:r>
      <w:r>
        <w:rPr>
          <w:rFonts w:ascii="Times New Roman" w:hAnsi="Times New Roman" w:cs="Times New Roman" w:eastAsia="Times New Roman" w:hint="default"/>
        </w:rPr>
        <w:t>20%</w:t>
      </w:r>
      <w:r>
        <w:rPr/>
        <w:t>以上的差异原因</w:t>
      </w:r>
      <w:r>
        <w:rPr>
          <w:b w:val="0"/>
          <w:bCs w:val="0"/>
        </w:rPr>
      </w:r>
    </w:p>
    <w:p>
      <w:pPr>
        <w:pStyle w:val="BodyText"/>
        <w:spacing w:line="240" w:lineRule="auto" w:before="63"/>
        <w:ind w:right="0"/>
        <w:jc w:val="left"/>
      </w:pPr>
      <w:r>
        <w:rPr>
          <w:rFonts w:ascii="Times New Roman" w:hAnsi="Times New Roman" w:cs="Times New Roman" w:eastAsia="Times New Roman" w:hint="default"/>
        </w:rPr>
        <w:t>□  </w:t>
      </w:r>
      <w:r>
        <w:rPr/>
        <w:t>适用 </w:t>
      </w:r>
      <w:r>
        <w:rPr>
          <w:rFonts w:ascii="Arial" w:hAnsi="Arial" w:cs="Arial" w:eastAsia="Arial" w:hint="default"/>
        </w:rPr>
        <w:t>√</w:t>
      </w:r>
      <w:r>
        <w:rPr/>
        <w:t>不适用</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6"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276,950,120.97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191,126,107.12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2,823,050.23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1,635,599.54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279,773,171.20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192,761,706.66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205,376,784.36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136,926,514.17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62,083,895.77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48,620,054.97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9,489,440.84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5,579,537.98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69.36%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2,823,050.23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1,635,599.54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279,773,171.20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192,761,706.66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177,151,153.19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119,557,392.37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湖南省外销售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102,622,018.01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73,204,314.29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279,773,171.20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192,761,706.66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7"/>
        <w:spacing w:line="240" w:lineRule="auto" w:before="37"/>
        <w:ind w:right="113"/>
        <w:jc w:val="right"/>
      </w:pPr>
      <w:r>
        <w:rPr/>
        <w:pict>
          <v:shape style="position:absolute;margin-left:56.424pt;margin-top:-390.680298pt;width:484.2pt;height:58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261"/>
                    <w:gridCol w:w="1063"/>
                    <w:gridCol w:w="1196"/>
                    <w:gridCol w:w="1063"/>
                    <w:gridCol w:w="800"/>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3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324"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26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387,539,934.69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403,483,216.42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4"/>
                          <w:jc w:val="right"/>
                          <w:rPr>
                            <w:rFonts w:ascii="Times New Roman" w:hAnsi="Times New Roman" w:cs="Times New Roman" w:eastAsia="Times New Roman" w:hint="default"/>
                            <w:sz w:val="18"/>
                            <w:szCs w:val="18"/>
                          </w:rPr>
                        </w:pPr>
                        <w:r>
                          <w:rPr>
                            <w:rFonts w:ascii="Times New Roman"/>
                            <w:sz w:val="18"/>
                          </w:rPr>
                          <w:t>69.86%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-5.35%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410,000.00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158,892.10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0.03%</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0.04%</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应收票据增加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25.11 </w:t>
                        </w:r>
                        <w:r>
                          <w:rPr>
                            <w:rFonts w:ascii="宋体" w:hAnsi="宋体" w:cs="宋体" w:eastAsia="宋体" w:hint="default"/>
                            <w:sz w:val="18"/>
                            <w:szCs w:val="18"/>
                          </w:rPr>
                          <w:t>万元，增幅 </w:t>
                        </w:r>
                        <w:r>
                          <w:rPr>
                            <w:rFonts w:ascii="Times New Roman" w:hAnsi="Times New Roman" w:cs="Times New Roman" w:eastAsia="Times New Roman" w:hint="default"/>
                            <w:sz w:val="18"/>
                            <w:szCs w:val="18"/>
                          </w:rPr>
                          <w:t>158.03%</w:t>
                        </w:r>
                        <w:r>
                          <w:rPr>
                            <w:rFonts w:ascii="宋体" w:hAnsi="宋体" w:cs="宋体" w:eastAsia="宋体" w:hint="default"/>
                            <w:sz w:val="18"/>
                            <w:szCs w:val="18"/>
                          </w:rPr>
                          <w:t>，主要原因为本期收到的银 行承兑汇票增加。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61"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46,876,167.89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38,271,842.81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6.63%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17,596,413.00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21,012,363.73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3.64%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-0.71%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7,383,358.20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1.23%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2,102,035.73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0.36%</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0.87%</w:t>
                        </w:r>
                      </w:p>
                    </w:tc>
                    <w:tc>
                      <w:tcPr>
                        <w:tcW w:w="2919" w:type="dxa"/>
                        <w:vMerge w:val="restart"/>
                        <w:tcBorders>
                          <w:top w:val="single" w:sz="4" w:space="0" w:color="000000"/>
                          <w:left w:val="single" w:sz="4" w:space="0" w:color="000000"/>
                          <w:right w:val="single" w:sz="4" w:space="0" w:color="000000"/>
                        </w:tcBorders>
                      </w:tcPr>
                      <w:p>
                        <w:pPr>
                          <w:pStyle w:val="TableParagraph"/>
                          <w:spacing w:line="285" w:lineRule="auto" w:before="33"/>
                          <w:ind w:left="23" w:right="22"/>
                          <w:jc w:val="both"/>
                          <w:rPr>
                            <w:rFonts w:ascii="宋体" w:hAnsi="宋体" w:cs="宋体" w:eastAsia="宋体" w:hint="default"/>
                            <w:sz w:val="20"/>
                            <w:szCs w:val="20"/>
                          </w:rPr>
                        </w:pPr>
                        <w:r>
                          <w:rPr>
                            <w:rFonts w:ascii="宋体" w:hAnsi="宋体" w:cs="宋体" w:eastAsia="宋体" w:hint="default"/>
                            <w:sz w:val="20"/>
                            <w:szCs w:val="20"/>
                          </w:rPr>
                          <w:t>其他应收款增加</w:t>
                        </w:r>
                        <w:r>
                          <w:rPr>
                            <w:rFonts w:ascii="宋体" w:hAnsi="宋体" w:cs="宋体" w:eastAsia="宋体" w:hint="default"/>
                            <w:spacing w:val="-51"/>
                            <w:sz w:val="20"/>
                            <w:szCs w:val="20"/>
                          </w:rPr>
                          <w:t> </w:t>
                        </w:r>
                        <w:r>
                          <w:rPr>
                            <w:rFonts w:ascii="宋体" w:hAnsi="宋体" w:cs="宋体" w:eastAsia="宋体" w:hint="default"/>
                            <w:sz w:val="20"/>
                            <w:szCs w:val="20"/>
                          </w:rPr>
                          <w:t>528.14</w:t>
                        </w:r>
                        <w:r>
                          <w:rPr>
                            <w:rFonts w:ascii="宋体" w:hAnsi="宋体" w:cs="宋体" w:eastAsia="宋体" w:hint="default"/>
                            <w:spacing w:val="-49"/>
                            <w:sz w:val="20"/>
                            <w:szCs w:val="20"/>
                          </w:rPr>
                          <w:t> </w:t>
                        </w:r>
                        <w:r>
                          <w:rPr>
                            <w:rFonts w:ascii="宋体" w:hAnsi="宋体" w:cs="宋体" w:eastAsia="宋体" w:hint="default"/>
                            <w:spacing w:val="-11"/>
                            <w:sz w:val="20"/>
                            <w:szCs w:val="20"/>
                          </w:rPr>
                          <w:t>万元，增</w:t>
                        </w:r>
                        <w:r>
                          <w:rPr>
                            <w:rFonts w:ascii="宋体" w:hAnsi="宋体" w:cs="宋体" w:eastAsia="宋体" w:hint="default"/>
                            <w:w w:val="99"/>
                            <w:sz w:val="20"/>
                            <w:szCs w:val="20"/>
                          </w:rPr>
                          <w:t> 幅</w:t>
                        </w:r>
                        <w:r>
                          <w:rPr>
                            <w:rFonts w:ascii="宋体" w:hAnsi="宋体" w:cs="宋体" w:eastAsia="宋体" w:hint="default"/>
                            <w:spacing w:val="-46"/>
                            <w:w w:val="99"/>
                            <w:sz w:val="20"/>
                            <w:szCs w:val="20"/>
                          </w:rPr>
                          <w:t> </w:t>
                        </w:r>
                        <w:r>
                          <w:rPr>
                            <w:rFonts w:ascii="宋体" w:hAnsi="宋体" w:cs="宋体" w:eastAsia="宋体" w:hint="default"/>
                            <w:spacing w:val="-5"/>
                            <w:w w:val="99"/>
                            <w:sz w:val="20"/>
                            <w:szCs w:val="20"/>
                          </w:rPr>
                          <w:t>251.26%</w:t>
                        </w:r>
                        <w:r>
                          <w:rPr>
                            <w:rFonts w:ascii="宋体" w:hAnsi="宋体" w:cs="宋体" w:eastAsia="宋体" w:hint="default"/>
                            <w:spacing w:val="-5"/>
                            <w:w w:val="99"/>
                            <w:sz w:val="20"/>
                            <w:szCs w:val="20"/>
                          </w:rPr>
                          <w:t>，主要原因支付的保证</w:t>
                        </w:r>
                        <w:r>
                          <w:rPr>
                            <w:rFonts w:ascii="宋体" w:hAnsi="宋体" w:cs="宋体" w:eastAsia="宋体" w:hint="default"/>
                            <w:w w:val="99"/>
                            <w:sz w:val="20"/>
                            <w:szCs w:val="20"/>
                          </w:rPr>
                          <w:t> </w:t>
                        </w:r>
                        <w:r>
                          <w:rPr>
                            <w:rFonts w:ascii="宋体" w:hAnsi="宋体" w:cs="宋体" w:eastAsia="宋体" w:hint="default"/>
                            <w:sz w:val="20"/>
                            <w:szCs w:val="20"/>
                          </w:rPr>
                          <w:t>金的增加。</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1"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72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88" w:right="0"/>
                          <w:jc w:val="left"/>
                          <w:rPr>
                            <w:rFonts w:ascii="Times New Roman" w:hAnsi="Times New Roman" w:cs="Times New Roman" w:eastAsia="Times New Roman" w:hint="default"/>
                            <w:sz w:val="18"/>
                            <w:szCs w:val="18"/>
                          </w:rPr>
                        </w:pPr>
                        <w:r>
                          <w:rPr>
                            <w:rFonts w:ascii="Times New Roman"/>
                            <w:sz w:val="18"/>
                          </w:rPr>
                          <w:t>52,715,228.75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97" w:right="0"/>
                          <w:jc w:val="left"/>
                          <w:rPr>
                            <w:rFonts w:ascii="Times New Roman" w:hAnsi="Times New Roman" w:cs="Times New Roman" w:eastAsia="Times New Roman" w:hint="default"/>
                            <w:sz w:val="18"/>
                            <w:szCs w:val="18"/>
                          </w:rPr>
                        </w:pPr>
                        <w:r>
                          <w:rPr>
                            <w:rFonts w:ascii="Times New Roman"/>
                            <w:sz w:val="18"/>
                          </w:rPr>
                          <w:t>8.77%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9" w:right="0"/>
                          <w:jc w:val="left"/>
                          <w:rPr>
                            <w:rFonts w:ascii="Times New Roman" w:hAnsi="Times New Roman" w:cs="Times New Roman" w:eastAsia="Times New Roman" w:hint="default"/>
                            <w:sz w:val="18"/>
                            <w:szCs w:val="18"/>
                          </w:rPr>
                        </w:pPr>
                        <w:r>
                          <w:rPr>
                            <w:rFonts w:ascii="Times New Roman"/>
                            <w:sz w:val="18"/>
                          </w:rPr>
                          <w:t>29,073,230.12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95" w:right="0"/>
                          <w:jc w:val="left"/>
                          <w:rPr>
                            <w:rFonts w:ascii="Times New Roman" w:hAnsi="Times New Roman" w:cs="Times New Roman" w:eastAsia="Times New Roman" w:hint="default"/>
                            <w:sz w:val="18"/>
                            <w:szCs w:val="18"/>
                          </w:rPr>
                        </w:pPr>
                        <w:r>
                          <w:rPr>
                            <w:rFonts w:ascii="Times New Roman"/>
                            <w:sz w:val="18"/>
                          </w:rPr>
                          <w:t>5.03%</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60" w:right="0"/>
                          <w:jc w:val="left"/>
                          <w:rPr>
                            <w:rFonts w:ascii="Times New Roman" w:hAnsi="Times New Roman" w:cs="Times New Roman" w:eastAsia="Times New Roman" w:hint="default"/>
                            <w:sz w:val="18"/>
                            <w:szCs w:val="18"/>
                          </w:rPr>
                        </w:pPr>
                        <w:r>
                          <w:rPr>
                            <w:rFonts w:ascii="Times New Roman"/>
                            <w:sz w:val="18"/>
                          </w:rPr>
                          <w:t>3.74%</w:t>
                        </w:r>
                      </w:p>
                    </w:tc>
                    <w:tc>
                      <w:tcPr>
                        <w:tcW w:w="2919" w:type="dxa"/>
                        <w:vMerge w:val="restart"/>
                        <w:tcBorders>
                          <w:top w:val="single" w:sz="4" w:space="0" w:color="000000"/>
                          <w:left w:val="single" w:sz="4" w:space="0" w:color="000000"/>
                          <w:right w:val="single" w:sz="4" w:space="0" w:color="000000"/>
                        </w:tcBorders>
                      </w:tcPr>
                      <w:p>
                        <w:pPr>
                          <w:pStyle w:val="TableParagraph"/>
                          <w:spacing w:line="285" w:lineRule="auto" w:before="33"/>
                          <w:ind w:left="23" w:right="-15"/>
                          <w:jc w:val="left"/>
                          <w:rPr>
                            <w:rFonts w:ascii="宋体" w:hAnsi="宋体" w:cs="宋体" w:eastAsia="宋体" w:hint="default"/>
                            <w:sz w:val="20"/>
                            <w:szCs w:val="20"/>
                          </w:rPr>
                        </w:pPr>
                        <w:r>
                          <w:rPr>
                            <w:rFonts w:ascii="宋体" w:hAnsi="宋体" w:cs="宋体" w:eastAsia="宋体" w:hint="default"/>
                            <w:sz w:val="20"/>
                            <w:szCs w:val="20"/>
                          </w:rPr>
                          <w:t>存货增加</w:t>
                        </w:r>
                        <w:r>
                          <w:rPr>
                            <w:rFonts w:ascii="宋体" w:hAnsi="宋体" w:cs="宋体" w:eastAsia="宋体" w:hint="default"/>
                            <w:spacing w:val="-51"/>
                            <w:sz w:val="20"/>
                            <w:szCs w:val="20"/>
                          </w:rPr>
                          <w:t> </w:t>
                        </w:r>
                        <w:r>
                          <w:rPr>
                            <w:rFonts w:ascii="宋体" w:hAnsi="宋体" w:cs="宋体" w:eastAsia="宋体" w:hint="default"/>
                            <w:sz w:val="20"/>
                            <w:szCs w:val="20"/>
                          </w:rPr>
                          <w:t>2364.2</w:t>
                        </w:r>
                        <w:r>
                          <w:rPr>
                            <w:rFonts w:ascii="宋体" w:hAnsi="宋体" w:cs="宋体" w:eastAsia="宋体" w:hint="default"/>
                            <w:spacing w:val="-50"/>
                            <w:sz w:val="20"/>
                            <w:szCs w:val="20"/>
                          </w:rPr>
                          <w:t> </w:t>
                        </w:r>
                        <w:r>
                          <w:rPr>
                            <w:rFonts w:ascii="宋体" w:hAnsi="宋体" w:cs="宋体" w:eastAsia="宋体" w:hint="default"/>
                            <w:sz w:val="20"/>
                            <w:szCs w:val="20"/>
                          </w:rPr>
                          <w:t>万元，增幅</w:t>
                        </w:r>
                        <w:r>
                          <w:rPr>
                            <w:rFonts w:ascii="宋体" w:hAnsi="宋体" w:cs="宋体" w:eastAsia="宋体" w:hint="default"/>
                            <w:w w:val="99"/>
                            <w:sz w:val="20"/>
                            <w:szCs w:val="20"/>
                          </w:rPr>
                          <w:t> </w:t>
                        </w:r>
                        <w:r>
                          <w:rPr>
                            <w:rFonts w:ascii="宋体" w:hAnsi="宋体" w:cs="宋体" w:eastAsia="宋体" w:hint="default"/>
                            <w:w w:val="95"/>
                            <w:sz w:val="20"/>
                            <w:szCs w:val="20"/>
                          </w:rPr>
                          <w:t>81.32%</w:t>
                        </w:r>
                        <w:r>
                          <w:rPr>
                            <w:rFonts w:ascii="宋体" w:hAnsi="宋体" w:cs="宋体" w:eastAsia="宋体" w:hint="default"/>
                            <w:w w:val="95"/>
                            <w:sz w:val="20"/>
                            <w:szCs w:val="20"/>
                          </w:rPr>
                          <w:t>，主要原因是：（</w:t>
                        </w:r>
                        <w:r>
                          <w:rPr>
                            <w:rFonts w:ascii="宋体" w:hAnsi="宋体" w:cs="宋体" w:eastAsia="宋体" w:hint="default"/>
                            <w:w w:val="95"/>
                            <w:sz w:val="20"/>
                            <w:szCs w:val="20"/>
                          </w:rPr>
                          <w:t>1</w:t>
                        </w:r>
                        <w:r>
                          <w:rPr>
                            <w:rFonts w:ascii="宋体" w:hAnsi="宋体" w:cs="宋体" w:eastAsia="宋体" w:hint="default"/>
                            <w:w w:val="95"/>
                            <w:sz w:val="20"/>
                            <w:szCs w:val="20"/>
                          </w:rPr>
                          <w:t>）子公</w:t>
                        </w:r>
                        <w:r>
                          <w:rPr>
                            <w:rFonts w:ascii="宋体" w:hAnsi="宋体" w:cs="宋体" w:eastAsia="宋体" w:hint="default"/>
                            <w:spacing w:val="7"/>
                            <w:w w:val="95"/>
                            <w:sz w:val="20"/>
                            <w:szCs w:val="20"/>
                          </w:rPr>
                          <w:t> </w:t>
                        </w:r>
                        <w:r>
                          <w:rPr>
                            <w:rFonts w:ascii="宋体" w:hAnsi="宋体" w:cs="宋体" w:eastAsia="宋体" w:hint="default"/>
                            <w:spacing w:val="7"/>
                            <w:w w:val="95"/>
                            <w:sz w:val="20"/>
                            <w:szCs w:val="20"/>
                          </w:rPr>
                        </w:r>
                        <w:r>
                          <w:rPr>
                            <w:rFonts w:ascii="宋体" w:hAnsi="宋体" w:cs="宋体" w:eastAsia="宋体" w:hint="default"/>
                            <w:sz w:val="20"/>
                            <w:szCs w:val="20"/>
                          </w:rPr>
                          <w:t>司湖南天舟教育科技研究有限责</w:t>
                        </w:r>
                        <w:r>
                          <w:rPr>
                            <w:rFonts w:ascii="宋体" w:hAnsi="宋体" w:cs="宋体" w:eastAsia="宋体" w:hint="default"/>
                            <w:w w:val="99"/>
                            <w:sz w:val="20"/>
                            <w:szCs w:val="20"/>
                          </w:rPr>
                          <w:t> </w:t>
                        </w:r>
                        <w:r>
                          <w:rPr>
                            <w:rFonts w:ascii="宋体" w:hAnsi="宋体" w:cs="宋体" w:eastAsia="宋体" w:hint="default"/>
                            <w:sz w:val="20"/>
                            <w:szCs w:val="20"/>
                          </w:rPr>
                          <w:t>任公司响应国家一教一辅政策，</w:t>
                        </w:r>
                        <w:r>
                          <w:rPr>
                            <w:rFonts w:ascii="宋体" w:hAnsi="宋体" w:cs="宋体" w:eastAsia="宋体" w:hint="default"/>
                            <w:w w:val="99"/>
                            <w:sz w:val="20"/>
                            <w:szCs w:val="20"/>
                          </w:rPr>
                          <w:t> </w:t>
                        </w:r>
                        <w:r>
                          <w:rPr>
                            <w:rFonts w:ascii="宋体" w:hAnsi="宋体" w:cs="宋体" w:eastAsia="宋体" w:hint="default"/>
                            <w:sz w:val="20"/>
                            <w:szCs w:val="20"/>
                          </w:rPr>
                          <w:t>本期重点开发《跨越》系列教辅</w:t>
                        </w:r>
                        <w:r>
                          <w:rPr>
                            <w:rFonts w:ascii="宋体" w:hAnsi="宋体" w:cs="宋体" w:eastAsia="宋体" w:hint="default"/>
                            <w:w w:val="99"/>
                            <w:sz w:val="20"/>
                            <w:szCs w:val="20"/>
                          </w:rPr>
                          <w:t> </w:t>
                        </w:r>
                        <w:r>
                          <w:rPr>
                            <w:rFonts w:ascii="宋体" w:hAnsi="宋体" w:cs="宋体" w:eastAsia="宋体" w:hint="default"/>
                            <w:sz w:val="20"/>
                            <w:szCs w:val="20"/>
                          </w:rPr>
                          <w:t>图书，由于该图书尚在开发过程</w:t>
                        </w:r>
                        <w:r>
                          <w:rPr>
                            <w:rFonts w:ascii="宋体" w:hAnsi="宋体" w:cs="宋体" w:eastAsia="宋体" w:hint="default"/>
                            <w:w w:val="99"/>
                            <w:sz w:val="20"/>
                            <w:szCs w:val="20"/>
                          </w:rPr>
                          <w:t> </w:t>
                        </w:r>
                        <w:r>
                          <w:rPr>
                            <w:rFonts w:ascii="宋体" w:hAnsi="宋体" w:cs="宋体" w:eastAsia="宋体" w:hint="default"/>
                            <w:sz w:val="20"/>
                            <w:szCs w:val="20"/>
                          </w:rPr>
                          <w:t>中，增加在产品</w:t>
                        </w:r>
                        <w:r>
                          <w:rPr>
                            <w:rFonts w:ascii="宋体" w:hAnsi="宋体" w:cs="宋体" w:eastAsia="宋体" w:hint="default"/>
                            <w:spacing w:val="-52"/>
                            <w:sz w:val="20"/>
                            <w:szCs w:val="20"/>
                          </w:rPr>
                          <w:t> </w:t>
                        </w:r>
                        <w:r>
                          <w:rPr>
                            <w:rFonts w:ascii="宋体" w:hAnsi="宋体" w:cs="宋体" w:eastAsia="宋体" w:hint="default"/>
                            <w:sz w:val="20"/>
                            <w:szCs w:val="20"/>
                          </w:rPr>
                          <w:t>625</w:t>
                        </w:r>
                        <w:r>
                          <w:rPr>
                            <w:rFonts w:ascii="宋体" w:hAnsi="宋体" w:cs="宋体" w:eastAsia="宋体" w:hint="default"/>
                            <w:spacing w:val="-51"/>
                            <w:sz w:val="20"/>
                            <w:szCs w:val="20"/>
                          </w:rPr>
                          <w:t> </w:t>
                        </w:r>
                        <w:r>
                          <w:rPr>
                            <w:rFonts w:ascii="宋体" w:hAnsi="宋体" w:cs="宋体" w:eastAsia="宋体" w:hint="default"/>
                            <w:sz w:val="20"/>
                            <w:szCs w:val="20"/>
                          </w:rPr>
                          <w:t>万元；（</w:t>
                        </w:r>
                        <w:r>
                          <w:rPr>
                            <w:rFonts w:ascii="宋体" w:hAnsi="宋体" w:cs="宋体" w:eastAsia="宋体" w:hint="default"/>
                            <w:sz w:val="20"/>
                            <w:szCs w:val="20"/>
                          </w:rPr>
                          <w:t>2</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子公司北京永载文化有限责任公</w:t>
                        </w:r>
                        <w:r>
                          <w:rPr>
                            <w:rFonts w:ascii="宋体" w:hAnsi="宋体" w:cs="宋体" w:eastAsia="宋体" w:hint="default"/>
                            <w:w w:val="99"/>
                            <w:sz w:val="20"/>
                            <w:szCs w:val="20"/>
                          </w:rPr>
                          <w:t> </w:t>
                        </w:r>
                        <w:r>
                          <w:rPr>
                            <w:rFonts w:ascii="宋体" w:hAnsi="宋体" w:cs="宋体" w:eastAsia="宋体" w:hint="default"/>
                            <w:sz w:val="20"/>
                            <w:szCs w:val="20"/>
                          </w:rPr>
                          <w:t>司本期正式开展业务，增加库存</w:t>
                        </w:r>
                        <w:r>
                          <w:rPr>
                            <w:rFonts w:ascii="宋体" w:hAnsi="宋体" w:cs="宋体" w:eastAsia="宋体" w:hint="default"/>
                            <w:w w:val="99"/>
                            <w:sz w:val="20"/>
                            <w:szCs w:val="20"/>
                          </w:rPr>
                          <w:t> </w:t>
                        </w:r>
                        <w:r>
                          <w:rPr>
                            <w:rFonts w:ascii="宋体" w:hAnsi="宋体" w:cs="宋体" w:eastAsia="宋体" w:hint="default"/>
                            <w:sz w:val="20"/>
                            <w:szCs w:val="20"/>
                          </w:rPr>
                          <w:t>商品</w:t>
                        </w:r>
                        <w:r>
                          <w:rPr>
                            <w:rFonts w:ascii="宋体" w:hAnsi="宋体" w:cs="宋体" w:eastAsia="宋体" w:hint="default"/>
                            <w:spacing w:val="-51"/>
                            <w:sz w:val="20"/>
                            <w:szCs w:val="20"/>
                          </w:rPr>
                          <w:t> </w:t>
                        </w:r>
                        <w:r>
                          <w:rPr>
                            <w:rFonts w:ascii="宋体" w:hAnsi="宋体" w:cs="宋体" w:eastAsia="宋体" w:hint="default"/>
                            <w:sz w:val="20"/>
                            <w:szCs w:val="20"/>
                          </w:rPr>
                          <w:t>435</w:t>
                        </w:r>
                        <w:r>
                          <w:rPr>
                            <w:rFonts w:ascii="宋体" w:hAnsi="宋体" w:cs="宋体" w:eastAsia="宋体" w:hint="default"/>
                            <w:spacing w:val="-50"/>
                            <w:sz w:val="20"/>
                            <w:szCs w:val="20"/>
                          </w:rPr>
                          <w:t> </w:t>
                        </w:r>
                        <w:r>
                          <w:rPr>
                            <w:rFonts w:ascii="宋体" w:hAnsi="宋体" w:cs="宋体" w:eastAsia="宋体" w:hint="default"/>
                            <w:spacing w:val="-9"/>
                            <w:sz w:val="20"/>
                            <w:szCs w:val="20"/>
                          </w:rPr>
                          <w:t>万元；（</w:t>
                        </w:r>
                        <w:r>
                          <w:rPr>
                            <w:rFonts w:ascii="宋体" w:hAnsi="宋体" w:cs="宋体" w:eastAsia="宋体" w:hint="default"/>
                            <w:spacing w:val="-9"/>
                            <w:sz w:val="20"/>
                            <w:szCs w:val="20"/>
                          </w:rPr>
                          <w:t>3</w:t>
                        </w:r>
                        <w:r>
                          <w:rPr>
                            <w:rFonts w:ascii="宋体" w:hAnsi="宋体" w:cs="宋体" w:eastAsia="宋体" w:hint="default"/>
                            <w:spacing w:val="-9"/>
                            <w:sz w:val="20"/>
                            <w:szCs w:val="20"/>
                          </w:rPr>
                          <w:t>）</w:t>
                        </w:r>
                        <w:r>
                          <w:rPr>
                            <w:rFonts w:ascii="宋体" w:hAnsi="宋体" w:cs="宋体" w:eastAsia="宋体" w:hint="default"/>
                            <w:spacing w:val="-9"/>
                            <w:sz w:val="20"/>
                            <w:szCs w:val="20"/>
                          </w:rPr>
                          <w:t>2013</w:t>
                        </w:r>
                        <w:r>
                          <w:rPr>
                            <w:rFonts w:ascii="宋体" w:hAnsi="宋体" w:cs="宋体" w:eastAsia="宋体" w:hint="default"/>
                            <w:spacing w:val="-52"/>
                            <w:sz w:val="20"/>
                            <w:szCs w:val="20"/>
                          </w:rPr>
                          <w:t> </w:t>
                        </w:r>
                        <w:r>
                          <w:rPr>
                            <w:rFonts w:ascii="宋体" w:hAnsi="宋体" w:cs="宋体" w:eastAsia="宋体" w:hint="default"/>
                            <w:sz w:val="20"/>
                            <w:szCs w:val="20"/>
                          </w:rPr>
                          <w:t>年春季</w:t>
                        </w:r>
                        <w:r>
                          <w:rPr>
                            <w:rFonts w:ascii="宋体" w:hAnsi="宋体" w:cs="宋体" w:eastAsia="宋体" w:hint="default"/>
                            <w:w w:val="99"/>
                            <w:sz w:val="20"/>
                            <w:szCs w:val="20"/>
                          </w:rPr>
                          <w:t> </w:t>
                        </w:r>
                        <w:r>
                          <w:rPr>
                            <w:rFonts w:ascii="宋体" w:hAnsi="宋体" w:cs="宋体" w:eastAsia="宋体" w:hint="default"/>
                            <w:sz w:val="20"/>
                            <w:szCs w:val="20"/>
                          </w:rPr>
                          <w:t>教辅发行延后，影响期末与客户</w:t>
                        </w:r>
                        <w:r>
                          <w:rPr>
                            <w:rFonts w:ascii="宋体" w:hAnsi="宋体" w:cs="宋体" w:eastAsia="宋体" w:hint="default"/>
                            <w:w w:val="99"/>
                            <w:sz w:val="20"/>
                            <w:szCs w:val="20"/>
                          </w:rPr>
                          <w:t> </w:t>
                        </w:r>
                        <w:r>
                          <w:rPr>
                            <w:rFonts w:ascii="宋体" w:hAnsi="宋体" w:cs="宋体" w:eastAsia="宋体" w:hint="default"/>
                            <w:spacing w:val="-3"/>
                            <w:sz w:val="20"/>
                            <w:szCs w:val="20"/>
                          </w:rPr>
                          <w:t>的结算进度，导致发出商品增加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1"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72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607,774.35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0.10%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187,560.69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0.03%</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0.07%</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其他流动资产增加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 </w:t>
                        </w:r>
                        <w:r>
                          <w:rPr>
                            <w:rFonts w:ascii="Times New Roman" w:hAnsi="Times New Roman" w:cs="Times New Roman" w:eastAsia="Times New Roman" w:hint="default"/>
                            <w:sz w:val="18"/>
                            <w:szCs w:val="18"/>
                          </w:rPr>
                          <w:t>224.04%</w:t>
                        </w:r>
                        <w:r>
                          <w:rPr>
                            <w:rFonts w:ascii="宋体" w:hAnsi="宋体" w:cs="宋体" w:eastAsia="宋体" w:hint="default"/>
                            <w:sz w:val="18"/>
                            <w:szCs w:val="18"/>
                          </w:rPr>
                          <w:t>，主要原因为本期增加的待 抵扣增值税进项税额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61"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35,526,601.36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34,618,752.99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5.99%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-0.08%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45,226,032.47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46,254,632.16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8.01%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696,471.91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697,351.74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0.12%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4,378,661.96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0.73%</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0.73%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长期待摊费用增加的主要原因是：本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公司子公司北京东方天舟教育科技 </w:t>
                        </w:r>
                        <w:r>
                          <w:rPr>
                            <w:rFonts w:ascii="宋体" w:hAnsi="宋体" w:cs="宋体" w:eastAsia="宋体" w:hint="default"/>
                            <w:spacing w:val="-2"/>
                            <w:sz w:val="18"/>
                            <w:szCs w:val="18"/>
                          </w:rPr>
                          <w:t>有限责任公司（以下简称“东方天舟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公司”）本期向天津乐美汇教育信息</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61"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5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99"/>
        </w:rPr>
        <w:t>。</w:t>
      </w:r>
      <w:r>
        <w:rPr/>
      </w:r>
    </w:p>
    <w:p>
      <w:pPr>
        <w:spacing w:after="0" w:line="240" w:lineRule="auto"/>
        <w:jc w:val="right"/>
        <w:sectPr>
          <w:pgSz w:w="11910" w:h="16840"/>
          <w:pgMar w:header="918" w:footer="999" w:top="1100" w:bottom="1180" w:left="980" w:right="9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261"/>
        <w:gridCol w:w="1063"/>
        <w:gridCol w:w="1196"/>
        <w:gridCol w:w="1063"/>
        <w:gridCol w:w="800"/>
        <w:gridCol w:w="2919"/>
      </w:tblGrid>
      <w:tr>
        <w:trPr>
          <w:trHeight w:val="223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咨询有限公司（以下简称“乐美汇公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6"/>
                <w:sz w:val="18"/>
                <w:szCs w:val="18"/>
              </w:rPr>
              <w:t>司”）购买了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个教学点的相关资产</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及经营权，其中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个教学点的教育咨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询培训业务经营权总投资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东方天舟公司将该经营权按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进行摊销；另外东方天舟公司新增培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训教室、装修等共计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823,633.39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667,322.74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600,780,277.97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577,527,201.23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34"/>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5"/>
        <w:gridCol w:w="1063"/>
        <w:gridCol w:w="1196"/>
        <w:gridCol w:w="1063"/>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52,192,540.56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8.69%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43,628,636.37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7.55%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5,952,704.27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1,031,832.42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0.18%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0.81%</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33"/>
              <w:ind w:left="23" w:right="0"/>
              <w:jc w:val="both"/>
              <w:rPr>
                <w:rFonts w:ascii="宋体" w:hAnsi="宋体" w:cs="宋体" w:eastAsia="宋体" w:hint="default"/>
                <w:sz w:val="20"/>
                <w:szCs w:val="20"/>
              </w:rPr>
            </w:pPr>
            <w:r>
              <w:rPr>
                <w:rFonts w:ascii="宋体" w:hAnsi="宋体" w:cs="宋体" w:eastAsia="宋体" w:hint="default"/>
                <w:sz w:val="20"/>
                <w:szCs w:val="20"/>
              </w:rPr>
              <w:t>预收款项增加</w:t>
            </w:r>
            <w:r>
              <w:rPr>
                <w:rFonts w:ascii="宋体" w:hAnsi="宋体" w:cs="宋体" w:eastAsia="宋体" w:hint="default"/>
                <w:spacing w:val="-51"/>
                <w:sz w:val="20"/>
                <w:szCs w:val="20"/>
              </w:rPr>
              <w:t> </w:t>
            </w:r>
            <w:r>
              <w:rPr>
                <w:rFonts w:ascii="宋体" w:hAnsi="宋体" w:cs="宋体" w:eastAsia="宋体" w:hint="default"/>
                <w:sz w:val="20"/>
                <w:szCs w:val="20"/>
              </w:rPr>
              <w:t>492.09</w:t>
            </w:r>
            <w:r>
              <w:rPr>
                <w:rFonts w:ascii="宋体" w:hAnsi="宋体" w:cs="宋体" w:eastAsia="宋体" w:hint="default"/>
                <w:spacing w:val="-50"/>
                <w:sz w:val="20"/>
                <w:szCs w:val="20"/>
              </w:rPr>
              <w:t> </w:t>
            </w:r>
            <w:r>
              <w:rPr>
                <w:rFonts w:ascii="宋体" w:hAnsi="宋体" w:cs="宋体" w:eastAsia="宋体" w:hint="default"/>
                <w:spacing w:val="-9"/>
                <w:sz w:val="20"/>
                <w:szCs w:val="20"/>
              </w:rPr>
              <w:t>万元，增幅</w:t>
            </w:r>
          </w:p>
          <w:p>
            <w:pPr>
              <w:pStyle w:val="TableParagraph"/>
              <w:spacing w:line="285" w:lineRule="auto" w:before="50"/>
              <w:ind w:left="23" w:right="34"/>
              <w:jc w:val="both"/>
              <w:rPr>
                <w:rFonts w:ascii="宋体" w:hAnsi="宋体" w:cs="宋体" w:eastAsia="宋体" w:hint="default"/>
                <w:sz w:val="20"/>
                <w:szCs w:val="20"/>
              </w:rPr>
            </w:pPr>
            <w:r>
              <w:rPr>
                <w:rFonts w:ascii="宋体" w:hAnsi="宋体" w:cs="宋体" w:eastAsia="宋体" w:hint="default"/>
                <w:sz w:val="20"/>
                <w:szCs w:val="20"/>
              </w:rPr>
              <w:t>4.77</w:t>
            </w:r>
            <w:r>
              <w:rPr>
                <w:rFonts w:ascii="宋体" w:hAnsi="宋体" w:cs="宋体" w:eastAsia="宋体" w:hint="default"/>
                <w:spacing w:val="-53"/>
                <w:sz w:val="20"/>
                <w:szCs w:val="20"/>
              </w:rPr>
              <w:t> </w:t>
            </w:r>
            <w:r>
              <w:rPr>
                <w:rFonts w:ascii="宋体" w:hAnsi="宋体" w:cs="宋体" w:eastAsia="宋体" w:hint="default"/>
                <w:sz w:val="20"/>
                <w:szCs w:val="20"/>
              </w:rPr>
              <w:t>倍，主要原因是本期增加了</w:t>
            </w:r>
            <w:r>
              <w:rPr>
                <w:rFonts w:ascii="宋体" w:hAnsi="宋体" w:cs="宋体" w:eastAsia="宋体" w:hint="default"/>
                <w:w w:val="99"/>
                <w:sz w:val="20"/>
                <w:szCs w:val="20"/>
              </w:rPr>
              <w:t> </w:t>
            </w:r>
            <w:r>
              <w:rPr>
                <w:rFonts w:ascii="宋体" w:hAnsi="宋体" w:cs="宋体" w:eastAsia="宋体" w:hint="default"/>
                <w:sz w:val="20"/>
                <w:szCs w:val="20"/>
              </w:rPr>
              <w:t>预收拟出售的位于长沙市长沙县</w:t>
            </w:r>
            <w:r>
              <w:rPr>
                <w:rFonts w:ascii="宋体" w:hAnsi="宋体" w:cs="宋体" w:eastAsia="宋体" w:hint="default"/>
                <w:w w:val="99"/>
                <w:sz w:val="20"/>
                <w:szCs w:val="20"/>
              </w:rPr>
              <w:t> </w:t>
            </w:r>
            <w:r>
              <w:rPr>
                <w:rFonts w:ascii="宋体" w:hAnsi="宋体" w:cs="宋体" w:eastAsia="宋体" w:hint="default"/>
                <w:sz w:val="20"/>
                <w:szCs w:val="20"/>
              </w:rPr>
              <w:t>星沙镇的闲置办公楼定金。</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373,769.92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127,639.27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0.04%</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应付职工薪酬增加</w:t>
            </w:r>
            <w:r>
              <w:rPr>
                <w:rFonts w:ascii="宋体" w:hAnsi="宋体" w:cs="宋体" w:eastAsia="宋体" w:hint="default"/>
                <w:spacing w:val="-53"/>
                <w:sz w:val="20"/>
                <w:szCs w:val="20"/>
              </w:rPr>
              <w:t> </w:t>
            </w:r>
            <w:r>
              <w:rPr>
                <w:rFonts w:ascii="宋体" w:hAnsi="宋体" w:cs="宋体" w:eastAsia="宋体" w:hint="default"/>
                <w:sz w:val="20"/>
                <w:szCs w:val="20"/>
              </w:rPr>
              <w:t>24.61</w:t>
            </w:r>
            <w:r>
              <w:rPr>
                <w:rFonts w:ascii="宋体" w:hAnsi="宋体" w:cs="宋体" w:eastAsia="宋体" w:hint="default"/>
                <w:spacing w:val="-51"/>
                <w:sz w:val="20"/>
                <w:szCs w:val="20"/>
              </w:rPr>
              <w:t> </w:t>
            </w:r>
            <w:r>
              <w:rPr>
                <w:rFonts w:ascii="宋体" w:hAnsi="宋体" w:cs="宋体" w:eastAsia="宋体" w:hint="default"/>
                <w:sz w:val="20"/>
                <w:szCs w:val="20"/>
              </w:rPr>
              <w:t>万元，</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增幅</w:t>
            </w:r>
            <w:r>
              <w:rPr>
                <w:rFonts w:ascii="宋体" w:hAnsi="宋体" w:cs="宋体" w:eastAsia="宋体" w:hint="default"/>
                <w:spacing w:val="-53"/>
                <w:sz w:val="20"/>
                <w:szCs w:val="20"/>
              </w:rPr>
              <w:t> </w:t>
            </w:r>
            <w:r>
              <w:rPr>
                <w:rFonts w:ascii="宋体" w:hAnsi="宋体" w:cs="宋体" w:eastAsia="宋体" w:hint="default"/>
                <w:sz w:val="20"/>
                <w:szCs w:val="20"/>
              </w:rPr>
              <w:t>1.9</w:t>
            </w:r>
            <w:r>
              <w:rPr>
                <w:rFonts w:ascii="宋体" w:hAnsi="宋体" w:cs="宋体" w:eastAsia="宋体" w:hint="default"/>
                <w:spacing w:val="-52"/>
                <w:sz w:val="20"/>
                <w:szCs w:val="20"/>
              </w:rPr>
              <w:t> </w:t>
            </w:r>
            <w:r>
              <w:rPr>
                <w:rFonts w:ascii="宋体" w:hAnsi="宋体" w:cs="宋体" w:eastAsia="宋体" w:hint="default"/>
                <w:sz w:val="20"/>
                <w:szCs w:val="20"/>
              </w:rPr>
              <w:t>倍，主要原因是北京永</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载公司年末计提了</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月工资</w:t>
            </w:r>
            <w:r>
              <w:rPr>
                <w:rFonts w:ascii="宋体" w:hAnsi="宋体" w:cs="宋体" w:eastAsia="宋体" w:hint="default"/>
                <w:spacing w:val="-52"/>
                <w:sz w:val="20"/>
                <w:szCs w:val="20"/>
              </w:rPr>
              <w:t> </w:t>
            </w:r>
            <w:r>
              <w:rPr>
                <w:rFonts w:ascii="宋体" w:hAnsi="宋体" w:cs="宋体" w:eastAsia="宋体" w:hint="default"/>
                <w:sz w:val="20"/>
                <w:szCs w:val="20"/>
              </w:rPr>
              <w:t>18</w:t>
            </w:r>
          </w:p>
          <w:p>
            <w:pPr>
              <w:pStyle w:val="TableParagraph"/>
              <w:spacing w:line="240" w:lineRule="auto" w:before="50"/>
              <w:ind w:left="23" w:right="0"/>
              <w:jc w:val="left"/>
              <w:rPr>
                <w:rFonts w:ascii="宋体" w:hAnsi="宋体" w:cs="宋体" w:eastAsia="宋体" w:hint="default"/>
                <w:sz w:val="20"/>
                <w:szCs w:val="20"/>
              </w:rPr>
            </w:pPr>
            <w:r>
              <w:rPr>
                <w:rFonts w:ascii="宋体" w:hAnsi="宋体" w:cs="宋体" w:eastAsia="宋体" w:hint="default"/>
                <w:sz w:val="20"/>
                <w:szCs w:val="20"/>
              </w:rPr>
              <w:t>万元在</w:t>
            </w:r>
            <w:r>
              <w:rPr>
                <w:rFonts w:ascii="宋体" w:hAnsi="宋体" w:cs="宋体" w:eastAsia="宋体" w:hint="default"/>
                <w:spacing w:val="-52"/>
                <w:sz w:val="20"/>
                <w:szCs w:val="20"/>
              </w:rPr>
              <w:t> </w:t>
            </w:r>
            <w:r>
              <w:rPr>
                <w:rFonts w:ascii="宋体" w:hAnsi="宋体" w:cs="宋体" w:eastAsia="宋体" w:hint="default"/>
                <w:sz w:val="20"/>
                <w:szCs w:val="20"/>
              </w:rPr>
              <w:t>2013</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月发放。</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4,193,396.24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3,861,251.72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4,442,586.16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0.74%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638,451.05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0.11%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0.63%</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33"/>
              <w:ind w:left="23" w:right="0"/>
              <w:jc w:val="both"/>
              <w:rPr>
                <w:rFonts w:ascii="宋体" w:hAnsi="宋体" w:cs="宋体" w:eastAsia="宋体" w:hint="default"/>
                <w:sz w:val="20"/>
                <w:szCs w:val="20"/>
              </w:rPr>
            </w:pPr>
            <w:r>
              <w:rPr>
                <w:rFonts w:ascii="宋体" w:hAnsi="宋体" w:cs="宋体" w:eastAsia="宋体" w:hint="default"/>
                <w:sz w:val="20"/>
                <w:szCs w:val="20"/>
              </w:rPr>
              <w:t>其他应付款增加</w:t>
            </w:r>
            <w:r>
              <w:rPr>
                <w:rFonts w:ascii="宋体" w:hAnsi="宋体" w:cs="宋体" w:eastAsia="宋体" w:hint="default"/>
                <w:spacing w:val="-52"/>
                <w:sz w:val="20"/>
                <w:szCs w:val="20"/>
              </w:rPr>
              <w:t> </w:t>
            </w:r>
            <w:r>
              <w:rPr>
                <w:rFonts w:ascii="宋体" w:hAnsi="宋体" w:cs="宋体" w:eastAsia="宋体" w:hint="default"/>
                <w:sz w:val="20"/>
                <w:szCs w:val="20"/>
              </w:rPr>
              <w:t>380.41</w:t>
            </w:r>
            <w:r>
              <w:rPr>
                <w:rFonts w:ascii="宋体" w:hAnsi="宋体" w:cs="宋体" w:eastAsia="宋体" w:hint="default"/>
                <w:spacing w:val="-50"/>
                <w:sz w:val="20"/>
                <w:szCs w:val="20"/>
              </w:rPr>
              <w:t> </w:t>
            </w:r>
            <w:r>
              <w:rPr>
                <w:rFonts w:ascii="宋体" w:hAnsi="宋体" w:cs="宋体" w:eastAsia="宋体" w:hint="default"/>
                <w:spacing w:val="-11"/>
                <w:sz w:val="20"/>
                <w:szCs w:val="20"/>
              </w:rPr>
              <w:t>万元，增</w:t>
            </w:r>
          </w:p>
          <w:p>
            <w:pPr>
              <w:pStyle w:val="TableParagraph"/>
              <w:spacing w:line="285" w:lineRule="auto" w:before="50"/>
              <w:ind w:left="23" w:right="22"/>
              <w:jc w:val="both"/>
              <w:rPr>
                <w:rFonts w:ascii="宋体" w:hAnsi="宋体" w:cs="宋体" w:eastAsia="宋体" w:hint="default"/>
                <w:sz w:val="20"/>
                <w:szCs w:val="20"/>
              </w:rPr>
            </w:pPr>
            <w:r>
              <w:rPr>
                <w:rFonts w:ascii="宋体" w:hAnsi="宋体" w:cs="宋体" w:eastAsia="宋体" w:hint="default"/>
                <w:sz w:val="20"/>
                <w:szCs w:val="20"/>
              </w:rPr>
              <w:t>幅</w:t>
            </w:r>
            <w:r>
              <w:rPr>
                <w:rFonts w:ascii="宋体" w:hAnsi="宋体" w:cs="宋体" w:eastAsia="宋体" w:hint="default"/>
                <w:spacing w:val="-50"/>
                <w:sz w:val="20"/>
                <w:szCs w:val="20"/>
              </w:rPr>
              <w:t> </w:t>
            </w:r>
            <w:r>
              <w:rPr>
                <w:rFonts w:ascii="宋体" w:hAnsi="宋体" w:cs="宋体" w:eastAsia="宋体" w:hint="default"/>
                <w:sz w:val="20"/>
                <w:szCs w:val="20"/>
              </w:rPr>
              <w:t>5.96</w:t>
            </w:r>
            <w:r>
              <w:rPr>
                <w:rFonts w:ascii="宋体" w:hAnsi="宋体" w:cs="宋体" w:eastAsia="宋体" w:hint="default"/>
                <w:spacing w:val="-49"/>
                <w:sz w:val="20"/>
                <w:szCs w:val="20"/>
              </w:rPr>
              <w:t> </w:t>
            </w:r>
            <w:r>
              <w:rPr>
                <w:rFonts w:ascii="宋体" w:hAnsi="宋体" w:cs="宋体" w:eastAsia="宋体" w:hint="default"/>
                <w:spacing w:val="-4"/>
                <w:sz w:val="20"/>
                <w:szCs w:val="20"/>
              </w:rPr>
              <w:t>倍，主要原因是本期收到</w:t>
            </w:r>
            <w:r>
              <w:rPr>
                <w:rFonts w:ascii="宋体" w:hAnsi="宋体" w:cs="宋体" w:eastAsia="宋体" w:hint="default"/>
                <w:w w:val="99"/>
                <w:sz w:val="20"/>
                <w:szCs w:val="20"/>
              </w:rPr>
              <w:t> </w:t>
            </w:r>
            <w:r>
              <w:rPr>
                <w:rFonts w:ascii="宋体" w:hAnsi="宋体" w:cs="宋体" w:eastAsia="宋体" w:hint="default"/>
                <w:sz w:val="20"/>
                <w:szCs w:val="20"/>
              </w:rPr>
              <w:t>了能力培养与测试一书的销售保</w:t>
            </w:r>
            <w:r>
              <w:rPr>
                <w:rFonts w:ascii="宋体" w:hAnsi="宋体" w:cs="宋体" w:eastAsia="宋体" w:hint="default"/>
                <w:w w:val="99"/>
                <w:sz w:val="20"/>
                <w:szCs w:val="20"/>
              </w:rPr>
              <w:t> </w:t>
            </w:r>
            <w:r>
              <w:rPr>
                <w:rFonts w:ascii="宋体" w:hAnsi="宋体" w:cs="宋体" w:eastAsia="宋体" w:hint="default"/>
                <w:sz w:val="20"/>
                <w:szCs w:val="20"/>
              </w:rPr>
              <w:t>证金。</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67,154,997.15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11.18%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49,287,810.83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before="36"/>
        <w:ind w:right="134"/>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8"/>
          <w:szCs w:val="28"/>
        </w:rPr>
      </w:pPr>
    </w:p>
    <w:p>
      <w:pPr>
        <w:pStyle w:val="Heading4"/>
        <w:spacing w:line="240" w:lineRule="auto" w:before="0"/>
        <w:ind w:left="510" w:right="134"/>
        <w:jc w:val="left"/>
      </w:pPr>
      <w:r>
        <w:rPr/>
        <w:t>报告期内，公司拥有</w:t>
      </w:r>
      <w:r>
        <w:rPr>
          <w:spacing w:val="-60"/>
        </w:rPr>
        <w:t> </w:t>
      </w:r>
      <w:r>
        <w:rPr>
          <w:rFonts w:ascii="Times New Roman" w:hAnsi="Times New Roman" w:cs="Times New Roman" w:eastAsia="Times New Roman" w:hint="default"/>
        </w:rPr>
        <w:t>79 </w:t>
      </w:r>
      <w:r>
        <w:rPr/>
        <w:t>项著作权（其中图书著作权</w:t>
      </w:r>
      <w:r>
        <w:rPr>
          <w:spacing w:val="-60"/>
        </w:rPr>
        <w:t> </w:t>
      </w:r>
      <w:r>
        <w:rPr>
          <w:rFonts w:ascii="Times New Roman" w:hAnsi="Times New Roman" w:cs="Times New Roman" w:eastAsia="Times New Roman" w:hint="default"/>
        </w:rPr>
        <w:t>69 </w:t>
      </w:r>
      <w:r>
        <w:rPr/>
        <w:t>项、软件著作权</w:t>
      </w:r>
      <w:r>
        <w:rPr>
          <w:spacing w:val="-60"/>
        </w:rPr>
        <w:t> </w:t>
      </w:r>
      <w:r>
        <w:rPr>
          <w:rFonts w:ascii="Times New Roman" w:hAnsi="Times New Roman" w:cs="Times New Roman" w:eastAsia="Times New Roman" w:hint="default"/>
        </w:rPr>
        <w:t>10 </w:t>
      </w:r>
      <w:r>
        <w:rPr/>
        <w:t>项</w:t>
      </w:r>
      <w:r>
        <w:rPr>
          <w:spacing w:val="-120"/>
        </w:rPr>
        <w:t>）</w:t>
      </w:r>
      <w:r>
        <w:rPr/>
        <w:t>、</w:t>
      </w:r>
      <w:r>
        <w:rPr>
          <w:rFonts w:ascii="Times New Roman" w:hAnsi="Times New Roman" w:cs="Times New Roman" w:eastAsia="Times New Roman" w:hint="default"/>
        </w:rPr>
        <w:t>42 </w:t>
      </w:r>
      <w:r>
        <w:rPr/>
        <w:t>项注</w:t>
      </w:r>
    </w:p>
    <w:p>
      <w:pPr>
        <w:pStyle w:val="Heading4"/>
        <w:spacing w:line="338" w:lineRule="auto" w:before="135"/>
        <w:ind w:right="134"/>
        <w:jc w:val="left"/>
      </w:pPr>
      <w:r>
        <w:rPr/>
        <w:t>册商标权及土地使用权（公司所属位于芙蓉区火星镇综合楼</w:t>
      </w:r>
      <w:r>
        <w:rPr>
          <w:spacing w:val="-7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6"/>
        </w:rPr>
        <w:t> </w:t>
      </w:r>
      <w:r>
        <w:rPr>
          <w:spacing w:val="-3"/>
        </w:rPr>
        <w:t>套房、长沙县星沙镇茶叶大市</w:t>
      </w:r>
      <w:r>
        <w:rPr/>
        <w:t> </w:t>
      </w:r>
      <w:r>
        <w:rPr>
          <w:spacing w:val="-1"/>
        </w:rPr>
        <w:t>场“山水茗园”</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8"/>
        </w:rPr>
        <w:t> </w:t>
      </w:r>
      <w:r>
        <w:rPr>
          <w:spacing w:val="-10"/>
        </w:rPr>
        <w:t>套房分摊的土地使用权）。</w:t>
      </w:r>
    </w:p>
    <w:p>
      <w:pPr>
        <w:spacing w:after="0" w:line="338" w:lineRule="auto"/>
        <w:jc w:val="left"/>
        <w:sectPr>
          <w:headerReference w:type="default" r:id="rId18"/>
          <w:pgSz w:w="11910" w:h="16840"/>
          <w:pgMar w:header="918" w:footer="999" w:top="1100" w:bottom="1180" w:left="980" w:right="980"/>
        </w:sectPr>
      </w:pPr>
    </w:p>
    <w:p>
      <w:pPr>
        <w:spacing w:line="240" w:lineRule="auto" w:before="7"/>
        <w:rPr>
          <w:rFonts w:ascii="宋体" w:hAnsi="宋体" w:cs="宋体" w:eastAsia="宋体" w:hint="default"/>
          <w:sz w:val="25"/>
          <w:szCs w:val="25"/>
        </w:rPr>
      </w:pPr>
    </w:p>
    <w:p>
      <w:pPr>
        <w:pStyle w:val="Heading4"/>
        <w:spacing w:line="240" w:lineRule="auto" w:before="26"/>
        <w:ind w:left="510" w:right="134"/>
        <w:jc w:val="left"/>
      </w:pPr>
      <w:r>
        <w:rPr/>
        <w:t>报告期内新增知识产权如下：</w:t>
      </w:r>
    </w:p>
    <w:p>
      <w:pPr>
        <w:pStyle w:val="Heading4"/>
        <w:spacing w:line="240" w:lineRule="auto" w:before="154"/>
        <w:ind w:left="510" w:right="134"/>
        <w:jc w:val="left"/>
      </w:pPr>
      <w:r>
        <w:rPr>
          <w:rFonts w:ascii="Times New Roman" w:hAnsi="Times New Roman" w:cs="Times New Roman" w:eastAsia="Times New Roman" w:hint="default"/>
        </w:rPr>
        <w:t>1</w:t>
      </w:r>
      <w:r>
        <w:rPr/>
        <w:t>）著作权</w:t>
      </w:r>
    </w:p>
    <w:p>
      <w:pPr>
        <w:spacing w:line="240" w:lineRule="auto" w:before="5"/>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648"/>
        <w:gridCol w:w="3164"/>
        <w:gridCol w:w="1287"/>
        <w:gridCol w:w="1133"/>
        <w:gridCol w:w="1078"/>
        <w:gridCol w:w="2403"/>
      </w:tblGrid>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作品名称</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作品类型</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权利人</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2" w:right="0"/>
              <w:jc w:val="left"/>
              <w:rPr>
                <w:rFonts w:ascii="宋体" w:hAnsi="宋体" w:cs="宋体" w:eastAsia="宋体" w:hint="default"/>
                <w:sz w:val="18"/>
                <w:szCs w:val="18"/>
              </w:rPr>
            </w:pPr>
            <w:r>
              <w:rPr>
                <w:rFonts w:ascii="宋体" w:hAnsi="宋体" w:cs="宋体" w:eastAsia="宋体" w:hint="default"/>
                <w:b/>
                <w:bCs/>
                <w:sz w:val="18"/>
                <w:szCs w:val="18"/>
              </w:rPr>
              <w:t>登记时间</w:t>
            </w:r>
            <w:r>
              <w:rPr>
                <w:rFonts w:ascii="宋体" w:hAnsi="宋体" w:cs="宋体" w:eastAsia="宋体" w:hint="default"/>
                <w:sz w:val="18"/>
                <w:szCs w:val="18"/>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登记证号</w:t>
            </w:r>
            <w:r>
              <w:rPr>
                <w:rFonts w:ascii="宋体" w:hAnsi="宋体" w:cs="宋体" w:eastAsia="宋体" w:hint="default"/>
                <w:sz w:val="18"/>
                <w:szCs w:val="18"/>
              </w:rPr>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多媒体教学一体机软件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0438544 </w:t>
            </w:r>
            <w:r>
              <w:rPr>
                <w:rFonts w:ascii="宋体" w:hAnsi="宋体" w:cs="宋体" w:eastAsia="宋体" w:hint="default"/>
                <w:sz w:val="18"/>
                <w:szCs w:val="18"/>
              </w:rPr>
              <w:t>号</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仿真实验室软件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0438708 </w:t>
            </w:r>
            <w:r>
              <w:rPr>
                <w:rFonts w:ascii="宋体" w:hAnsi="宋体" w:cs="宋体" w:eastAsia="宋体" w:hint="default"/>
                <w:sz w:val="18"/>
                <w:szCs w:val="18"/>
              </w:rPr>
              <w:t>号</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天舟电子教材编辑软件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天舟书稿智能批处理软件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0438744 </w:t>
            </w:r>
            <w:r>
              <w:rPr>
                <w:rFonts w:ascii="宋体" w:hAnsi="宋体" w:cs="宋体" w:eastAsia="宋体" w:hint="default"/>
                <w:sz w:val="18"/>
                <w:szCs w:val="18"/>
              </w:rPr>
              <w:t>号</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天舟书稿源文件管理系统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0438706 </w:t>
            </w:r>
            <w:r>
              <w:rPr>
                <w:rFonts w:ascii="宋体" w:hAnsi="宋体" w:cs="宋体" w:eastAsia="宋体" w:hint="default"/>
                <w:sz w:val="18"/>
                <w:szCs w:val="18"/>
              </w:rPr>
              <w:t>号</w:t>
            </w:r>
          </w:p>
        </w:tc>
      </w:tr>
      <w:tr>
        <w:trPr>
          <w:trHeight w:val="46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天舟书籍注音编辑软件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0438647 </w:t>
            </w:r>
            <w:r>
              <w:rPr>
                <w:rFonts w:ascii="宋体" w:hAnsi="宋体" w:cs="宋体" w:eastAsia="宋体" w:hint="default"/>
                <w:sz w:val="18"/>
                <w:szCs w:val="18"/>
              </w:rPr>
              <w:t>号</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天舟题库系统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0438650 </w:t>
            </w:r>
            <w:r>
              <w:rPr>
                <w:rFonts w:ascii="宋体" w:hAnsi="宋体" w:cs="宋体" w:eastAsia="宋体" w:hint="default"/>
                <w:sz w:val="18"/>
                <w:szCs w:val="18"/>
              </w:rPr>
              <w:t>号</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天舟图书成本核算软件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0438714 </w:t>
            </w:r>
            <w:r>
              <w:rPr>
                <w:rFonts w:ascii="宋体" w:hAnsi="宋体" w:cs="宋体" w:eastAsia="宋体" w:hint="default"/>
                <w:sz w:val="18"/>
                <w:szCs w:val="18"/>
              </w:rPr>
              <w:t>号</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9</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天舟图书效果处理软件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0438717 </w:t>
            </w:r>
            <w:r>
              <w:rPr>
                <w:rFonts w:ascii="宋体" w:hAnsi="宋体" w:cs="宋体" w:eastAsia="宋体" w:hint="default"/>
                <w:sz w:val="18"/>
                <w:szCs w:val="18"/>
              </w:rPr>
              <w:t>号</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电子书加密软件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8" w:right="0"/>
              <w:jc w:val="left"/>
              <w:rPr>
                <w:rFonts w:ascii="Times New Roman" w:hAnsi="Times New Roman" w:cs="Times New Roman" w:eastAsia="Times New Roman" w:hint="default"/>
                <w:sz w:val="18"/>
                <w:szCs w:val="18"/>
              </w:rPr>
            </w:pPr>
            <w:r>
              <w:rPr>
                <w:rFonts w:ascii="Times New Roman"/>
                <w:sz w:val="18"/>
              </w:rPr>
              <w:t>2012.8.3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0438546</w:t>
            </w:r>
            <w:r>
              <w:rPr>
                <w:rFonts w:ascii="宋体" w:hAnsi="宋体" w:cs="宋体" w:eastAsia="宋体" w:hint="default"/>
                <w:sz w:val="18"/>
                <w:szCs w:val="18"/>
              </w:rPr>
              <w:t>号</w:t>
            </w:r>
          </w:p>
        </w:tc>
      </w:tr>
      <w:tr>
        <w:trPr>
          <w:trHeight w:val="1025"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11</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《新课标语文读本系列丛书》</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文字作品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 w:right="110"/>
              <w:jc w:val="both"/>
              <w:rPr>
                <w:rFonts w:ascii="宋体" w:hAnsi="宋体" w:cs="宋体" w:eastAsia="宋体" w:hint="default"/>
                <w:sz w:val="18"/>
                <w:szCs w:val="18"/>
              </w:rPr>
            </w:pPr>
            <w:r>
              <w:rPr>
                <w:rFonts w:ascii="宋体" w:hAnsi="宋体" w:cs="宋体" w:eastAsia="宋体" w:hint="default"/>
                <w:sz w:val="18"/>
                <w:szCs w:val="18"/>
              </w:rPr>
              <w:t>湖南天舟教 育科技研究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2012.9.17</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2012-A-00068741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26"/>
        <w:ind w:left="513" w:right="134"/>
        <w:jc w:val="left"/>
      </w:pPr>
      <w:r>
        <w:rPr>
          <w:rFonts w:ascii="Times New Roman" w:hAnsi="Times New Roman" w:cs="Times New Roman" w:eastAsia="Times New Roman" w:hint="default"/>
        </w:rPr>
        <w:t>2</w:t>
      </w:r>
      <w:r>
        <w:rPr/>
        <w:t>）商标权</w:t>
      </w:r>
    </w:p>
    <w:p>
      <w:pPr>
        <w:spacing w:line="240" w:lineRule="auto" w:before="5"/>
        <w:rPr>
          <w:rFonts w:ascii="宋体" w:hAnsi="宋体" w:cs="宋体" w:eastAsia="宋体" w:hint="default"/>
          <w:sz w:val="7"/>
          <w:szCs w:val="7"/>
        </w:rPr>
      </w:pPr>
    </w:p>
    <w:tbl>
      <w:tblPr>
        <w:tblW w:w="0" w:type="auto"/>
        <w:jc w:val="left"/>
        <w:tblInd w:w="275" w:type="dxa"/>
        <w:tblLayout w:type="fixed"/>
        <w:tblCellMar>
          <w:top w:w="0" w:type="dxa"/>
          <w:left w:w="0" w:type="dxa"/>
          <w:bottom w:w="0" w:type="dxa"/>
          <w:right w:w="0" w:type="dxa"/>
        </w:tblCellMar>
        <w:tblLook w:val="01E0"/>
      </w:tblPr>
      <w:tblGrid>
        <w:gridCol w:w="703"/>
        <w:gridCol w:w="1539"/>
        <w:gridCol w:w="1793"/>
        <w:gridCol w:w="1992"/>
        <w:gridCol w:w="2048"/>
        <w:gridCol w:w="1311"/>
      </w:tblGrid>
      <w:tr>
        <w:trPr>
          <w:trHeight w:val="715"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所有权人</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申请注册日期</w:t>
            </w:r>
            <w:r>
              <w:rPr>
                <w:rFonts w:ascii="宋体" w:hAnsi="宋体" w:cs="宋体" w:eastAsia="宋体" w:hint="default"/>
                <w:sz w:val="18"/>
                <w:szCs w:val="18"/>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b/>
                <w:bCs/>
                <w:sz w:val="18"/>
                <w:szCs w:val="18"/>
              </w:rPr>
              <w:t>受理文号</w:t>
            </w:r>
            <w:r>
              <w:rPr>
                <w:rFonts w:ascii="宋体" w:hAnsi="宋体" w:cs="宋体" w:eastAsia="宋体" w:hint="default"/>
                <w:sz w:val="18"/>
                <w:szCs w:val="18"/>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b/>
                <w:bCs/>
                <w:sz w:val="18"/>
                <w:szCs w:val="18"/>
              </w:rPr>
              <w:t>核定使用商品</w:t>
            </w:r>
            <w:r>
              <w:rPr>
                <w:rFonts w:ascii="宋体" w:hAnsi="宋体" w:cs="宋体" w:eastAsia="宋体" w:hint="default"/>
                <w:sz w:val="18"/>
                <w:szCs w:val="18"/>
              </w:rPr>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（服务项目）</w:t>
            </w:r>
            <w:r>
              <w:rPr>
                <w:rFonts w:ascii="宋体" w:hAnsi="宋体" w:cs="宋体" w:eastAsia="宋体" w:hint="default"/>
                <w:sz w:val="18"/>
                <w:szCs w:val="18"/>
              </w:rPr>
            </w:r>
          </w:p>
        </w:tc>
      </w:tr>
      <w:tr>
        <w:trPr>
          <w:trHeight w:val="106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 w:right="0"/>
              <w:jc w:val="center"/>
              <w:rPr>
                <w:rFonts w:ascii="宋体" w:hAnsi="宋体" w:cs="宋体" w:eastAsia="宋体" w:hint="default"/>
                <w:sz w:val="18"/>
                <w:szCs w:val="18"/>
              </w:rPr>
            </w:pPr>
            <w:r>
              <w:rPr>
                <w:rFonts w:ascii="宋体"/>
                <w:sz w:val="18"/>
              </w:rPr>
              <w:t>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
                <w:szCs w:val="3"/>
              </w:rPr>
            </w:pPr>
          </w:p>
          <w:p>
            <w:pPr>
              <w:pStyle w:val="TableParagraph"/>
              <w:spacing w:line="604" w:lineRule="exact"/>
              <w:ind w:left="104"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959803" cy="3840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959803" cy="384048"/>
                          </a:xfrm>
                          <a:prstGeom prst="rect">
                            <a:avLst/>
                          </a:prstGeom>
                        </pic:spPr>
                      </pic:pic>
                    </a:graphicData>
                  </a:graphic>
                </wp:inline>
              </w:drawing>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 w:right="0"/>
              <w:jc w:val="center"/>
              <w:rPr>
                <w:rFonts w:ascii="宋体" w:hAnsi="宋体" w:cs="宋体" w:eastAsia="宋体" w:hint="default"/>
                <w:sz w:val="18"/>
                <w:szCs w:val="18"/>
              </w:rPr>
            </w:pPr>
            <w:r>
              <w:rPr>
                <w:rFonts w:ascii="宋体"/>
                <w:sz w:val="18"/>
              </w:rPr>
              <w:t>2012-7-9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60" w:right="0"/>
              <w:jc w:val="left"/>
              <w:rPr>
                <w:rFonts w:ascii="宋体" w:hAnsi="宋体" w:cs="宋体" w:eastAsia="宋体" w:hint="default"/>
                <w:sz w:val="18"/>
                <w:szCs w:val="18"/>
              </w:rPr>
            </w:pPr>
            <w:r>
              <w:rPr>
                <w:rFonts w:ascii="宋体"/>
                <w:sz w:val="18"/>
              </w:rPr>
              <w:t>11183502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374"/>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类</w:t>
            </w:r>
          </w:p>
        </w:tc>
      </w:tr>
      <w:tr>
        <w:trPr>
          <w:trHeight w:val="71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
                <w:szCs w:val="3"/>
              </w:rPr>
            </w:pPr>
          </w:p>
          <w:p>
            <w:pPr>
              <w:pStyle w:val="TableParagraph"/>
              <w:spacing w:line="604" w:lineRule="exact"/>
              <w:ind w:left="133"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959803" cy="384048"/>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9" cstate="print"/>
                          <a:stretch>
                            <a:fillRect/>
                          </a:stretch>
                        </pic:blipFill>
                        <pic:spPr>
                          <a:xfrm>
                            <a:off x="0" y="0"/>
                            <a:ext cx="959803" cy="384048"/>
                          </a:xfrm>
                          <a:prstGeom prst="rect">
                            <a:avLst/>
                          </a:prstGeom>
                        </pic:spPr>
                      </pic:pic>
                    </a:graphicData>
                  </a:graphic>
                </wp:inline>
              </w:drawing>
            </w:r>
            <w:r>
              <w:rPr>
                <w:rFonts w:ascii="宋体" w:hAnsi="宋体" w:cs="宋体" w:eastAsia="宋体" w:hint="default"/>
                <w:position w:val="-11"/>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2012-7-9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18"/>
                <w:szCs w:val="18"/>
              </w:rPr>
            </w:pPr>
            <w:r>
              <w:rPr>
                <w:rFonts w:ascii="宋体"/>
                <w:sz w:val="18"/>
              </w:rPr>
              <w:t>11183588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类</w:t>
            </w:r>
          </w:p>
        </w:tc>
      </w:tr>
      <w:tr>
        <w:trPr>
          <w:trHeight w:val="715"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
                <w:szCs w:val="3"/>
              </w:rPr>
            </w:pPr>
          </w:p>
          <w:p>
            <w:pPr>
              <w:pStyle w:val="TableParagraph"/>
              <w:spacing w:line="604" w:lineRule="exact"/>
              <w:ind w:left="133"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959803" cy="384048"/>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9" cstate="print"/>
                          <a:stretch>
                            <a:fillRect/>
                          </a:stretch>
                        </pic:blipFill>
                        <pic:spPr>
                          <a:xfrm>
                            <a:off x="0" y="0"/>
                            <a:ext cx="959803" cy="384048"/>
                          </a:xfrm>
                          <a:prstGeom prst="rect">
                            <a:avLst/>
                          </a:prstGeom>
                        </pic:spPr>
                      </pic:pic>
                    </a:graphicData>
                  </a:graphic>
                </wp:inline>
              </w:drawing>
            </w:r>
            <w:r>
              <w:rPr>
                <w:rFonts w:ascii="宋体" w:hAnsi="宋体" w:cs="宋体" w:eastAsia="宋体" w:hint="default"/>
                <w:position w:val="-11"/>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2012-7-9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9"/>
              <w:jc w:val="right"/>
              <w:rPr>
                <w:rFonts w:ascii="宋体" w:hAnsi="宋体" w:cs="宋体" w:eastAsia="宋体" w:hint="default"/>
                <w:sz w:val="18"/>
                <w:szCs w:val="18"/>
              </w:rPr>
            </w:pPr>
            <w:r>
              <w:rPr>
                <w:rFonts w:ascii="宋体"/>
                <w:spacing w:val="-1"/>
                <w:sz w:val="18"/>
              </w:rPr>
              <w:t>11183557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41</w:t>
            </w:r>
            <w:r>
              <w:rPr>
                <w:rFonts w:ascii="宋体" w:hAnsi="宋体" w:cs="宋体" w:eastAsia="宋体" w:hint="default"/>
                <w:spacing w:val="-43"/>
                <w:sz w:val="18"/>
                <w:szCs w:val="18"/>
              </w:rPr>
              <w:t> </w:t>
            </w:r>
            <w:r>
              <w:rPr>
                <w:rFonts w:ascii="宋体" w:hAnsi="宋体" w:cs="宋体" w:eastAsia="宋体" w:hint="default"/>
                <w:sz w:val="18"/>
                <w:szCs w:val="18"/>
              </w:rPr>
              <w:t>类</w:t>
            </w:r>
          </w:p>
        </w:tc>
      </w:tr>
      <w:tr>
        <w:trPr>
          <w:trHeight w:val="71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514" w:lineRule="exact"/>
              <w:ind w:left="10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963499" cy="326707"/>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20" cstate="print"/>
                          <a:stretch>
                            <a:fillRect/>
                          </a:stretch>
                        </pic:blipFill>
                        <pic:spPr>
                          <a:xfrm>
                            <a:off x="0" y="0"/>
                            <a:ext cx="963499" cy="326707"/>
                          </a:xfrm>
                          <a:prstGeom prst="rect">
                            <a:avLst/>
                          </a:prstGeom>
                        </pic:spPr>
                      </pic:pic>
                    </a:graphicData>
                  </a:graphic>
                </wp:inline>
              </w:drawing>
            </w:r>
            <w:r>
              <w:rPr>
                <w:rFonts w:ascii="宋体" w:hAnsi="宋体" w:cs="宋体" w:eastAsia="宋体" w:hint="default"/>
                <w:position w:val="-9"/>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2012-7-9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9"/>
              <w:jc w:val="right"/>
              <w:rPr>
                <w:rFonts w:ascii="宋体" w:hAnsi="宋体" w:cs="宋体" w:eastAsia="宋体" w:hint="default"/>
                <w:sz w:val="18"/>
                <w:szCs w:val="18"/>
              </w:rPr>
            </w:pPr>
            <w:r>
              <w:rPr>
                <w:rFonts w:ascii="宋体"/>
                <w:spacing w:val="-1"/>
                <w:sz w:val="18"/>
              </w:rPr>
              <w:t>11183636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类</w:t>
            </w:r>
          </w:p>
        </w:tc>
      </w:tr>
      <w:tr>
        <w:trPr>
          <w:trHeight w:val="1027"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6"/>
                <w:szCs w:val="6"/>
              </w:rPr>
            </w:pPr>
          </w:p>
          <w:p>
            <w:pPr>
              <w:pStyle w:val="TableParagraph"/>
              <w:spacing w:line="826" w:lineRule="exact"/>
              <w:ind w:left="291"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52850" cy="525113"/>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21" cstate="print"/>
                          <a:stretch>
                            <a:fillRect/>
                          </a:stretch>
                        </pic:blipFill>
                        <pic:spPr>
                          <a:xfrm>
                            <a:off x="0" y="0"/>
                            <a:ext cx="752850" cy="525113"/>
                          </a:xfrm>
                          <a:prstGeom prst="rect">
                            <a:avLst/>
                          </a:prstGeom>
                        </pic:spPr>
                      </pic:pic>
                    </a:graphicData>
                  </a:graphic>
                </wp:inline>
              </w:drawing>
            </w:r>
            <w:r>
              <w:rPr>
                <w:rFonts w:ascii="宋体" w:hAnsi="宋体" w:cs="宋体" w:eastAsia="宋体" w:hint="default"/>
                <w:position w:val="-16"/>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sz w:val="18"/>
              </w:rPr>
              <w:t>2013-2-1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9"/>
              <w:jc w:val="right"/>
              <w:rPr>
                <w:rFonts w:ascii="宋体" w:hAnsi="宋体" w:cs="宋体" w:eastAsia="宋体" w:hint="default"/>
                <w:sz w:val="18"/>
                <w:szCs w:val="18"/>
              </w:rPr>
            </w:pPr>
            <w:r>
              <w:rPr>
                <w:rFonts w:ascii="宋体"/>
                <w:spacing w:val="-1"/>
                <w:sz w:val="18"/>
              </w:rPr>
              <w:t>12141499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类</w:t>
            </w:r>
          </w:p>
        </w:tc>
      </w:tr>
    </w:tbl>
    <w:p>
      <w:pPr>
        <w:spacing w:after="0" w:line="240" w:lineRule="auto"/>
        <w:jc w:val="right"/>
        <w:rPr>
          <w:rFonts w:ascii="宋体" w:hAnsi="宋体" w:cs="宋体" w:eastAsia="宋体" w:hint="default"/>
          <w:sz w:val="18"/>
          <w:szCs w:val="18"/>
        </w:rPr>
        <w:sectPr>
          <w:pgSz w:w="11910" w:h="16840"/>
          <w:pgMar w:header="918" w:footer="999" w:top="1100" w:bottom="1180" w:left="980" w:right="980"/>
        </w:sectPr>
      </w:pPr>
    </w:p>
    <w:p>
      <w:pPr>
        <w:spacing w:line="240" w:lineRule="auto" w:before="8"/>
        <w:rPr>
          <w:rFonts w:ascii="宋体" w:hAnsi="宋体" w:cs="宋体" w:eastAsia="宋体" w:hint="default"/>
          <w:sz w:val="24"/>
          <w:szCs w:val="24"/>
        </w:rPr>
      </w:pPr>
    </w:p>
    <w:tbl>
      <w:tblPr>
        <w:tblW w:w="0" w:type="auto"/>
        <w:jc w:val="left"/>
        <w:tblInd w:w="275" w:type="dxa"/>
        <w:tblLayout w:type="fixed"/>
        <w:tblCellMar>
          <w:top w:w="0" w:type="dxa"/>
          <w:left w:w="0" w:type="dxa"/>
          <w:bottom w:w="0" w:type="dxa"/>
          <w:right w:w="0" w:type="dxa"/>
        </w:tblCellMar>
        <w:tblLook w:val="01E0"/>
      </w:tblPr>
      <w:tblGrid>
        <w:gridCol w:w="703"/>
        <w:gridCol w:w="1539"/>
        <w:gridCol w:w="1793"/>
        <w:gridCol w:w="1992"/>
        <w:gridCol w:w="2048"/>
        <w:gridCol w:w="1311"/>
      </w:tblGrid>
      <w:tr>
        <w:trPr>
          <w:trHeight w:val="1025"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sz w:val="18"/>
              </w:rPr>
              <w:t>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835" w:lineRule="exact"/>
              <w:ind w:left="291"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59453" cy="530351"/>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3" cstate="print"/>
                          <a:stretch>
                            <a:fillRect/>
                          </a:stretch>
                        </pic:blipFill>
                        <pic:spPr>
                          <a:xfrm>
                            <a:off x="0" y="0"/>
                            <a:ext cx="759453" cy="530351"/>
                          </a:xfrm>
                          <a:prstGeom prst="rect">
                            <a:avLst/>
                          </a:prstGeom>
                        </pic:spPr>
                      </pic:pic>
                    </a:graphicData>
                  </a:graphic>
                </wp:inline>
              </w:drawing>
            </w:r>
            <w:r>
              <w:rPr>
                <w:rFonts w:ascii="宋体" w:hAnsi="宋体" w:cs="宋体" w:eastAsia="宋体" w:hint="default"/>
                <w:position w:val="-16"/>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 w:right="0"/>
              <w:jc w:val="center"/>
              <w:rPr>
                <w:rFonts w:ascii="宋体" w:hAnsi="宋体" w:cs="宋体" w:eastAsia="宋体" w:hint="default"/>
                <w:sz w:val="18"/>
                <w:szCs w:val="18"/>
              </w:rPr>
            </w:pPr>
            <w:r>
              <w:rPr>
                <w:rFonts w:ascii="宋体"/>
                <w:sz w:val="18"/>
              </w:rPr>
              <w:t>2013-2-1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89"/>
              <w:jc w:val="right"/>
              <w:rPr>
                <w:rFonts w:ascii="宋体" w:hAnsi="宋体" w:cs="宋体" w:eastAsia="宋体" w:hint="default"/>
                <w:sz w:val="18"/>
                <w:szCs w:val="18"/>
              </w:rPr>
            </w:pPr>
            <w:r>
              <w:rPr>
                <w:rFonts w:ascii="宋体"/>
                <w:spacing w:val="-1"/>
                <w:sz w:val="18"/>
              </w:rPr>
              <w:t>12141538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41</w:t>
            </w:r>
            <w:r>
              <w:rPr>
                <w:rFonts w:ascii="宋体" w:hAnsi="宋体" w:cs="宋体" w:eastAsia="宋体" w:hint="default"/>
                <w:spacing w:val="-43"/>
                <w:sz w:val="18"/>
                <w:szCs w:val="18"/>
              </w:rPr>
              <w:t> </w:t>
            </w:r>
            <w:r>
              <w:rPr>
                <w:rFonts w:ascii="宋体" w:hAnsi="宋体" w:cs="宋体" w:eastAsia="宋体" w:hint="default"/>
                <w:sz w:val="18"/>
                <w:szCs w:val="18"/>
              </w:rPr>
              <w:t>类</w:t>
            </w:r>
          </w:p>
        </w:tc>
      </w:tr>
      <w:tr>
        <w:trPr>
          <w:trHeight w:val="1027"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sz w:val="18"/>
              </w:rPr>
              <w:t>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6"/>
                <w:szCs w:val="6"/>
              </w:rPr>
            </w:pPr>
          </w:p>
          <w:p>
            <w:pPr>
              <w:pStyle w:val="TableParagraph"/>
              <w:spacing w:line="826" w:lineRule="exact"/>
              <w:ind w:left="291"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52850" cy="525113"/>
                  <wp:effectExtent l="0" t="0" r="0" b="0"/>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21" cstate="print"/>
                          <a:stretch>
                            <a:fillRect/>
                          </a:stretch>
                        </pic:blipFill>
                        <pic:spPr>
                          <a:xfrm>
                            <a:off x="0" y="0"/>
                            <a:ext cx="752850" cy="525113"/>
                          </a:xfrm>
                          <a:prstGeom prst="rect">
                            <a:avLst/>
                          </a:prstGeom>
                        </pic:spPr>
                      </pic:pic>
                    </a:graphicData>
                  </a:graphic>
                </wp:inline>
              </w:drawing>
            </w:r>
            <w:r>
              <w:rPr>
                <w:rFonts w:ascii="宋体" w:hAnsi="宋体" w:cs="宋体" w:eastAsia="宋体" w:hint="default"/>
                <w:position w:val="-16"/>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sz w:val="18"/>
              </w:rPr>
              <w:t>2013-2-1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9"/>
              <w:jc w:val="right"/>
              <w:rPr>
                <w:rFonts w:ascii="宋体" w:hAnsi="宋体" w:cs="宋体" w:eastAsia="宋体" w:hint="default"/>
                <w:sz w:val="18"/>
                <w:szCs w:val="18"/>
              </w:rPr>
            </w:pPr>
            <w:r>
              <w:rPr>
                <w:rFonts w:ascii="宋体"/>
                <w:spacing w:val="-1"/>
                <w:sz w:val="18"/>
              </w:rPr>
              <w:t>12141582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35</w:t>
            </w:r>
            <w:r>
              <w:rPr>
                <w:rFonts w:ascii="宋体" w:hAnsi="宋体" w:cs="宋体" w:eastAsia="宋体" w:hint="default"/>
                <w:spacing w:val="-43"/>
                <w:sz w:val="18"/>
                <w:szCs w:val="18"/>
              </w:rPr>
              <w:t> </w:t>
            </w:r>
            <w:r>
              <w:rPr>
                <w:rFonts w:ascii="宋体" w:hAnsi="宋体" w:cs="宋体" w:eastAsia="宋体" w:hint="default"/>
                <w:sz w:val="18"/>
                <w:szCs w:val="18"/>
              </w:rPr>
              <w:t>类</w:t>
            </w:r>
          </w:p>
        </w:tc>
      </w:tr>
      <w:tr>
        <w:trPr>
          <w:trHeight w:val="1025"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sz w:val="18"/>
              </w:rPr>
              <w:t>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6"/>
                <w:szCs w:val="6"/>
              </w:rPr>
            </w:pPr>
          </w:p>
          <w:p>
            <w:pPr>
              <w:pStyle w:val="TableParagraph"/>
              <w:spacing w:line="826" w:lineRule="exact"/>
              <w:ind w:left="291"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51952" cy="525113"/>
                  <wp:effectExtent l="0" t="0" r="0" b="0"/>
                  <wp:docPr id="17" name="image4.jpeg" descr=""/>
                  <wp:cNvGraphicFramePr>
                    <a:graphicFrameLocks noChangeAspect="1"/>
                  </wp:cNvGraphicFramePr>
                  <a:graphic>
                    <a:graphicData uri="http://schemas.openxmlformats.org/drawingml/2006/picture">
                      <pic:pic>
                        <pic:nvPicPr>
                          <pic:cNvPr id="18" name="image4.jpeg"/>
                          <pic:cNvPicPr/>
                        </pic:nvPicPr>
                        <pic:blipFill>
                          <a:blip r:embed="rId21" cstate="print"/>
                          <a:stretch>
                            <a:fillRect/>
                          </a:stretch>
                        </pic:blipFill>
                        <pic:spPr>
                          <a:xfrm>
                            <a:off x="0" y="0"/>
                            <a:ext cx="751952" cy="525113"/>
                          </a:xfrm>
                          <a:prstGeom prst="rect">
                            <a:avLst/>
                          </a:prstGeom>
                        </pic:spPr>
                      </pic:pic>
                    </a:graphicData>
                  </a:graphic>
                </wp:inline>
              </w:drawing>
            </w:r>
            <w:r>
              <w:rPr>
                <w:rFonts w:ascii="宋体" w:hAnsi="宋体" w:cs="宋体" w:eastAsia="宋体" w:hint="default"/>
                <w:position w:val="-16"/>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sz w:val="18"/>
              </w:rPr>
              <w:t>2013-2-1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9"/>
              <w:jc w:val="right"/>
              <w:rPr>
                <w:rFonts w:ascii="宋体" w:hAnsi="宋体" w:cs="宋体" w:eastAsia="宋体" w:hint="default"/>
                <w:sz w:val="18"/>
                <w:szCs w:val="18"/>
              </w:rPr>
            </w:pPr>
            <w:r>
              <w:rPr>
                <w:rFonts w:ascii="宋体"/>
                <w:spacing w:val="-1"/>
                <w:sz w:val="18"/>
              </w:rPr>
              <w:t>12141650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74"/>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类</w:t>
            </w:r>
          </w:p>
        </w:tc>
      </w:tr>
      <w:tr>
        <w:trPr>
          <w:trHeight w:val="10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sz w:val="18"/>
              </w:rPr>
              <w:t>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6"/>
                <w:szCs w:val="6"/>
              </w:rPr>
            </w:pPr>
          </w:p>
          <w:p>
            <w:pPr>
              <w:pStyle w:val="TableParagraph"/>
              <w:spacing w:line="826" w:lineRule="exact"/>
              <w:ind w:left="291"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52850" cy="525113"/>
                  <wp:effectExtent l="0" t="0" r="0" b="0"/>
                  <wp:docPr id="19" name="image4.jpeg" descr=""/>
                  <wp:cNvGraphicFramePr>
                    <a:graphicFrameLocks noChangeAspect="1"/>
                  </wp:cNvGraphicFramePr>
                  <a:graphic>
                    <a:graphicData uri="http://schemas.openxmlformats.org/drawingml/2006/picture">
                      <pic:pic>
                        <pic:nvPicPr>
                          <pic:cNvPr id="20" name="image4.jpeg"/>
                          <pic:cNvPicPr/>
                        </pic:nvPicPr>
                        <pic:blipFill>
                          <a:blip r:embed="rId21" cstate="print"/>
                          <a:stretch>
                            <a:fillRect/>
                          </a:stretch>
                        </pic:blipFill>
                        <pic:spPr>
                          <a:xfrm>
                            <a:off x="0" y="0"/>
                            <a:ext cx="752850" cy="525113"/>
                          </a:xfrm>
                          <a:prstGeom prst="rect">
                            <a:avLst/>
                          </a:prstGeom>
                        </pic:spPr>
                      </pic:pic>
                    </a:graphicData>
                  </a:graphic>
                </wp:inline>
              </w:drawing>
            </w:r>
            <w:r>
              <w:rPr>
                <w:rFonts w:ascii="宋体" w:hAnsi="宋体" w:cs="宋体" w:eastAsia="宋体" w:hint="default"/>
                <w:position w:val="-16"/>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sz w:val="18"/>
              </w:rPr>
              <w:t>2013-2-1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9"/>
              <w:jc w:val="right"/>
              <w:rPr>
                <w:rFonts w:ascii="宋体" w:hAnsi="宋体" w:cs="宋体" w:eastAsia="宋体" w:hint="default"/>
                <w:sz w:val="18"/>
                <w:szCs w:val="18"/>
              </w:rPr>
            </w:pPr>
            <w:r>
              <w:rPr>
                <w:rFonts w:ascii="宋体"/>
                <w:spacing w:val="-1"/>
                <w:sz w:val="18"/>
              </w:rPr>
              <w:t>12141705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38</w:t>
            </w:r>
            <w:r>
              <w:rPr>
                <w:rFonts w:ascii="宋体" w:hAnsi="宋体" w:cs="宋体" w:eastAsia="宋体" w:hint="default"/>
                <w:spacing w:val="-43"/>
                <w:sz w:val="18"/>
                <w:szCs w:val="18"/>
              </w:rPr>
              <w:t> </w:t>
            </w:r>
            <w:r>
              <w:rPr>
                <w:rFonts w:ascii="宋体" w:hAnsi="宋体" w:cs="宋体" w:eastAsia="宋体" w:hint="default"/>
                <w:sz w:val="18"/>
                <w:szCs w:val="18"/>
              </w:rPr>
              <w:t>类</w:t>
            </w:r>
          </w:p>
        </w:tc>
      </w:tr>
      <w:tr>
        <w:trPr>
          <w:trHeight w:val="133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sz w:val="18"/>
              </w:rPr>
              <w:t>10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1072" w:lineRule="exact"/>
              <w:ind w:left="123" w:right="0"/>
              <w:jc w:val="left"/>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977082" cy="681227"/>
                  <wp:effectExtent l="0" t="0" r="0" b="0"/>
                  <wp:docPr id="21" name="image4.jpeg" descr=""/>
                  <wp:cNvGraphicFramePr>
                    <a:graphicFrameLocks noChangeAspect="1"/>
                  </wp:cNvGraphicFramePr>
                  <a:graphic>
                    <a:graphicData uri="http://schemas.openxmlformats.org/drawingml/2006/picture">
                      <pic:pic>
                        <pic:nvPicPr>
                          <pic:cNvPr id="22" name="image4.jpeg"/>
                          <pic:cNvPicPr/>
                        </pic:nvPicPr>
                        <pic:blipFill>
                          <a:blip r:embed="rId21" cstate="print"/>
                          <a:stretch>
                            <a:fillRect/>
                          </a:stretch>
                        </pic:blipFill>
                        <pic:spPr>
                          <a:xfrm>
                            <a:off x="0" y="0"/>
                            <a:ext cx="977082" cy="681227"/>
                          </a:xfrm>
                          <a:prstGeom prst="rect">
                            <a:avLst/>
                          </a:prstGeom>
                        </pic:spPr>
                      </pic:pic>
                    </a:graphicData>
                  </a:graphic>
                </wp:inline>
              </w:drawing>
            </w:r>
            <w:r>
              <w:rPr>
                <w:rFonts w:ascii="宋体" w:hAnsi="宋体" w:cs="宋体" w:eastAsia="宋体" w:hint="default"/>
                <w:position w:val="-20"/>
                <w:sz w:val="20"/>
                <w:szCs w:val="20"/>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sz w:val="18"/>
              </w:rPr>
              <w:t>2013-2-1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9"/>
              <w:jc w:val="right"/>
              <w:rPr>
                <w:rFonts w:ascii="宋体" w:hAnsi="宋体" w:cs="宋体" w:eastAsia="宋体" w:hint="default"/>
                <w:sz w:val="18"/>
                <w:szCs w:val="18"/>
              </w:rPr>
            </w:pPr>
            <w:r>
              <w:rPr>
                <w:rFonts w:ascii="宋体"/>
                <w:spacing w:val="-1"/>
                <w:sz w:val="18"/>
              </w:rPr>
              <w:t>12141758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42</w:t>
            </w:r>
            <w:r>
              <w:rPr>
                <w:rFonts w:ascii="宋体" w:hAnsi="宋体" w:cs="宋体" w:eastAsia="宋体" w:hint="default"/>
                <w:spacing w:val="-43"/>
                <w:sz w:val="18"/>
                <w:szCs w:val="18"/>
              </w:rPr>
              <w:t> </w:t>
            </w:r>
            <w:r>
              <w:rPr>
                <w:rFonts w:ascii="宋体" w:hAnsi="宋体" w:cs="宋体" w:eastAsia="宋体" w:hint="default"/>
                <w:sz w:val="18"/>
                <w:szCs w:val="18"/>
              </w:rPr>
              <w:t>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2"/>
      </w:tblGrid>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37,946.27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7,441.70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18,847.73</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6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34" w:firstLine="360"/>
              <w:jc w:val="left"/>
              <w:rPr>
                <w:rFonts w:ascii="宋体" w:hAnsi="宋体" w:cs="宋体" w:eastAsia="宋体" w:hint="default"/>
                <w:sz w:val="18"/>
                <w:szCs w:val="18"/>
              </w:rPr>
            </w:pPr>
            <w:r>
              <w:rPr>
                <w:rFonts w:ascii="宋体" w:hAnsi="宋体" w:cs="宋体" w:eastAsia="宋体" w:hint="default"/>
                <w:sz w:val="18"/>
                <w:szCs w:val="18"/>
              </w:rPr>
              <w:t>本公司以前年度累计使用募集资金</w:t>
            </w:r>
            <w:r>
              <w:rPr>
                <w:rFonts w:ascii="Times New Roman" w:hAnsi="Times New Roman" w:cs="Times New Roman" w:eastAsia="Times New Roman" w:hint="default"/>
                <w:sz w:val="18"/>
                <w:szCs w:val="18"/>
              </w:rPr>
              <w:t>114,060,313.16</w:t>
            </w:r>
            <w:r>
              <w:rPr>
                <w:rFonts w:ascii="宋体" w:hAnsi="宋体" w:cs="宋体" w:eastAsia="宋体" w:hint="default"/>
                <w:sz w:val="18"/>
                <w:szCs w:val="18"/>
              </w:rPr>
              <w:t>元。其中：置换预先已投入内容策划与图书发行项目的自筹资金 </w:t>
            </w:r>
            <w:r>
              <w:rPr>
                <w:rFonts w:ascii="Times New Roman" w:hAnsi="Times New Roman" w:cs="Times New Roman" w:eastAsia="Times New Roman" w:hint="default"/>
                <w:sz w:val="18"/>
                <w:szCs w:val="18"/>
              </w:rPr>
              <w:t>20,029,336.73</w:t>
            </w:r>
            <w:r>
              <w:rPr>
                <w:rFonts w:ascii="宋体" w:hAnsi="宋体" w:cs="宋体" w:eastAsia="宋体" w:hint="default"/>
                <w:sz w:val="18"/>
                <w:szCs w:val="18"/>
              </w:rPr>
              <w:t>元；内容策划与图书发行项目使用</w:t>
            </w:r>
            <w:r>
              <w:rPr>
                <w:rFonts w:ascii="Times New Roman" w:hAnsi="Times New Roman" w:cs="Times New Roman" w:eastAsia="Times New Roman" w:hint="default"/>
                <w:sz w:val="18"/>
                <w:szCs w:val="18"/>
              </w:rPr>
              <w:t>31,735,603.06</w:t>
            </w:r>
            <w:r>
              <w:rPr>
                <w:rFonts w:ascii="宋体" w:hAnsi="宋体" w:cs="宋体" w:eastAsia="宋体" w:hint="default"/>
                <w:sz w:val="18"/>
                <w:szCs w:val="18"/>
              </w:rPr>
              <w:t>元；营销网络建设项目使用</w:t>
            </w:r>
            <w:r>
              <w:rPr>
                <w:rFonts w:ascii="Times New Roman" w:hAnsi="Times New Roman" w:cs="Times New Roman" w:eastAsia="Times New Roman" w:hint="default"/>
                <w:sz w:val="18"/>
                <w:szCs w:val="18"/>
              </w:rPr>
              <w:t>2,072,761.55</w:t>
            </w:r>
            <w:r>
              <w:rPr>
                <w:rFonts w:ascii="宋体" w:hAnsi="宋体" w:cs="宋体" w:eastAsia="宋体" w:hint="default"/>
                <w:sz w:val="18"/>
                <w:szCs w:val="18"/>
              </w:rPr>
              <w:t>元；管理信息与出版 创意平台软件款项目使用</w:t>
            </w:r>
            <w:r>
              <w:rPr>
                <w:rFonts w:ascii="Times New Roman" w:hAnsi="Times New Roman" w:cs="Times New Roman" w:eastAsia="Times New Roman" w:hint="default"/>
                <w:sz w:val="18"/>
                <w:szCs w:val="18"/>
              </w:rPr>
              <w:t>740,620.00</w:t>
            </w:r>
            <w:r>
              <w:rPr>
                <w:rFonts w:ascii="宋体" w:hAnsi="宋体" w:cs="宋体" w:eastAsia="宋体" w:hint="default"/>
                <w:sz w:val="18"/>
                <w:szCs w:val="18"/>
              </w:rPr>
              <w:t>元；投资设立浙江天舟图书有限责任公司使用</w:t>
            </w:r>
            <w:r>
              <w:rPr>
                <w:rFonts w:ascii="Times New Roman" w:hAnsi="Times New Roman" w:cs="Times New Roman" w:eastAsia="Times New Roman" w:hint="default"/>
                <w:sz w:val="18"/>
                <w:szCs w:val="18"/>
              </w:rPr>
              <w:t>3,500,000.00</w:t>
            </w:r>
            <w:r>
              <w:rPr>
                <w:rFonts w:ascii="宋体" w:hAnsi="宋体" w:cs="宋体" w:eastAsia="宋体" w:hint="default"/>
                <w:sz w:val="18"/>
                <w:szCs w:val="18"/>
              </w:rPr>
              <w:t>元；投资设立北京北舟文化 传媒有限责任公司使用</w:t>
            </w:r>
            <w:r>
              <w:rPr>
                <w:rFonts w:ascii="Times New Roman" w:hAnsi="Times New Roman" w:cs="Times New Roman" w:eastAsia="Times New Roman" w:hint="default"/>
                <w:sz w:val="18"/>
                <w:szCs w:val="18"/>
              </w:rPr>
              <w:t>29,400,000.00</w:t>
            </w:r>
            <w:r>
              <w:rPr>
                <w:rFonts w:ascii="宋体" w:hAnsi="宋体" w:cs="宋体" w:eastAsia="宋体" w:hint="default"/>
                <w:sz w:val="18"/>
                <w:szCs w:val="18"/>
              </w:rPr>
              <w:t>元；设立北京事业部使用</w:t>
            </w:r>
            <w:r>
              <w:rPr>
                <w:rFonts w:ascii="Times New Roman" w:hAnsi="Times New Roman" w:cs="Times New Roman" w:eastAsia="Times New Roman" w:hint="default"/>
                <w:sz w:val="18"/>
                <w:szCs w:val="18"/>
              </w:rPr>
              <w:t>26,581,991.82</w:t>
            </w:r>
            <w:r>
              <w:rPr>
                <w:rFonts w:ascii="宋体" w:hAnsi="宋体" w:cs="宋体" w:eastAsia="宋体" w:hint="default"/>
                <w:sz w:val="18"/>
                <w:szCs w:val="18"/>
              </w:rPr>
              <w:t>元。</w:t>
            </w:r>
          </w:p>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募集资金专用账户以前年度共取得利息收入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7,925,021.05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元，支付银行手续费及账户管理费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4,234.10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273,323,153.79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年度，本公司募集资金使用情况如下：</w:t>
            </w:r>
          </w:p>
          <w:p>
            <w:pPr>
              <w:pStyle w:val="TableParagraph"/>
              <w:spacing w:line="240" w:lineRule="auto" w:before="63"/>
              <w:ind w:left="388"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2012 </w:t>
            </w:r>
            <w:r>
              <w:rPr>
                <w:rFonts w:ascii="宋体" w:hAnsi="宋体" w:cs="宋体" w:eastAsia="宋体" w:hint="default"/>
                <w:spacing w:val="-4"/>
                <w:sz w:val="18"/>
                <w:szCs w:val="18"/>
              </w:rPr>
              <w:t>年度，本公司累计使用募集资金 </w:t>
            </w:r>
            <w:r>
              <w:rPr>
                <w:rFonts w:ascii="Times New Roman" w:hAnsi="Times New Roman" w:cs="Times New Roman" w:eastAsia="Times New Roman" w:hint="default"/>
                <w:sz w:val="18"/>
                <w:szCs w:val="18"/>
              </w:rPr>
              <w:t>74,416,932.20 </w:t>
            </w:r>
            <w:r>
              <w:rPr>
                <w:rFonts w:ascii="宋体" w:hAnsi="宋体" w:cs="宋体" w:eastAsia="宋体" w:hint="default"/>
                <w:spacing w:val="-6"/>
                <w:sz w:val="18"/>
                <w:szCs w:val="18"/>
              </w:rPr>
              <w:t>元。其中：本年度内容策划与图书发行项目使用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17,961,874.03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元；营销网络建设项目使用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33,875.00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元；管理信息与出版创意平台软件款项目使用</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540,121.00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元；投资设立北京东方天</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舟教育科技有限责任公司使用 </w:t>
            </w:r>
            <w:r>
              <w:rPr>
                <w:rFonts w:ascii="Times New Roman" w:hAnsi="Times New Roman" w:cs="Times New Roman" w:eastAsia="Times New Roman" w:hint="default"/>
                <w:sz w:val="18"/>
                <w:szCs w:val="18"/>
              </w:rPr>
              <w:t>15,000,000.00 </w:t>
            </w:r>
            <w:r>
              <w:rPr>
                <w:rFonts w:ascii="宋体" w:hAnsi="宋体" w:cs="宋体" w:eastAsia="宋体" w:hint="default"/>
                <w:sz w:val="18"/>
                <w:szCs w:val="18"/>
              </w:rPr>
              <w:t>元；永久性补充流动资金 </w:t>
            </w:r>
            <w:r>
              <w:rPr>
                <w:rFonts w:ascii="Times New Roman" w:hAnsi="Times New Roman" w:cs="Times New Roman" w:eastAsia="Times New Roman" w:hint="default"/>
                <w:sz w:val="18"/>
                <w:szCs w:val="18"/>
              </w:rPr>
              <w:t>40,000,000.00 </w:t>
            </w:r>
            <w:r>
              <w:rPr>
                <w:rFonts w:ascii="宋体" w:hAnsi="宋体" w:cs="宋体" w:eastAsia="宋体" w:hint="default"/>
                <w:sz w:val="18"/>
                <w:szCs w:val="18"/>
              </w:rPr>
              <w:t>元；设立北京事业部使用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881,062.17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76"/>
              <w:ind w:left="38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年度，募集资金专户取得利息收入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6,533,625.60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元，支付银行手续费及账户管理费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205,434,438.84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headerReference w:type="default" r:id="rId22"/>
          <w:pgSz w:w="11910" w:h="16840"/>
          <w:pgMar w:header="918" w:footer="999" w:top="110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1"/>
        <w:gridCol w:w="780"/>
        <w:gridCol w:w="780"/>
        <w:gridCol w:w="780"/>
      </w:tblGrid>
      <w:tr>
        <w:trPr>
          <w:trHeight w:val="1339"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6"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内容策划与图书发</w:t>
            </w:r>
            <w:r>
              <w:rPr>
                <w:rFonts w:ascii="宋体" w:hAnsi="宋体" w:cs="宋体" w:eastAsia="宋体" w:hint="default"/>
                <w:spacing w:val="-74"/>
                <w:sz w:val="18"/>
                <w:szCs w:val="18"/>
              </w:rPr>
              <w:t> </w:t>
            </w:r>
            <w:r>
              <w:rPr>
                <w:rFonts w:ascii="宋体" w:hAnsi="宋体" w:cs="宋体" w:eastAsia="宋体" w:hint="default"/>
                <w:sz w:val="18"/>
                <w:szCs w:val="18"/>
              </w:rPr>
              <w:t>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7,604.24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7,604.24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1,796.19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6,972.68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91.69%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388.63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营销网络建设项目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3,320.40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3,320.40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8"/>
              <w:jc w:val="right"/>
              <w:rPr>
                <w:rFonts w:ascii="Times New Roman" w:hAnsi="Times New Roman" w:cs="Times New Roman" w:eastAsia="Times New Roman" w:hint="default"/>
                <w:sz w:val="18"/>
                <w:szCs w:val="18"/>
              </w:rPr>
            </w:pPr>
            <w:r>
              <w:rPr>
                <w:rFonts w:ascii="Times New Roman"/>
                <w:sz w:val="18"/>
              </w:rPr>
              <w:t>6.34%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管理信息和出版创</w:t>
            </w:r>
            <w:r>
              <w:rPr>
                <w:rFonts w:ascii="宋体" w:hAnsi="宋体" w:cs="宋体" w:eastAsia="宋体" w:hint="default"/>
                <w:spacing w:val="-74"/>
                <w:sz w:val="18"/>
                <w:szCs w:val="18"/>
              </w:rPr>
              <w:t> </w:t>
            </w:r>
            <w:r>
              <w:rPr>
                <w:rFonts w:ascii="宋体" w:hAnsi="宋体" w:cs="宋体" w:eastAsia="宋体" w:hint="default"/>
                <w:sz w:val="18"/>
                <w:szCs w:val="18"/>
              </w:rPr>
              <w:t>意平台建设项目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3,200.58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3,200.58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4.00%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1,853.59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7,311.42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388.63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投资设立浙江天舟</w:t>
            </w:r>
            <w:r>
              <w:rPr>
                <w:rFonts w:ascii="宋体" w:hAnsi="宋体" w:cs="宋体" w:eastAsia="宋体" w:hint="default"/>
                <w:spacing w:val="-74"/>
                <w:sz w:val="18"/>
                <w:szCs w:val="18"/>
              </w:rPr>
              <w:t> </w:t>
            </w:r>
            <w:r>
              <w:rPr>
                <w:rFonts w:ascii="宋体" w:hAnsi="宋体" w:cs="宋体" w:eastAsia="宋体" w:hint="default"/>
                <w:sz w:val="18"/>
                <w:szCs w:val="18"/>
              </w:rPr>
              <w:t>图书有限责任公司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-24.33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设立北京事业部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88.11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2,746.31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91.54%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投资设立北京北舟</w:t>
            </w:r>
            <w:r>
              <w:rPr>
                <w:rFonts w:ascii="宋体" w:hAnsi="宋体" w:cs="宋体" w:eastAsia="宋体" w:hint="default"/>
                <w:spacing w:val="-74"/>
                <w:sz w:val="18"/>
                <w:szCs w:val="18"/>
              </w:rPr>
              <w:t> </w:t>
            </w:r>
            <w:r>
              <w:rPr>
                <w:rFonts w:ascii="宋体" w:hAnsi="宋体" w:cs="宋体" w:eastAsia="宋体" w:hint="default"/>
                <w:spacing w:val="12"/>
                <w:sz w:val="18"/>
                <w:szCs w:val="18"/>
              </w:rPr>
              <w:t>文化传媒有限责任公</w:t>
            </w:r>
            <w:r>
              <w:rPr>
                <w:rFonts w:ascii="宋体" w:hAnsi="宋体" w:cs="宋体" w:eastAsia="宋体" w:hint="default"/>
                <w:spacing w:val="12"/>
                <w:sz w:val="18"/>
                <w:szCs w:val="18"/>
              </w:rPr>
              <w:t> </w:t>
            </w:r>
            <w:r>
              <w:rPr>
                <w:rFonts w:ascii="宋体" w:hAnsi="宋体" w:cs="宋体" w:eastAsia="宋体" w:hint="default"/>
                <w:sz w:val="18"/>
                <w:szCs w:val="18"/>
              </w:rPr>
              <w:t>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2,940.00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教育内容资源研发</w:t>
            </w:r>
            <w:r>
              <w:rPr>
                <w:rFonts w:ascii="宋体" w:hAnsi="宋体" w:cs="宋体" w:eastAsia="宋体" w:hint="default"/>
                <w:spacing w:val="-74"/>
                <w:sz w:val="18"/>
                <w:szCs w:val="18"/>
              </w:rPr>
              <w:t> </w:t>
            </w:r>
            <w:r>
              <w:rPr>
                <w:rFonts w:ascii="宋体" w:hAnsi="宋体" w:cs="宋体" w:eastAsia="宋体" w:hint="default"/>
                <w:sz w:val="18"/>
                <w:szCs w:val="18"/>
              </w:rPr>
              <w:t>与服务平台建设项目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2,884.00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2,884.00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投资设立北京东方</w:t>
            </w:r>
            <w:r>
              <w:rPr>
                <w:rFonts w:ascii="宋体" w:hAnsi="宋体" w:cs="宋体" w:eastAsia="宋体" w:hint="default"/>
                <w:spacing w:val="-74"/>
                <w:sz w:val="18"/>
                <w:szCs w:val="18"/>
              </w:rPr>
              <w:t> </w:t>
            </w:r>
            <w:r>
              <w:rPr>
                <w:rFonts w:ascii="宋体" w:hAnsi="宋体" w:cs="宋体" w:eastAsia="宋体" w:hint="default"/>
                <w:spacing w:val="12"/>
                <w:sz w:val="18"/>
                <w:szCs w:val="18"/>
              </w:rPr>
              <w:t>天舟教育科技有限责</w:t>
            </w:r>
            <w:r>
              <w:rPr>
                <w:rFonts w:ascii="宋体" w:hAnsi="宋体" w:cs="宋体" w:eastAsia="宋体" w:hint="default"/>
                <w:spacing w:val="12"/>
                <w:sz w:val="18"/>
                <w:szCs w:val="18"/>
              </w:rPr>
              <w:t> </w:t>
            </w:r>
            <w:r>
              <w:rPr>
                <w:rFonts w:ascii="宋体" w:hAnsi="宋体" w:cs="宋体" w:eastAsia="宋体" w:hint="default"/>
                <w:sz w:val="18"/>
                <w:szCs w:val="18"/>
              </w:rPr>
              <w:t>任公司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-531.06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4,000.00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4,000.00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4,000.00</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11,536.31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28,799.22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28,799.22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7,441.70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10" w:space="0" w:color="D2D2D2"/>
              <w:right w:val="single" w:sz="4" w:space="0" w:color="000000"/>
            </w:tcBorders>
          </w:tcPr>
          <w:p>
            <w:pPr>
              <w:pStyle w:val="TableParagraph"/>
              <w:spacing w:line="314" w:lineRule="auto" w:before="49"/>
              <w:ind w:left="16" w:right="23"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营销网络建设项目：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年以来，国家教育部、新闻出版总署对中小学教材的审定、教辅材 料的出版、发行等方面的政策规定进行了较大幅度的调整，加强了对教辅图书市场的规范和整顿， 陆续出台了一批新的规范性文件。为了确保公司营销推广模式能够符合最新的政策法规，避免盲目 投入，公司放缓了全国营销分支机构的建设，公司将在有关政策趋势清晰后，加快推进全国营销网 络项目建设。经公司第二届董事会第十八次会议审议，决定将该项目预计可达到使用状态的时间， 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018" w:hRule="exact"/>
        </w:trPr>
        <w:tc>
          <w:tcPr>
            <w:tcW w:w="1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vMerge/>
            <w:tcBorders>
              <w:left w:val="single" w:sz="10" w:space="0" w:color="D2D2D2"/>
              <w:right w:val="single" w:sz="4" w:space="0" w:color="000000"/>
            </w:tcBorders>
          </w:tcPr>
          <w:p>
            <w:pPr/>
          </w:p>
        </w:tc>
      </w:tr>
      <w:tr>
        <w:trPr>
          <w:trHeight w:val="473" w:hRule="exact"/>
        </w:trPr>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0"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918" w:footer="999" w:top="1100" w:bottom="1180" w:left="980" w:right="1020"/>
        </w:sectPr>
      </w:pPr>
    </w:p>
    <w:p>
      <w:pPr>
        <w:spacing w:line="240" w:lineRule="auto" w:before="0"/>
        <w:rPr>
          <w:rFonts w:ascii="宋体" w:hAnsi="宋体" w:cs="宋体" w:eastAsia="宋体" w:hint="default"/>
          <w:sz w:val="20"/>
          <w:szCs w:val="20"/>
        </w:rPr>
      </w:pPr>
      <w:r>
        <w:rPr/>
        <w:pict>
          <v:shape style="position:absolute;margin-left:56.484001pt;margin-top:71.999985pt;width:479.2pt;height:684.1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227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18" w:firstLine="36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管理信息和出版创意平台建设项目：由于公司营销网络建设未能按期推进，内部管理运营体 系尚不完整，公司管理信息系统建设难以按期投入，创意资源平台项目的建设尚处于具体实施方案 的设计和论证的过程中。目前公司已加快管理信息和出版创意平台的基础建设工作，争取早日建成 </w:t>
                        </w:r>
                        <w:r>
                          <w:rPr>
                            <w:rFonts w:ascii="宋体" w:hAnsi="宋体" w:cs="宋体" w:eastAsia="宋体" w:hint="default"/>
                            <w:spacing w:val="-6"/>
                            <w:sz w:val="18"/>
                            <w:szCs w:val="18"/>
                          </w:rPr>
                          <w:t>该项目。经公司第二届董事会第十八次会议审议，决定将该项目预计可达到使用状态的时间，由</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2012</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00" w:lineRule="auto" w:before="103"/>
                          <w:ind w:left="24" w:right="68"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教育内容资源研发与服务平台项目：该项目目前仍处于筹备阶段，合资公司尚未组建，但幼 教读物、英语测评等项目正在全力推进。</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506"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23,821.048 </w:t>
                        </w:r>
                        <w:r>
                          <w:rPr>
                            <w:rFonts w:ascii="宋体" w:hAnsi="宋体" w:cs="宋体" w:eastAsia="宋体" w:hint="default"/>
                            <w:sz w:val="18"/>
                            <w:szCs w:val="18"/>
                          </w:rPr>
                          <w:t>万元，其使用情况如下：</w:t>
                        </w:r>
                      </w:p>
                      <w:p>
                        <w:pPr>
                          <w:pStyle w:val="TableParagraph"/>
                          <w:spacing w:line="240" w:lineRule="auto" w:before="101"/>
                          <w:ind w:left="38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日，公司第二届董事会第二次会议审议通过了《关于审议使用部分与主营业务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相关的营运资金投资设立浙江天舟图书有限公司的议案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意公司以人民币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w:t>
                        </w:r>
                        <w:r>
                          <w:rPr>
                            <w:rFonts w:ascii="宋体" w:hAnsi="宋体" w:cs="宋体" w:eastAsia="宋体" w:hint="default"/>
                            <w:spacing w:val="-3"/>
                            <w:sz w:val="18"/>
                            <w:szCs w:val="18"/>
                          </w:rPr>
                          <w:t>金</w:t>
                        </w:r>
                        <w:r>
                          <w:rPr>
                            <w:rFonts w:ascii="宋体" w:hAnsi="宋体" w:cs="宋体" w:eastAsia="宋体" w:hint="default"/>
                            <w:sz w:val="18"/>
                            <w:szCs w:val="18"/>
                          </w:rPr>
                          <w:t>投资设立</w:t>
                        </w:r>
                      </w:p>
                      <w:p>
                        <w:pPr>
                          <w:pStyle w:val="TableParagraph"/>
                          <w:spacing w:line="300" w:lineRule="auto" w:before="63"/>
                          <w:ind w:left="24" w:right="73"/>
                          <w:jc w:val="left"/>
                          <w:rPr>
                            <w:rFonts w:ascii="宋体" w:hAnsi="宋体" w:cs="宋体" w:eastAsia="宋体" w:hint="default"/>
                            <w:sz w:val="18"/>
                            <w:szCs w:val="18"/>
                          </w:rPr>
                        </w:pPr>
                        <w:r>
                          <w:rPr>
                            <w:rFonts w:ascii="宋体" w:hAnsi="宋体" w:cs="宋体" w:eastAsia="宋体" w:hint="default"/>
                            <w:sz w:val="18"/>
                            <w:szCs w:val="18"/>
                          </w:rPr>
                          <w:t>浙江天舟图书有限公司。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日，浙江天舟图书有限责任公司在工商行政管理部门登记 成立并已正常开展经营活动。</w:t>
                        </w:r>
                      </w:p>
                      <w:p>
                        <w:pPr>
                          <w:pStyle w:val="TableParagraph"/>
                          <w:spacing w:line="240" w:lineRule="auto" w:before="72"/>
                          <w:ind w:left="38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日，公司第二届董事会第四次会议审议通过了《关于使用超募资金投资设立北</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京事业部的议案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同意使用</w:t>
                        </w:r>
                        <w:r>
                          <w:rPr>
                            <w:rFonts w:ascii="宋体" w:hAnsi="宋体" w:cs="宋体" w:eastAsia="宋体" w:hint="default"/>
                            <w:spacing w:val="2"/>
                            <w:sz w:val="18"/>
                            <w:szCs w:val="18"/>
                          </w:rPr>
                          <w:t>公</w:t>
                        </w:r>
                        <w:r>
                          <w:rPr>
                            <w:rFonts w:ascii="宋体" w:hAnsi="宋体" w:cs="宋体" w:eastAsia="宋体" w:hint="default"/>
                            <w:sz w:val="18"/>
                            <w:szCs w:val="18"/>
                          </w:rPr>
                          <w:t>司首次公开发行超额募集资金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万元投资设立北京事业</w:t>
                        </w:r>
                        <w:r>
                          <w:rPr>
                            <w:rFonts w:ascii="宋体" w:hAnsi="宋体" w:cs="宋体" w:eastAsia="宋体" w:hint="default"/>
                            <w:spacing w:val="-3"/>
                            <w:sz w:val="18"/>
                            <w:szCs w:val="18"/>
                          </w:rPr>
                          <w:t>部</w:t>
                        </w:r>
                        <w:r>
                          <w:rPr>
                            <w:rFonts w:ascii="宋体" w:hAnsi="宋体" w:cs="宋体" w:eastAsia="宋体" w:hint="default"/>
                            <w:spacing w:val="-22"/>
                            <w:sz w:val="18"/>
                            <w:szCs w:val="18"/>
                          </w:rPr>
                          <w:t>。</w:t>
                        </w:r>
                        <w:r>
                          <w:rPr>
                            <w:rFonts w:ascii="宋体" w:hAnsi="宋体" w:cs="宋体" w:eastAsia="宋体" w:hint="default"/>
                            <w:sz w:val="18"/>
                            <w:szCs w:val="18"/>
                          </w:rPr>
                          <w:t>投资</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的主要用途如下：投资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万购置北京事业部办公场地，投资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万元用于北京事业部人员招聘 和补充北京事业部流动资金等。北京事业部目前已正常运营。</w:t>
                        </w:r>
                      </w:p>
                      <w:p>
                        <w:pPr>
                          <w:pStyle w:val="TableParagraph"/>
                          <w:spacing w:line="240" w:lineRule="auto" w:before="72"/>
                          <w:ind w:left="38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日，公司第二届董事会第七次会议审议通过了《关于使用超募资金投资参股北</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pacing w:val="-8"/>
                            <w:sz w:val="18"/>
                            <w:szCs w:val="18"/>
                          </w:rPr>
                          <w:t>京北舟文化传媒有限公司的议案》，公司以现金出资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2,940</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万元参股成立北京北舟文化传媒有限公司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持股比例</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49%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日，北京北舟文化传媒有限责任公司在工商行政管理部门登记成立并 已正常开展经营活动。</w:t>
                        </w:r>
                      </w:p>
                      <w:p>
                        <w:pPr>
                          <w:pStyle w:val="TableParagraph"/>
                          <w:spacing w:line="240" w:lineRule="auto" w:before="70"/>
                          <w:ind w:left="38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日，公司第二届董事会第十一次会议审议通过了《关于使用超募资金投资建</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pacing w:val="-5"/>
                            <w:sz w:val="18"/>
                            <w:szCs w:val="18"/>
                          </w:rPr>
                          <w:t>设“教育内容资源研发与服务平台”项目的议案》，同意使用超募资金</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2,884</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万元与中国教育科学研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究院共同投资建设“教育内容资源研发与服务平台”项目。该项目目前仍处于筹备阶段。</w:t>
                        </w:r>
                      </w:p>
                      <w:p>
                        <w:pPr>
                          <w:pStyle w:val="TableParagraph"/>
                          <w:spacing w:line="240" w:lineRule="auto" w:before="72"/>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日，公司第二届董事会第十四次会议审议通过了《关于使用超募资金投资设立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北京东方天舟教育科技有限公司的议案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万元与上海东方阶梯智</w:t>
                        </w:r>
                        <w:r>
                          <w:rPr>
                            <w:rFonts w:ascii="宋体" w:hAnsi="宋体" w:cs="宋体" w:eastAsia="宋体" w:hint="default"/>
                            <w:spacing w:val="-3"/>
                            <w:sz w:val="18"/>
                            <w:szCs w:val="18"/>
                          </w:rPr>
                          <w:t>力</w:t>
                        </w:r>
                        <w:r>
                          <w:rPr>
                            <w:rFonts w:ascii="宋体" w:hAnsi="宋体" w:cs="宋体" w:eastAsia="宋体" w:hint="default"/>
                            <w:sz w:val="18"/>
                            <w:szCs w:val="18"/>
                          </w:rPr>
                          <w:t>发展有</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限公司、生艳秋女士共同出资设立北京东方天舟教育科技有限公司。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北京东方天 舟教育科技有限责任公司在工商行政管理部门登记成立并已正常开展经营活动。</w:t>
                        </w:r>
                      </w:p>
                      <w:p>
                        <w:pPr>
                          <w:pStyle w:val="TableParagraph"/>
                          <w:spacing w:line="240" w:lineRule="auto" w:before="72"/>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日，公司第二届董事会第十五次会议审议通过了《关于使用部分超募资金永久</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6"/>
                            <w:sz w:val="18"/>
                            <w:szCs w:val="18"/>
                          </w:rPr>
                          <w:t>补充流动资金的议案》，同意使用超募资金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4,000</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万元用于永久补充流动资金，目前流动资金已补充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到位。</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本公司在募集资金实际到位之前，利用自筹资金对募投项目已累计投入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23"/>
                            <w:sz w:val="18"/>
                            <w:szCs w:val="18"/>
                          </w:rPr>
                          <w:t> </w:t>
                        </w:r>
                        <w:r>
                          <w:rPr>
                            <w:rFonts w:ascii="宋体" w:hAnsi="宋体" w:cs="宋体" w:eastAsia="宋体" w:hint="default"/>
                            <w:spacing w:val="-8"/>
                            <w:sz w:val="18"/>
                            <w:szCs w:val="18"/>
                          </w:rPr>
                          <w:t>万元，其中内</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18"/>
        <w:jc w:val="right"/>
      </w:pPr>
      <w:r>
        <w:rPr/>
        <w:t>，</w:t>
      </w:r>
    </w:p>
    <w:p>
      <w:pPr>
        <w:spacing w:after="0" w:line="240" w:lineRule="auto"/>
        <w:jc w:val="right"/>
        <w:sectPr>
          <w:headerReference w:type="default" r:id="rId24"/>
          <w:pgSz w:w="11910" w:h="16840"/>
          <w:pgMar w:header="918" w:footer="999" w:top="1100" w:bottom="1180" w:left="980" w:right="102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770"/>
        <w:gridCol w:w="7800"/>
      </w:tblGrid>
      <w:tr>
        <w:trPr>
          <w:trHeight w:val="987"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容策划与图书发行项目使用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2,002.934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日，本公司第二届董事会第二次会议审</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pacing w:val="-3"/>
                <w:sz w:val="18"/>
                <w:szCs w:val="18"/>
              </w:rPr>
              <w:t>议通过了《关于用募集资金置换已投入募集资金投资项目自筹资金的议案》，公司以</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2,002.934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z w:val="18"/>
                <w:szCs w:val="18"/>
              </w:rPr>
              <w:t>募集资金置换预先已投入募集资金投资项目的自筹资金。</w:t>
            </w:r>
          </w:p>
        </w:tc>
      </w:tr>
      <w:tr>
        <w:trPr>
          <w:trHeight w:val="401"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439" w:lineRule="auto" w:before="49"/>
        <w:ind w:left="693" w:right="5558" w:firstLine="0"/>
        <w:jc w:val="left"/>
        <w:rPr>
          <w:rFonts w:ascii="宋体" w:hAnsi="宋体" w:cs="宋体" w:eastAsia="宋体" w:hint="default"/>
          <w:sz w:val="18"/>
          <w:szCs w:val="18"/>
        </w:rPr>
      </w:pPr>
      <w:r>
        <w:rPr>
          <w:rFonts w:ascii="宋体" w:hAnsi="宋体" w:cs="宋体" w:eastAsia="宋体" w:hint="default"/>
          <w:b/>
          <w:bCs/>
          <w:sz w:val="18"/>
          <w:szCs w:val="18"/>
        </w:rPr>
        <w:t>关于部分募集资金投资项目延期实施的相关说明</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、未达预期进度的原因</w:t>
      </w:r>
    </w:p>
    <w:p>
      <w:pPr>
        <w:pStyle w:val="BodyText"/>
        <w:spacing w:line="312" w:lineRule="auto" w:before="47"/>
        <w:ind w:left="213" w:right="210" w:firstLine="480"/>
        <w:jc w:val="both"/>
      </w:pPr>
      <w:r>
        <w:rPr/>
        <w:t>（</w:t>
      </w:r>
      <w:r>
        <w:rPr>
          <w:rFonts w:ascii="Times New Roman" w:hAnsi="Times New Roman" w:cs="Times New Roman" w:eastAsia="Times New Roman" w:hint="default"/>
        </w:rPr>
        <w:t>1</w:t>
      </w:r>
      <w:r>
        <w:rPr/>
        <w:t>）营销网络建设项目：</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年以来，国家教育部、新闻出版总署对中小学教材的审定、教辅材料的出版、发行等 </w:t>
      </w:r>
      <w:r>
        <w:rPr>
          <w:spacing w:val="-2"/>
        </w:rPr>
        <w:t>方面的政策规定进行了较大幅度的调整，加强了对教辅图书市场的规范和整顿，陆续出台了一批新的规范性文件。为了确保</w:t>
      </w:r>
      <w:r>
        <w:rPr>
          <w:spacing w:val="-64"/>
        </w:rPr>
        <w:t> </w:t>
      </w:r>
      <w:r>
        <w:rPr>
          <w:spacing w:val="-64"/>
        </w:rPr>
      </w:r>
      <w:r>
        <w:rPr>
          <w:spacing w:val="-2"/>
        </w:rPr>
        <w:t>公司营销推广模式能够符合最新的政策法规，避免盲目投入，公司放缓了全国营销分支机构的建设，公司将在有关政策趋势</w:t>
      </w:r>
      <w:r>
        <w:rPr>
          <w:spacing w:val="-63"/>
        </w:rPr>
        <w:t> </w:t>
      </w:r>
      <w:r>
        <w:rPr>
          <w:spacing w:val="-63"/>
        </w:rPr>
      </w:r>
      <w:r>
        <w:rPr/>
        <w:t>清晰后，加快推进全国营销网络项目建设。</w:t>
      </w:r>
    </w:p>
    <w:p>
      <w:pPr>
        <w:pStyle w:val="BodyText"/>
        <w:spacing w:line="309" w:lineRule="auto" w:before="142"/>
        <w:ind w:left="213" w:right="115" w:firstLine="480"/>
        <w:jc w:val="left"/>
      </w:pPr>
      <w:r>
        <w:rPr/>
        <w:t>（</w:t>
      </w:r>
      <w:r>
        <w:rPr>
          <w:rFonts w:ascii="Times New Roman" w:hAnsi="Times New Roman" w:cs="Times New Roman" w:eastAsia="Times New Roman" w:hint="default"/>
        </w:rPr>
        <w:t>2</w:t>
      </w:r>
      <w:r>
        <w:rPr/>
        <w:t>）管理信息和出版创意平台建设项目：由于公司营销网络建设未能按期推进，内部管理运营体系尚不完整，公司 </w:t>
      </w:r>
      <w:r>
        <w:rPr>
          <w:spacing w:val="-2"/>
        </w:rPr>
        <w:t>管理信息系统建设难以按期投入，创意资源平台项目的建设尚处于具体实施方案的设计和论证的过程中。目前公司已加快管</w:t>
      </w:r>
      <w:r>
        <w:rPr>
          <w:spacing w:val="-64"/>
        </w:rPr>
        <w:t> </w:t>
      </w:r>
      <w:r>
        <w:rPr>
          <w:spacing w:val="-64"/>
        </w:rPr>
      </w:r>
      <w:r>
        <w:rPr/>
        <w:t>理信息和出版创意平台的基础建设工作，争取早日建成该项目。</w:t>
      </w:r>
    </w:p>
    <w:p>
      <w:pPr>
        <w:pStyle w:val="BodyText"/>
        <w:spacing w:line="316" w:lineRule="auto" w:before="144"/>
        <w:ind w:left="213" w:right="115" w:firstLine="480"/>
        <w:jc w:val="left"/>
      </w:pPr>
      <w:r>
        <w:rPr>
          <w:rFonts w:ascii="宋体" w:hAnsi="宋体" w:cs="宋体" w:eastAsia="宋体" w:hint="default"/>
        </w:rPr>
        <w:t>2</w:t>
      </w:r>
      <w:r>
        <w:rPr/>
        <w:t>、根据公司目前的具体情况，公司决定对营销网络建设项目及管理信息和出版创意平台建设项目进度进行调整，经 公司审慎测算，此两个项目调整后的情况如下：</w:t>
      </w:r>
    </w:p>
    <w:p>
      <w:pPr>
        <w:spacing w:line="240" w:lineRule="auto" w:before="13"/>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828"/>
        <w:gridCol w:w="2701"/>
        <w:gridCol w:w="2520"/>
        <w:gridCol w:w="2168"/>
      </w:tblGrid>
      <w:tr>
        <w:trPr>
          <w:trHeight w:val="63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955" w:right="157" w:hanging="802"/>
              <w:jc w:val="left"/>
              <w:rPr>
                <w:rFonts w:ascii="宋体" w:hAnsi="宋体" w:cs="宋体" w:eastAsia="宋体" w:hint="default"/>
                <w:sz w:val="20"/>
                <w:szCs w:val="20"/>
              </w:rPr>
            </w:pPr>
            <w:r>
              <w:rPr>
                <w:rFonts w:ascii="宋体" w:hAnsi="宋体" w:cs="宋体" w:eastAsia="宋体" w:hint="default"/>
                <w:sz w:val="20"/>
                <w:szCs w:val="20"/>
              </w:rPr>
              <w:t>项目原预计达到可使用状</w:t>
            </w:r>
            <w:r>
              <w:rPr>
                <w:rFonts w:ascii="宋体" w:hAnsi="宋体" w:cs="宋体" w:eastAsia="宋体" w:hint="default"/>
                <w:w w:val="99"/>
                <w:sz w:val="20"/>
                <w:szCs w:val="20"/>
              </w:rPr>
              <w:t> </w:t>
            </w:r>
            <w:r>
              <w:rPr>
                <w:rFonts w:ascii="宋体" w:hAnsi="宋体" w:cs="宋体" w:eastAsia="宋体" w:hint="default"/>
                <w:sz w:val="20"/>
                <w:szCs w:val="20"/>
              </w:rPr>
              <w:t>态日期</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79" w:right="181" w:hanging="202"/>
              <w:jc w:val="left"/>
              <w:rPr>
                <w:rFonts w:ascii="宋体" w:hAnsi="宋体" w:cs="宋体" w:eastAsia="宋体" w:hint="default"/>
                <w:sz w:val="20"/>
                <w:szCs w:val="20"/>
              </w:rPr>
            </w:pPr>
            <w:r>
              <w:rPr>
                <w:rFonts w:ascii="宋体" w:hAnsi="宋体" w:cs="宋体" w:eastAsia="宋体" w:hint="default"/>
                <w:sz w:val="20"/>
                <w:szCs w:val="20"/>
              </w:rPr>
              <w:t>项目调整后预计达到</w:t>
            </w:r>
            <w:r>
              <w:rPr>
                <w:rFonts w:ascii="宋体" w:hAnsi="宋体" w:cs="宋体" w:eastAsia="宋体" w:hint="default"/>
                <w:w w:val="99"/>
                <w:sz w:val="20"/>
                <w:szCs w:val="20"/>
              </w:rPr>
              <w:t> </w:t>
            </w:r>
            <w:r>
              <w:rPr>
                <w:rFonts w:ascii="宋体" w:hAnsi="宋体" w:cs="宋体" w:eastAsia="宋体" w:hint="default"/>
                <w:sz w:val="20"/>
                <w:szCs w:val="20"/>
              </w:rPr>
              <w:t>可使用状态日期</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w w:val="99"/>
                <w:sz w:val="20"/>
              </w:rPr>
              <w:t>1</w:t>
            </w:r>
            <w:r>
              <w:rPr>
                <w:rFonts w:ascii="宋体"/>
                <w:sz w:val="20"/>
              </w:rPr>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营销网络建设项目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sz w:val="20"/>
              </w:rPr>
              <w:t>2012-12-31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sz w:val="20"/>
              </w:rPr>
              <w:t>2014-12-31</w:t>
            </w:r>
          </w:p>
        </w:tc>
      </w:tr>
      <w:tr>
        <w:trPr>
          <w:trHeight w:val="94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2</w:t>
            </w:r>
            <w:r>
              <w:rPr>
                <w:rFonts w:ascii="宋体"/>
                <w:sz w:val="20"/>
              </w:rPr>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hAnsi="宋体" w:cs="宋体" w:eastAsia="宋体" w:hint="default"/>
                <w:sz w:val="20"/>
                <w:szCs w:val="20"/>
              </w:rPr>
              <w:t>管理信息和出版创意支持平</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台建设项目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sz w:val="20"/>
              </w:rPr>
              <w:t>2012-12-31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sz w:val="20"/>
              </w:rPr>
              <w:t>2014-12-31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7"/>
        <w:spacing w:line="240" w:lineRule="auto" w:before="37"/>
        <w:ind w:left="614" w:right="5558"/>
        <w:jc w:val="left"/>
      </w:pPr>
      <w:r>
        <w:rPr>
          <w:rFonts w:ascii="宋体" w:hAnsi="宋体" w:cs="宋体" w:eastAsia="宋体" w:hint="default"/>
        </w:rPr>
        <w:t>3</w:t>
      </w:r>
      <w:r>
        <w:rPr/>
        <w:t>、延期实施对公司的影响</w:t>
      </w:r>
    </w:p>
    <w:p>
      <w:pPr>
        <w:spacing w:line="240" w:lineRule="auto" w:before="10"/>
        <w:rPr>
          <w:rFonts w:ascii="宋体" w:hAnsi="宋体" w:cs="宋体" w:eastAsia="宋体" w:hint="default"/>
          <w:sz w:val="15"/>
          <w:szCs w:val="15"/>
        </w:rPr>
      </w:pPr>
    </w:p>
    <w:p>
      <w:pPr>
        <w:pStyle w:val="Heading7"/>
        <w:spacing w:line="429" w:lineRule="auto"/>
        <w:ind w:left="213" w:right="115" w:firstLine="400"/>
        <w:jc w:val="left"/>
      </w:pPr>
      <w:r>
        <w:rPr>
          <w:spacing w:val="-3"/>
          <w:w w:val="99"/>
        </w:rPr>
        <w:t>（</w:t>
      </w:r>
      <w:r>
        <w:rPr>
          <w:rFonts w:ascii="宋体" w:hAnsi="宋体" w:cs="宋体" w:eastAsia="宋体" w:hint="default"/>
          <w:spacing w:val="-3"/>
          <w:w w:val="99"/>
        </w:rPr>
        <w:t>1</w:t>
      </w:r>
      <w:r>
        <w:rPr>
          <w:spacing w:val="-3"/>
          <w:w w:val="99"/>
        </w:rPr>
        <w:t>）由于营销网络建设项目及管理信息和出版创意平台建设项目的延期，使公司募集资金的使用效益降低，</w:t>
      </w:r>
      <w:r>
        <w:rPr>
          <w:w w:val="99"/>
        </w:rPr>
        <w:t> </w:t>
      </w:r>
      <w:r>
        <w:rPr/>
        <w:t>从而使项目无法及时达到预期效果，但是通过调整相关措施，延期项目建设，从长期来看，调整后募集资金投</w:t>
      </w:r>
      <w:r>
        <w:rPr>
          <w:w w:val="99"/>
        </w:rPr>
        <w:t> </w:t>
      </w:r>
      <w:r>
        <w:rPr/>
        <w:t>资项目产生的积极效应将更大程度上促进公司整体经营业绩的改善。</w:t>
      </w:r>
    </w:p>
    <w:p>
      <w:pPr>
        <w:pStyle w:val="BodyText"/>
        <w:spacing w:line="240" w:lineRule="auto" w:before="141"/>
        <w:ind w:left="693" w:right="115"/>
        <w:jc w:val="left"/>
      </w:pPr>
      <w:r>
        <w:rPr/>
        <w:t>（</w:t>
      </w:r>
      <w:r>
        <w:rPr>
          <w:rFonts w:ascii="Times New Roman" w:hAnsi="Times New Roman" w:cs="Times New Roman" w:eastAsia="Times New Roman" w:hint="default"/>
        </w:rPr>
        <w:t>2</w:t>
      </w:r>
      <w:r>
        <w:rPr/>
        <w:t>）营销网络建设项目能为内容策划与图书发行项目提供渠道依托，充分利用公司总发资质和产品资源，深入挖掘</w:t>
      </w:r>
    </w:p>
    <w:p>
      <w:pPr>
        <w:spacing w:after="0" w:line="240" w:lineRule="auto"/>
        <w:jc w:val="left"/>
        <w:sectPr>
          <w:pgSz w:w="11910" w:h="16840"/>
          <w:pgMar w:header="918" w:footer="999" w:top="1100" w:bottom="1180" w:left="920" w:right="920"/>
        </w:sectPr>
      </w:pPr>
    </w:p>
    <w:p>
      <w:pPr>
        <w:spacing w:line="240" w:lineRule="auto" w:before="11"/>
        <w:rPr>
          <w:rFonts w:ascii="宋体" w:hAnsi="宋体" w:cs="宋体" w:eastAsia="宋体" w:hint="default"/>
          <w:sz w:val="21"/>
          <w:szCs w:val="21"/>
        </w:rPr>
      </w:pPr>
    </w:p>
    <w:p>
      <w:pPr>
        <w:pStyle w:val="BodyText"/>
        <w:spacing w:line="240" w:lineRule="auto" w:before="44"/>
        <w:ind w:left="173" w:right="0"/>
        <w:jc w:val="left"/>
      </w:pPr>
      <w:r>
        <w:rPr/>
        <w:t>省内市场潜力、大力开拓全国市场。继续实施该项目对扩大公司规模、提升公司竞争力具有重要的战略意义。</w:t>
      </w:r>
    </w:p>
    <w:p>
      <w:pPr>
        <w:spacing w:line="240" w:lineRule="auto" w:before="11"/>
        <w:rPr>
          <w:rFonts w:ascii="宋体" w:hAnsi="宋体" w:cs="宋体" w:eastAsia="宋体" w:hint="default"/>
          <w:sz w:val="19"/>
          <w:szCs w:val="19"/>
        </w:rPr>
      </w:pPr>
    </w:p>
    <w:p>
      <w:pPr>
        <w:pStyle w:val="Heading7"/>
        <w:spacing w:line="429" w:lineRule="auto"/>
        <w:ind w:left="173" w:right="0" w:firstLine="400"/>
        <w:jc w:val="left"/>
      </w:pPr>
      <w:r>
        <w:rPr>
          <w:w w:val="95"/>
        </w:rPr>
        <w:t>（</w:t>
      </w:r>
      <w:r>
        <w:rPr>
          <w:rFonts w:ascii="宋体" w:hAnsi="宋体" w:cs="宋体" w:eastAsia="宋体" w:hint="default"/>
          <w:w w:val="95"/>
        </w:rPr>
        <w:t>3</w:t>
      </w:r>
      <w:r>
        <w:rPr>
          <w:w w:val="95"/>
        </w:rPr>
        <w:t>）管理信息和出版创意支持平台建设项目旨在充分利用信息技术的基础上，借助先进的管理软件平台，</w:t>
      </w:r>
      <w:r>
        <w:rPr>
          <w:spacing w:val="-39"/>
          <w:w w:val="95"/>
        </w:rPr>
        <w:t> </w:t>
      </w:r>
      <w:r>
        <w:rPr>
          <w:spacing w:val="-39"/>
          <w:w w:val="95"/>
        </w:rPr>
      </w:r>
      <w:r>
        <w:rPr/>
        <w:t>实现并提升精确营销水平、选题策划和内容创新能力、供应链管理和终端监测能力、营销管理能力，以及公司</w:t>
      </w:r>
      <w:r>
        <w:rPr>
          <w:w w:val="99"/>
        </w:rPr>
        <w:t> </w:t>
      </w:r>
      <w:r>
        <w:rPr/>
        <w:t>各类基础数据管理能力等，继续实施该项目将有利于公司提升管理决策效率、拓展数字出版领域。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653" w:right="0"/>
        <w:jc w:val="left"/>
      </w:pPr>
      <w:r>
        <w:rPr>
          <w:rFonts w:ascii="Times New Roman" w:hAnsi="Times New Roman" w:cs="Times New Roman" w:eastAsia="Times New Roman" w:hint="default"/>
        </w:rPr>
        <w:t>4</w:t>
      </w:r>
      <w:r>
        <w:rPr/>
        <w:t>、调整后的实施计划</w:t>
      </w:r>
    </w:p>
    <w:p>
      <w:pPr>
        <w:spacing w:line="240" w:lineRule="auto" w:before="9"/>
        <w:rPr>
          <w:rFonts w:ascii="宋体" w:hAnsi="宋体" w:cs="宋体" w:eastAsia="宋体" w:hint="default"/>
          <w:sz w:val="16"/>
          <w:szCs w:val="16"/>
        </w:rPr>
      </w:pPr>
    </w:p>
    <w:p>
      <w:pPr>
        <w:pStyle w:val="BodyText"/>
        <w:spacing w:line="240" w:lineRule="auto"/>
        <w:ind w:left="653" w:right="0"/>
        <w:jc w:val="left"/>
      </w:pPr>
      <w:r>
        <w:rPr/>
        <w:t>（</w:t>
      </w:r>
      <w:r>
        <w:rPr>
          <w:rFonts w:ascii="宋体" w:hAnsi="宋体" w:cs="宋体" w:eastAsia="宋体" w:hint="default"/>
        </w:rPr>
        <w:t>1</w:t>
      </w:r>
      <w:r>
        <w:rPr/>
        <w:t>）营销网络建设项目实施计划</w:t>
      </w:r>
    </w:p>
    <w:p>
      <w:pPr>
        <w:spacing w:line="240" w:lineRule="auto" w:before="5"/>
        <w:rPr>
          <w:rFonts w:ascii="宋体" w:hAnsi="宋体" w:cs="宋体" w:eastAsia="宋体" w:hint="default"/>
          <w:sz w:val="14"/>
          <w:szCs w:val="14"/>
        </w:rPr>
      </w:pPr>
    </w:p>
    <w:tbl>
      <w:tblPr>
        <w:tblW w:w="0" w:type="auto"/>
        <w:jc w:val="left"/>
        <w:tblInd w:w="612" w:type="dxa"/>
        <w:tblLayout w:type="fixed"/>
        <w:tblCellMar>
          <w:top w:w="0" w:type="dxa"/>
          <w:left w:w="0" w:type="dxa"/>
          <w:bottom w:w="0" w:type="dxa"/>
          <w:right w:w="0" w:type="dxa"/>
        </w:tblCellMar>
        <w:tblLook w:val="01E0"/>
      </w:tblPr>
      <w:tblGrid>
        <w:gridCol w:w="1789"/>
        <w:gridCol w:w="1219"/>
        <w:gridCol w:w="2784"/>
        <w:gridCol w:w="2960"/>
      </w:tblGrid>
      <w:tr>
        <w:trPr>
          <w:trHeight w:val="463" w:hRule="exact"/>
        </w:trPr>
        <w:tc>
          <w:tcPr>
            <w:tcW w:w="3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64" w:hRule="exact"/>
        </w:trPr>
        <w:tc>
          <w:tcPr>
            <w:tcW w:w="3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55" w:right="0"/>
              <w:jc w:val="left"/>
              <w:rPr>
                <w:rFonts w:ascii="宋体" w:hAnsi="宋体" w:cs="宋体" w:eastAsia="宋体" w:hint="default"/>
                <w:sz w:val="21"/>
                <w:szCs w:val="21"/>
              </w:rPr>
            </w:pPr>
            <w:r>
              <w:rPr>
                <w:rFonts w:ascii="宋体" w:hAnsi="宋体" w:cs="宋体" w:eastAsia="宋体" w:hint="default"/>
                <w:b/>
                <w:bCs/>
                <w:sz w:val="21"/>
                <w:szCs w:val="21"/>
              </w:rPr>
              <w:t>图书物流中心建设</w:t>
            </w:r>
            <w:r>
              <w:rPr>
                <w:rFonts w:ascii="宋体" w:hAnsi="宋体" w:cs="宋体" w:eastAsia="宋体" w:hint="default"/>
                <w:sz w:val="21"/>
                <w:szCs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建成启用</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 w:right="0"/>
              <w:jc w:val="center"/>
              <w:rPr>
                <w:rFonts w:ascii="宋体" w:hAnsi="宋体" w:cs="宋体" w:eastAsia="宋体" w:hint="default"/>
                <w:sz w:val="21"/>
                <w:szCs w:val="21"/>
              </w:rPr>
            </w:pPr>
            <w:r>
              <w:rPr>
                <w:rFonts w:ascii="宋体" w:hAnsi="宋体" w:cs="宋体" w:eastAsia="宋体" w:hint="default"/>
                <w:sz w:val="21"/>
                <w:szCs w:val="21"/>
              </w:rPr>
              <w:t>正常运营</w:t>
            </w:r>
          </w:p>
        </w:tc>
      </w:tr>
      <w:tr>
        <w:trPr>
          <w:trHeight w:val="466" w:hRule="exact"/>
        </w:trPr>
        <w:tc>
          <w:tcPr>
            <w:tcW w:w="17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51" w:right="0"/>
              <w:jc w:val="left"/>
              <w:rPr>
                <w:rFonts w:ascii="宋体" w:hAnsi="宋体" w:cs="宋体" w:eastAsia="宋体" w:hint="default"/>
                <w:sz w:val="21"/>
                <w:szCs w:val="21"/>
              </w:rPr>
            </w:pPr>
            <w:r>
              <w:rPr>
                <w:rFonts w:ascii="宋体" w:hAnsi="宋体" w:cs="宋体" w:eastAsia="宋体" w:hint="default"/>
                <w:b/>
                <w:bCs/>
                <w:sz w:val="21"/>
                <w:szCs w:val="21"/>
              </w:rPr>
              <w:t>营销子公司新建</w:t>
            </w:r>
            <w:r>
              <w:rPr>
                <w:rFonts w:ascii="宋体" w:hAnsi="宋体" w:cs="宋体" w:eastAsia="宋体" w:hint="default"/>
                <w:sz w:val="21"/>
                <w:szCs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b/>
                <w:bCs/>
                <w:sz w:val="21"/>
                <w:szCs w:val="21"/>
              </w:rPr>
              <w:t>省内</w:t>
            </w:r>
            <w:r>
              <w:rPr>
                <w:rFonts w:ascii="宋体" w:hAnsi="宋体" w:cs="宋体" w:eastAsia="宋体" w:hint="default"/>
                <w:sz w:val="21"/>
                <w:szCs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新建</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家营销子公司</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宋体" w:hAnsi="宋体" w:cs="宋体" w:eastAsia="宋体" w:hint="default"/>
                <w:sz w:val="21"/>
                <w:szCs w:val="21"/>
              </w:rPr>
            </w:pPr>
            <w:r>
              <w:rPr>
                <w:rFonts w:ascii="宋体" w:hAnsi="宋体" w:cs="宋体" w:eastAsia="宋体" w:hint="default"/>
                <w:sz w:val="21"/>
                <w:szCs w:val="21"/>
              </w:rPr>
              <w:t>新建</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家营销子公司</w:t>
            </w:r>
          </w:p>
        </w:tc>
      </w:tr>
      <w:tr>
        <w:trPr>
          <w:trHeight w:val="674" w:hRule="exact"/>
        </w:trPr>
        <w:tc>
          <w:tcPr>
            <w:tcW w:w="1789" w:type="dxa"/>
            <w:vMerge/>
            <w:tcBorders>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省外</w:t>
            </w:r>
            <w:r>
              <w:rPr>
                <w:rFonts w:ascii="宋体" w:hAnsi="宋体" w:cs="宋体" w:eastAsia="宋体" w:hint="default"/>
                <w:sz w:val="21"/>
                <w:szCs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3" w:right="101"/>
              <w:jc w:val="left"/>
              <w:rPr>
                <w:rFonts w:ascii="宋体" w:hAnsi="宋体" w:cs="宋体" w:eastAsia="宋体" w:hint="default"/>
                <w:sz w:val="21"/>
                <w:szCs w:val="21"/>
              </w:rPr>
            </w:pPr>
            <w:r>
              <w:rPr>
                <w:rFonts w:ascii="宋体" w:hAnsi="宋体" w:cs="宋体" w:eastAsia="宋体" w:hint="default"/>
                <w:spacing w:val="2"/>
                <w:sz w:val="21"/>
                <w:szCs w:val="21"/>
              </w:rPr>
              <w:t>在华中、西南两地分别建立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子公司</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99"/>
              <w:jc w:val="left"/>
              <w:rPr>
                <w:rFonts w:ascii="宋体" w:hAnsi="宋体" w:cs="宋体" w:eastAsia="宋体" w:hint="default"/>
                <w:sz w:val="21"/>
                <w:szCs w:val="21"/>
              </w:rPr>
            </w:pPr>
            <w:r>
              <w:rPr>
                <w:rFonts w:ascii="宋体" w:hAnsi="宋体" w:cs="宋体" w:eastAsia="宋体" w:hint="default"/>
                <w:sz w:val="21"/>
                <w:szCs w:val="21"/>
              </w:rPr>
              <w:t>在西北、东北和华北三地分别</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建立子公司</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653" w:right="0"/>
        <w:jc w:val="left"/>
      </w:pPr>
      <w:r>
        <w:rPr/>
        <w:t>（</w:t>
      </w:r>
      <w:r>
        <w:rPr>
          <w:rFonts w:ascii="宋体" w:hAnsi="宋体" w:cs="宋体" w:eastAsia="宋体" w:hint="default"/>
        </w:rPr>
        <w:t>2</w:t>
      </w:r>
      <w:r>
        <w:rPr/>
        <w:t>）管理信息和出版创意支持平台建设项目实施计划</w:t>
      </w:r>
    </w:p>
    <w:p>
      <w:pPr>
        <w:spacing w:line="240" w:lineRule="auto" w:before="5"/>
        <w:rPr>
          <w:rFonts w:ascii="宋体" w:hAnsi="宋体" w:cs="宋体" w:eastAsia="宋体" w:hint="default"/>
          <w:sz w:val="14"/>
          <w:szCs w:val="14"/>
        </w:rPr>
      </w:pPr>
    </w:p>
    <w:tbl>
      <w:tblPr>
        <w:tblW w:w="0" w:type="auto"/>
        <w:jc w:val="left"/>
        <w:tblInd w:w="833" w:type="dxa"/>
        <w:tblLayout w:type="fixed"/>
        <w:tblCellMar>
          <w:top w:w="0" w:type="dxa"/>
          <w:left w:w="0" w:type="dxa"/>
          <w:bottom w:w="0" w:type="dxa"/>
          <w:right w:w="0" w:type="dxa"/>
        </w:tblCellMar>
        <w:tblLook w:val="01E0"/>
      </w:tblPr>
      <w:tblGrid>
        <w:gridCol w:w="2420"/>
        <w:gridCol w:w="2856"/>
        <w:gridCol w:w="3035"/>
      </w:tblGrid>
      <w:tr>
        <w:trPr>
          <w:trHeight w:val="4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 w:right="0"/>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7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内部管理信息系统</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83" w:right="108" w:hanging="473"/>
              <w:jc w:val="left"/>
              <w:rPr>
                <w:rFonts w:ascii="宋体" w:hAnsi="宋体" w:cs="宋体" w:eastAsia="宋体" w:hint="default"/>
                <w:sz w:val="21"/>
                <w:szCs w:val="21"/>
              </w:rPr>
            </w:pPr>
            <w:r>
              <w:rPr>
                <w:rFonts w:ascii="宋体" w:hAnsi="宋体" w:cs="宋体" w:eastAsia="宋体" w:hint="default"/>
                <w:sz w:val="21"/>
                <w:szCs w:val="21"/>
              </w:rPr>
              <w:t>全面升级</w:t>
            </w:r>
            <w:r>
              <w:rPr>
                <w:rFonts w:ascii="宋体" w:hAnsi="宋体" w:cs="宋体" w:eastAsia="宋体" w:hint="default"/>
                <w:spacing w:val="-55"/>
                <w:sz w:val="21"/>
                <w:szCs w:val="21"/>
              </w:rPr>
              <w:t> </w:t>
            </w:r>
            <w:r>
              <w:rPr>
                <w:rFonts w:ascii="宋体" w:hAnsi="宋体" w:cs="宋体" w:eastAsia="宋体" w:hint="default"/>
                <w:sz w:val="21"/>
                <w:szCs w:val="21"/>
              </w:rPr>
              <w:t>OA</w:t>
            </w:r>
            <w:r>
              <w:rPr>
                <w:rFonts w:ascii="宋体" w:hAnsi="宋体" w:cs="宋体" w:eastAsia="宋体" w:hint="default"/>
                <w:spacing w:val="-55"/>
                <w:sz w:val="21"/>
                <w:szCs w:val="21"/>
              </w:rPr>
              <w:t> </w:t>
            </w:r>
            <w:r>
              <w:rPr>
                <w:rFonts w:ascii="宋体" w:hAnsi="宋体" w:cs="宋体" w:eastAsia="宋体" w:hint="default"/>
                <w:sz w:val="21"/>
                <w:szCs w:val="21"/>
              </w:rPr>
              <w:t>协同办公系统、</w:t>
            </w:r>
            <w:r>
              <w:rPr>
                <w:rFonts w:ascii="宋体" w:hAnsi="宋体" w:cs="宋体" w:eastAsia="宋体" w:hint="default"/>
                <w:w w:val="100"/>
                <w:sz w:val="21"/>
                <w:szCs w:val="21"/>
              </w:rPr>
              <w:t> </w:t>
            </w:r>
            <w:r>
              <w:rPr>
                <w:rFonts w:ascii="宋体" w:hAnsi="宋体" w:cs="宋体" w:eastAsia="宋体" w:hint="default"/>
                <w:sz w:val="21"/>
                <w:szCs w:val="21"/>
              </w:rPr>
              <w:t>完善财务管理系统</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95" w:right="139" w:hanging="947"/>
              <w:jc w:val="left"/>
              <w:rPr>
                <w:rFonts w:ascii="宋体" w:hAnsi="宋体" w:cs="宋体" w:eastAsia="宋体" w:hint="default"/>
                <w:sz w:val="21"/>
                <w:szCs w:val="21"/>
              </w:rPr>
            </w:pPr>
            <w:r>
              <w:rPr>
                <w:rFonts w:ascii="宋体" w:hAnsi="宋体" w:cs="宋体" w:eastAsia="宋体" w:hint="default"/>
                <w:sz w:val="21"/>
                <w:szCs w:val="21"/>
              </w:rPr>
              <w:t>建成业务</w:t>
            </w:r>
            <w:r>
              <w:rPr>
                <w:rFonts w:ascii="宋体" w:hAnsi="宋体" w:cs="宋体" w:eastAsia="宋体" w:hint="default"/>
                <w:spacing w:val="-52"/>
                <w:sz w:val="21"/>
                <w:szCs w:val="21"/>
              </w:rPr>
              <w:t> </w:t>
            </w:r>
            <w:r>
              <w:rPr>
                <w:rFonts w:ascii="宋体" w:hAnsi="宋体" w:cs="宋体" w:eastAsia="宋体" w:hint="default"/>
                <w:sz w:val="21"/>
                <w:szCs w:val="21"/>
              </w:rPr>
              <w:t>ERP</w:t>
            </w:r>
            <w:r>
              <w:rPr>
                <w:rFonts w:ascii="宋体" w:hAnsi="宋体" w:cs="宋体" w:eastAsia="宋体" w:hint="default"/>
                <w:spacing w:val="-53"/>
                <w:sz w:val="21"/>
                <w:szCs w:val="21"/>
              </w:rPr>
              <w:t> </w:t>
            </w:r>
            <w:r>
              <w:rPr>
                <w:rFonts w:ascii="宋体" w:hAnsi="宋体" w:cs="宋体" w:eastAsia="宋体" w:hint="default"/>
                <w:sz w:val="21"/>
                <w:szCs w:val="21"/>
              </w:rPr>
              <w:t>系统和物流配送</w:t>
            </w:r>
            <w:r>
              <w:rPr>
                <w:rFonts w:ascii="宋体" w:hAnsi="宋体" w:cs="宋体" w:eastAsia="宋体" w:hint="default"/>
                <w:w w:val="100"/>
                <w:sz w:val="21"/>
                <w:szCs w:val="21"/>
              </w:rPr>
              <w:t> </w:t>
            </w:r>
            <w:r>
              <w:rPr>
                <w:rFonts w:ascii="宋体" w:hAnsi="宋体" w:cs="宋体" w:eastAsia="宋体" w:hint="default"/>
                <w:sz w:val="21"/>
                <w:szCs w:val="21"/>
              </w:rPr>
              <w:t>管理系统</w:t>
            </w:r>
          </w:p>
        </w:tc>
      </w:tr>
      <w:tr>
        <w:trPr>
          <w:trHeight w:val="67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外部业务支撑服务平台</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91" w:right="161" w:hanging="632"/>
              <w:jc w:val="left"/>
              <w:rPr>
                <w:rFonts w:ascii="宋体" w:hAnsi="宋体" w:cs="宋体" w:eastAsia="宋体" w:hint="default"/>
                <w:sz w:val="21"/>
                <w:szCs w:val="21"/>
              </w:rPr>
            </w:pPr>
            <w:r>
              <w:rPr>
                <w:rFonts w:ascii="宋体" w:hAnsi="宋体" w:cs="宋体" w:eastAsia="宋体" w:hint="default"/>
                <w:spacing w:val="-2"/>
                <w:sz w:val="21"/>
                <w:szCs w:val="21"/>
              </w:rPr>
              <w:t>基本建成出版创意平台和教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育资源知识库</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303" w:right="140" w:hanging="1155"/>
              <w:jc w:val="left"/>
              <w:rPr>
                <w:rFonts w:ascii="宋体" w:hAnsi="宋体" w:cs="宋体" w:eastAsia="宋体" w:hint="default"/>
                <w:sz w:val="21"/>
                <w:szCs w:val="21"/>
              </w:rPr>
            </w:pPr>
            <w:r>
              <w:rPr>
                <w:rFonts w:ascii="宋体" w:hAnsi="宋体" w:cs="宋体" w:eastAsia="宋体" w:hint="default"/>
                <w:spacing w:val="-2"/>
                <w:sz w:val="21"/>
                <w:szCs w:val="21"/>
              </w:rPr>
              <w:t>建成全国营销管理与决策支撑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平台</w:t>
            </w:r>
          </w:p>
        </w:tc>
      </w:tr>
      <w:tr>
        <w:trPr>
          <w:trHeight w:val="67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领导决策支持平台</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启动项目建设</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675" w:right="140" w:hanging="527"/>
              <w:jc w:val="left"/>
              <w:rPr>
                <w:rFonts w:ascii="宋体" w:hAnsi="宋体" w:cs="宋体" w:eastAsia="宋体" w:hint="default"/>
                <w:sz w:val="21"/>
                <w:szCs w:val="21"/>
              </w:rPr>
            </w:pPr>
            <w:r>
              <w:rPr>
                <w:rFonts w:ascii="宋体" w:hAnsi="宋体" w:cs="宋体" w:eastAsia="宋体" w:hint="default"/>
                <w:spacing w:val="-2"/>
                <w:sz w:val="21"/>
                <w:szCs w:val="21"/>
              </w:rPr>
              <w:t>全面建成数据挖掘分析系统与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数据交换管理中心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653" w:right="0"/>
        <w:jc w:val="left"/>
      </w:pPr>
      <w:r>
        <w:rPr/>
        <w:t>（</w:t>
      </w:r>
      <w:r>
        <w:rPr>
          <w:rFonts w:ascii="宋体" w:hAnsi="宋体" w:cs="宋体" w:eastAsia="宋体" w:hint="default"/>
        </w:rPr>
        <w:t>3</w:t>
      </w:r>
      <w:r>
        <w:rPr/>
        <w:t>）公司将加强对项目建设进度的监督和考核，使项目按新的计划顺利进行建设，以提高募集资金的使用效益。</w:t>
      </w:r>
    </w:p>
    <w:p>
      <w:pPr>
        <w:spacing w:line="240" w:lineRule="auto" w:before="0"/>
        <w:rPr>
          <w:rFonts w:ascii="宋体" w:hAnsi="宋体" w:cs="宋体" w:eastAsia="宋体" w:hint="default"/>
          <w:sz w:val="18"/>
          <w:szCs w:val="18"/>
        </w:rPr>
      </w:pPr>
    </w:p>
    <w:p>
      <w:pPr>
        <w:pStyle w:val="Heading5"/>
        <w:spacing w:line="240" w:lineRule="auto" w:before="120"/>
        <w:ind w:left="173"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629"/>
        <w:gridCol w:w="3346"/>
        <w:gridCol w:w="1860"/>
        <w:gridCol w:w="3927"/>
      </w:tblGrid>
      <w:tr>
        <w:trPr>
          <w:trHeight w:val="403" w:hRule="exact"/>
        </w:trPr>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序号</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注册资本（万元）</w:t>
            </w:r>
          </w:p>
        </w:tc>
        <w:tc>
          <w:tcPr>
            <w:tcW w:w="3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r>
      <w:tr>
        <w:trPr>
          <w:trHeight w:val="161" w:hRule="exact"/>
        </w:trPr>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w:t>
            </w:r>
          </w:p>
        </w:tc>
        <w:tc>
          <w:tcPr>
            <w:tcW w:w="392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firstLine="271"/>
              <w:jc w:val="left"/>
              <w:rPr>
                <w:rFonts w:ascii="宋体" w:hAnsi="宋体" w:cs="宋体" w:eastAsia="宋体" w:hint="default"/>
                <w:sz w:val="18"/>
                <w:szCs w:val="18"/>
              </w:rPr>
            </w:pPr>
            <w:r>
              <w:rPr>
                <w:rFonts w:ascii="宋体" w:hAnsi="宋体" w:cs="宋体" w:eastAsia="宋体" w:hint="default"/>
                <w:sz w:val="18"/>
                <w:szCs w:val="18"/>
              </w:rPr>
              <w:t>出版物批发；书刊的设计、策划；文字、美术 作品的编辑制作；著作权代理服务。</w:t>
            </w:r>
          </w:p>
        </w:tc>
      </w:tr>
      <w:tr>
        <w:trPr>
          <w:trHeight w:val="392" w:hRule="exact"/>
        </w:trPr>
        <w:tc>
          <w:tcPr>
            <w:tcW w:w="6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1</w:t>
            </w:r>
          </w:p>
        </w:tc>
        <w:tc>
          <w:tcPr>
            <w:tcW w:w="3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c>
          <w:tcPr>
            <w:tcW w:w="1860" w:type="dxa"/>
            <w:vMerge/>
            <w:tcBorders>
              <w:left w:val="single" w:sz="9" w:space="0" w:color="D2D2D2"/>
              <w:right w:val="single" w:sz="4" w:space="0" w:color="000000"/>
            </w:tcBorders>
          </w:tcPr>
          <w:p>
            <w:pPr/>
          </w:p>
        </w:tc>
        <w:tc>
          <w:tcPr>
            <w:tcW w:w="3927" w:type="dxa"/>
            <w:vMerge/>
            <w:tcBorders>
              <w:left w:val="single" w:sz="4" w:space="0" w:color="000000"/>
              <w:right w:val="single" w:sz="4" w:space="0" w:color="000000"/>
            </w:tcBorders>
          </w:tcPr>
          <w:p>
            <w:pPr/>
          </w:p>
        </w:tc>
      </w:tr>
      <w:tr>
        <w:trPr>
          <w:trHeight w:val="161" w:hRule="exact"/>
        </w:trPr>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0" w:type="dxa"/>
            <w:vMerge/>
            <w:tcBorders>
              <w:left w:val="single" w:sz="9" w:space="0" w:color="D2D2D2"/>
              <w:bottom w:val="single" w:sz="4" w:space="0" w:color="000000"/>
              <w:right w:val="single" w:sz="4" w:space="0" w:color="000000"/>
            </w:tcBorders>
          </w:tcPr>
          <w:p>
            <w:pPr/>
          </w:p>
        </w:tc>
        <w:tc>
          <w:tcPr>
            <w:tcW w:w="3927" w:type="dxa"/>
            <w:vMerge/>
            <w:tcBorders>
              <w:left w:val="single" w:sz="4" w:space="0" w:color="000000"/>
              <w:bottom w:val="single" w:sz="4" w:space="0" w:color="000000"/>
              <w:right w:val="single" w:sz="4" w:space="0" w:color="000000"/>
            </w:tcBorders>
          </w:tcPr>
          <w:p>
            <w:pPr/>
          </w:p>
        </w:tc>
      </w:tr>
      <w:tr>
        <w:trPr>
          <w:trHeight w:val="403" w:hRule="exact"/>
        </w:trPr>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2</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8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销售图书、报纸、期刊、电子出版物。</w:t>
            </w:r>
          </w:p>
        </w:tc>
      </w:tr>
      <w:tr>
        <w:trPr>
          <w:trHeight w:val="161" w:hRule="exact"/>
        </w:trPr>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1450</w:t>
            </w:r>
          </w:p>
        </w:tc>
        <w:tc>
          <w:tcPr>
            <w:tcW w:w="392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firstLine="362"/>
              <w:jc w:val="left"/>
              <w:rPr>
                <w:rFonts w:ascii="宋体" w:hAnsi="宋体" w:cs="宋体" w:eastAsia="宋体" w:hint="default"/>
                <w:sz w:val="18"/>
                <w:szCs w:val="18"/>
              </w:rPr>
            </w:pPr>
            <w:r>
              <w:rPr>
                <w:rFonts w:ascii="宋体" w:hAnsi="宋体" w:cs="宋体" w:eastAsia="宋体" w:hint="default"/>
                <w:spacing w:val="-5"/>
                <w:sz w:val="18"/>
                <w:szCs w:val="18"/>
              </w:rPr>
              <w:t>教育技术的研究；文化和教育科技产品的开发</w:t>
            </w:r>
            <w:r>
              <w:rPr>
                <w:rFonts w:ascii="宋体" w:hAnsi="宋体" w:cs="宋体" w:eastAsia="宋体" w:hint="default"/>
                <w:sz w:val="18"/>
                <w:szCs w:val="18"/>
              </w:rPr>
              <w:t> 及应用推广咨询服务著作权代理服务。</w:t>
            </w:r>
          </w:p>
        </w:tc>
      </w:tr>
      <w:tr>
        <w:trPr>
          <w:trHeight w:val="391" w:hRule="exact"/>
        </w:trPr>
        <w:tc>
          <w:tcPr>
            <w:tcW w:w="6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w:t>
            </w:r>
          </w:p>
        </w:tc>
        <w:tc>
          <w:tcPr>
            <w:tcW w:w="3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湖南天舟教育科技研究有限责任公司</w:t>
            </w:r>
          </w:p>
        </w:tc>
        <w:tc>
          <w:tcPr>
            <w:tcW w:w="1860" w:type="dxa"/>
            <w:vMerge/>
            <w:tcBorders>
              <w:left w:val="single" w:sz="9" w:space="0" w:color="D2D2D2"/>
              <w:right w:val="single" w:sz="4" w:space="0" w:color="000000"/>
            </w:tcBorders>
          </w:tcPr>
          <w:p>
            <w:pPr/>
          </w:p>
        </w:tc>
        <w:tc>
          <w:tcPr>
            <w:tcW w:w="3927" w:type="dxa"/>
            <w:vMerge/>
            <w:tcBorders>
              <w:left w:val="single" w:sz="4" w:space="0" w:color="000000"/>
              <w:right w:val="single" w:sz="4" w:space="0" w:color="000000"/>
            </w:tcBorders>
          </w:tcPr>
          <w:p>
            <w:pPr/>
          </w:p>
        </w:tc>
      </w:tr>
      <w:tr>
        <w:trPr>
          <w:trHeight w:val="161" w:hRule="exact"/>
        </w:trPr>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0" w:type="dxa"/>
            <w:vMerge/>
            <w:tcBorders>
              <w:left w:val="single" w:sz="9" w:space="0" w:color="D2D2D2"/>
              <w:bottom w:val="single" w:sz="4" w:space="0" w:color="000000"/>
              <w:right w:val="single" w:sz="4" w:space="0" w:color="000000"/>
            </w:tcBorders>
          </w:tcPr>
          <w:p>
            <w:pPr/>
          </w:p>
        </w:tc>
        <w:tc>
          <w:tcPr>
            <w:tcW w:w="3927" w:type="dxa"/>
            <w:vMerge/>
            <w:tcBorders>
              <w:left w:val="single" w:sz="4" w:space="0" w:color="000000"/>
              <w:bottom w:val="single" w:sz="4" w:space="0" w:color="000000"/>
              <w:right w:val="single" w:sz="4" w:space="0" w:color="000000"/>
            </w:tcBorders>
          </w:tcPr>
          <w:p>
            <w:pPr/>
          </w:p>
        </w:tc>
      </w:tr>
      <w:tr>
        <w:trPr>
          <w:trHeight w:val="161" w:hRule="exact"/>
        </w:trPr>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w:t>
            </w:r>
          </w:p>
        </w:tc>
        <w:tc>
          <w:tcPr>
            <w:tcW w:w="392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firstLine="362"/>
              <w:jc w:val="left"/>
              <w:rPr>
                <w:rFonts w:ascii="宋体" w:hAnsi="宋体" w:cs="宋体" w:eastAsia="宋体" w:hint="default"/>
                <w:sz w:val="18"/>
                <w:szCs w:val="18"/>
              </w:rPr>
            </w:pPr>
            <w:r>
              <w:rPr>
                <w:rFonts w:ascii="宋体" w:hAnsi="宋体" w:cs="宋体" w:eastAsia="宋体" w:hint="default"/>
                <w:spacing w:val="-5"/>
                <w:sz w:val="18"/>
                <w:szCs w:val="18"/>
              </w:rPr>
              <w:t>图书、报纸、期刊批发零售；企业文化活动策</w:t>
            </w:r>
            <w:r>
              <w:rPr>
                <w:rFonts w:ascii="宋体" w:hAnsi="宋体" w:cs="宋体" w:eastAsia="宋体" w:hint="default"/>
                <w:sz w:val="18"/>
                <w:szCs w:val="18"/>
              </w:rPr>
              <w:t> 划；设计、制作、代理、发布国内外各类广告。</w:t>
            </w:r>
          </w:p>
        </w:tc>
      </w:tr>
      <w:tr>
        <w:trPr>
          <w:trHeight w:val="394" w:hRule="exact"/>
        </w:trPr>
        <w:tc>
          <w:tcPr>
            <w:tcW w:w="6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4</w:t>
            </w:r>
          </w:p>
        </w:tc>
        <w:tc>
          <w:tcPr>
            <w:tcW w:w="3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广州天瑞文化传播有限责任公司</w:t>
            </w:r>
          </w:p>
        </w:tc>
        <w:tc>
          <w:tcPr>
            <w:tcW w:w="1860" w:type="dxa"/>
            <w:vMerge/>
            <w:tcBorders>
              <w:left w:val="single" w:sz="9" w:space="0" w:color="D2D2D2"/>
              <w:right w:val="single" w:sz="4" w:space="0" w:color="000000"/>
            </w:tcBorders>
          </w:tcPr>
          <w:p>
            <w:pPr/>
          </w:p>
        </w:tc>
        <w:tc>
          <w:tcPr>
            <w:tcW w:w="3927" w:type="dxa"/>
            <w:vMerge/>
            <w:tcBorders>
              <w:left w:val="single" w:sz="4" w:space="0" w:color="000000"/>
              <w:right w:val="single" w:sz="4" w:space="0" w:color="000000"/>
            </w:tcBorders>
          </w:tcPr>
          <w:p>
            <w:pPr/>
          </w:p>
        </w:tc>
      </w:tr>
      <w:tr>
        <w:trPr>
          <w:trHeight w:val="161" w:hRule="exact"/>
        </w:trPr>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0" w:type="dxa"/>
            <w:vMerge/>
            <w:tcBorders>
              <w:left w:val="single" w:sz="9" w:space="0" w:color="D2D2D2"/>
              <w:bottom w:val="single" w:sz="4" w:space="0" w:color="000000"/>
              <w:right w:val="single" w:sz="4" w:space="0" w:color="000000"/>
            </w:tcBorders>
          </w:tcPr>
          <w:p>
            <w:pPr/>
          </w:p>
        </w:tc>
        <w:tc>
          <w:tcPr>
            <w:tcW w:w="3927"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999" w:top="1100" w:bottom="1180" w:left="9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ind w:left="0" w:right="101"/>
        <w:jc w:val="right"/>
      </w:pPr>
      <w:r>
        <w:rPr/>
        <w:pict>
          <v:shape style="position:absolute;margin-left:53.040001pt;margin-top:-58.748306pt;width:489.5pt;height:147.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1"/>
                    <w:gridCol w:w="3346"/>
                    <w:gridCol w:w="1860"/>
                    <w:gridCol w:w="3927"/>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5</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5"/>
                          <w:jc w:val="right"/>
                          <w:rPr>
                            <w:rFonts w:ascii="Times New Roman" w:hAnsi="Times New Roman" w:cs="Times New Roman" w:eastAsia="Times New Roman" w:hint="default"/>
                            <w:sz w:val="18"/>
                            <w:szCs w:val="18"/>
                          </w:rPr>
                        </w:pPr>
                        <w:r>
                          <w:rPr>
                            <w:rFonts w:ascii="Times New Roman"/>
                            <w:sz w:val="18"/>
                          </w:rPr>
                          <w:t>500</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pacing w:val="-1"/>
                            <w:sz w:val="18"/>
                            <w:szCs w:val="18"/>
                          </w:rPr>
                          <w:t>文化用品、办公设备的销售；书报刊批发。</w:t>
                        </w:r>
                      </w:p>
                    </w:tc>
                  </w:tr>
                  <w:tr>
                    <w:trPr>
                      <w:trHeight w:val="714"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6</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浙江天舟图书有限责任公司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5"/>
                          <w:jc w:val="right"/>
                          <w:rPr>
                            <w:rFonts w:ascii="Times New Roman" w:hAnsi="Times New Roman" w:cs="Times New Roman" w:eastAsia="Times New Roman" w:hint="default"/>
                            <w:sz w:val="18"/>
                            <w:szCs w:val="18"/>
                          </w:rPr>
                        </w:pPr>
                        <w:r>
                          <w:rPr>
                            <w:rFonts w:ascii="Times New Roman"/>
                            <w:sz w:val="18"/>
                          </w:rPr>
                          <w:t>500</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22" w:firstLine="362"/>
                          <w:jc w:val="left"/>
                          <w:rPr>
                            <w:rFonts w:ascii="宋体" w:hAnsi="宋体" w:cs="宋体" w:eastAsia="宋体" w:hint="default"/>
                            <w:sz w:val="18"/>
                            <w:szCs w:val="18"/>
                          </w:rPr>
                        </w:pPr>
                        <w:r>
                          <w:rPr>
                            <w:rFonts w:ascii="宋体" w:hAnsi="宋体" w:cs="宋体" w:eastAsia="宋体" w:hint="default"/>
                            <w:spacing w:val="-5"/>
                            <w:sz w:val="18"/>
                            <w:szCs w:val="18"/>
                          </w:rPr>
                          <w:t>图书、报刊、电子出版物的批发和零售；图文</w:t>
                        </w:r>
                        <w:r>
                          <w:rPr>
                            <w:rFonts w:ascii="宋体" w:hAnsi="宋体" w:cs="宋体" w:eastAsia="宋体" w:hint="default"/>
                            <w:sz w:val="18"/>
                            <w:szCs w:val="18"/>
                          </w:rPr>
                          <w:t> 设计、制作；教育信息咨询。</w:t>
                        </w:r>
                      </w:p>
                    </w:tc>
                  </w:tr>
                  <w:tr>
                    <w:trPr>
                      <w:trHeight w:val="713"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7</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北京永载文化有限责任公司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5"/>
                          <w:jc w:val="right"/>
                          <w:rPr>
                            <w:rFonts w:ascii="Times New Roman" w:hAnsi="Times New Roman" w:cs="Times New Roman" w:eastAsia="Times New Roman" w:hint="default"/>
                            <w:sz w:val="18"/>
                            <w:szCs w:val="18"/>
                          </w:rPr>
                        </w:pPr>
                        <w:r>
                          <w:rPr>
                            <w:rFonts w:ascii="Times New Roman"/>
                            <w:sz w:val="18"/>
                          </w:rPr>
                          <w:t>500</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firstLine="362"/>
                          <w:jc w:val="left"/>
                          <w:rPr>
                            <w:rFonts w:ascii="宋体" w:hAnsi="宋体" w:cs="宋体" w:eastAsia="宋体" w:hint="default"/>
                            <w:sz w:val="18"/>
                            <w:szCs w:val="18"/>
                          </w:rPr>
                        </w:pPr>
                        <w:r>
                          <w:rPr>
                            <w:rFonts w:ascii="宋体" w:hAnsi="宋体" w:cs="宋体" w:eastAsia="宋体" w:hint="default"/>
                            <w:spacing w:val="-10"/>
                            <w:sz w:val="18"/>
                            <w:szCs w:val="18"/>
                          </w:rPr>
                          <w:t>图书、报刊、电子出版物的批发和零售；设计</w:t>
                        </w:r>
                        <w:r>
                          <w:rPr>
                            <w:rFonts w:ascii="宋体" w:hAnsi="宋体" w:cs="宋体" w:eastAsia="宋体" w:hint="default"/>
                            <w:sz w:val="18"/>
                            <w:szCs w:val="18"/>
                          </w:rPr>
                          <w:t> 制作、代理、发布广告；应用软件服务。</w:t>
                        </w:r>
                      </w:p>
                    </w:tc>
                  </w:tr>
                  <w:tr>
                    <w:trPr>
                      <w:trHeight w:val="715"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8</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北京东方天舟教育科技有限责任公司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41"/>
                          <w:jc w:val="right"/>
                          <w:rPr>
                            <w:rFonts w:ascii="Times New Roman" w:hAnsi="Times New Roman" w:cs="Times New Roman" w:eastAsia="Times New Roman" w:hint="default"/>
                            <w:sz w:val="18"/>
                            <w:szCs w:val="18"/>
                          </w:rPr>
                        </w:pPr>
                        <w:r>
                          <w:rPr>
                            <w:rFonts w:ascii="Times New Roman"/>
                            <w:sz w:val="18"/>
                          </w:rPr>
                          <w:t>2000</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firstLine="362"/>
                          <w:jc w:val="left"/>
                          <w:rPr>
                            <w:rFonts w:ascii="宋体" w:hAnsi="宋体" w:cs="宋体" w:eastAsia="宋体" w:hint="default"/>
                            <w:sz w:val="18"/>
                            <w:szCs w:val="18"/>
                          </w:rPr>
                        </w:pPr>
                        <w:r>
                          <w:rPr>
                            <w:rFonts w:ascii="宋体" w:hAnsi="宋体" w:cs="宋体" w:eastAsia="宋体" w:hint="default"/>
                            <w:spacing w:val="-10"/>
                            <w:sz w:val="18"/>
                            <w:szCs w:val="18"/>
                          </w:rPr>
                          <w:t>技术开发；技术推广及咨询；教育咨询；音乐</w:t>
                        </w:r>
                        <w:r>
                          <w:rPr>
                            <w:rFonts w:ascii="宋体" w:hAnsi="宋体" w:cs="宋体" w:eastAsia="宋体" w:hint="default"/>
                            <w:sz w:val="18"/>
                            <w:szCs w:val="18"/>
                          </w:rPr>
                          <w:t> 舞蹈培训。</w:t>
                        </w:r>
                      </w:p>
                    </w:tc>
                  </w:tr>
                  <w:tr>
                    <w:trPr>
                      <w:trHeight w:val="403"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9</w:t>
                        </w:r>
                      </w:p>
                    </w:tc>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云上森林信息技术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5"/>
                          <w:jc w:val="right"/>
                          <w:rPr>
                            <w:rFonts w:ascii="Times New Roman" w:hAnsi="Times New Roman" w:cs="Times New Roman" w:eastAsia="Times New Roman" w:hint="default"/>
                            <w:sz w:val="18"/>
                            <w:szCs w:val="18"/>
                          </w:rPr>
                        </w:pPr>
                        <w:r>
                          <w:rPr>
                            <w:rFonts w:ascii="Times New Roman"/>
                            <w:sz w:val="18"/>
                          </w:rPr>
                          <w:t>300</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技术服务和咨询；计算机系统服务；计算机销售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01"/>
        <w:jc w:val="right"/>
      </w:pP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02"/>
        <w:jc w:val="right"/>
      </w:pP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193" w:right="5558"/>
        <w:jc w:val="left"/>
      </w:pPr>
      <w:r>
        <w:rPr/>
        <w:t>续上表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640"/>
        <w:gridCol w:w="3139"/>
        <w:gridCol w:w="1355"/>
        <w:gridCol w:w="1399"/>
        <w:gridCol w:w="1681"/>
        <w:gridCol w:w="1541"/>
      </w:tblGrid>
      <w:tr>
        <w:trPr>
          <w:trHeight w:val="206" w:hRule="exact"/>
        </w:trPr>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3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2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5" w:hRule="exact"/>
        </w:trPr>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39" w:type="dxa"/>
            <w:vMerge w:val="restart"/>
            <w:tcBorders>
              <w:top w:val="nil" w:sz="6" w:space="0" w:color="auto"/>
              <w:left w:val="single" w:sz="4" w:space="0" w:color="000000"/>
              <w:right w:val="single" w:sz="10" w:space="0" w:color="D9D9D9"/>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54" w:type="dxa"/>
            <w:gridSpan w:val="2"/>
            <w:vMerge/>
            <w:tcBorders>
              <w:left w:val="single" w:sz="4" w:space="0" w:color="000000"/>
              <w:bottom w:val="single" w:sz="4" w:space="0" w:color="000000"/>
              <w:right w:val="single" w:sz="4" w:space="0" w:color="000000"/>
            </w:tcBorders>
            <w:shd w:val="clear" w:color="auto" w:fill="D2D2D2"/>
          </w:tcPr>
          <w:p>
            <w:pPr/>
          </w:p>
        </w:tc>
        <w:tc>
          <w:tcPr>
            <w:tcW w:w="322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640" w:type="dxa"/>
            <w:vMerge/>
            <w:tcBorders>
              <w:left w:val="single" w:sz="4" w:space="0" w:color="000000"/>
              <w:bottom w:val="nil" w:sz="6" w:space="0" w:color="auto"/>
              <w:right w:val="single" w:sz="4" w:space="0" w:color="000000"/>
            </w:tcBorders>
            <w:shd w:val="clear" w:color="auto" w:fill="D2D2D2"/>
          </w:tcPr>
          <w:p>
            <w:pPr/>
          </w:p>
        </w:tc>
        <w:tc>
          <w:tcPr>
            <w:tcW w:w="3139" w:type="dxa"/>
            <w:vMerge/>
            <w:tcBorders>
              <w:left w:val="single" w:sz="4" w:space="0" w:color="000000"/>
              <w:bottom w:val="nil" w:sz="6" w:space="0" w:color="auto"/>
              <w:right w:val="single" w:sz="10" w:space="0" w:color="D9D9D9"/>
            </w:tcBorders>
            <w:shd w:val="clear" w:color="auto" w:fill="D2D2D2"/>
          </w:tcPr>
          <w:p>
            <w:pPr/>
          </w:p>
        </w:tc>
        <w:tc>
          <w:tcPr>
            <w:tcW w:w="1355"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39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较上年增减</w:t>
            </w:r>
            <w:r>
              <w:rPr>
                <w:rFonts w:ascii="Times New Roman" w:hAnsi="Times New Roman" w:cs="Times New Roman" w:eastAsia="Times New Roman" w:hint="default"/>
                <w:sz w:val="18"/>
                <w:szCs w:val="18"/>
              </w:rPr>
              <w:t>(%)</w:t>
            </w:r>
          </w:p>
        </w:tc>
        <w:tc>
          <w:tcPr>
            <w:tcW w:w="16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54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较上年增减</w:t>
            </w:r>
            <w:r>
              <w:rPr>
                <w:rFonts w:ascii="Times New Roman" w:hAnsi="Times New Roman" w:cs="Times New Roman" w:eastAsia="Times New Roman" w:hint="default"/>
                <w:sz w:val="18"/>
                <w:szCs w:val="18"/>
              </w:rPr>
              <w:t>(%)</w:t>
            </w:r>
          </w:p>
        </w:tc>
      </w:tr>
      <w:tr>
        <w:trPr>
          <w:trHeight w:val="206" w:hRule="exact"/>
        </w:trPr>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39" w:type="dxa"/>
            <w:tcBorders>
              <w:top w:val="nil" w:sz="6" w:space="0" w:color="auto"/>
              <w:left w:val="single" w:sz="4" w:space="0" w:color="000000"/>
              <w:bottom w:val="single" w:sz="4" w:space="0" w:color="000000"/>
              <w:right w:val="single" w:sz="13" w:space="0" w:color="D9D9D9"/>
            </w:tcBorders>
            <w:shd w:val="clear" w:color="auto" w:fill="D2D2D2"/>
          </w:tcPr>
          <w:p>
            <w:pPr/>
          </w:p>
        </w:tc>
        <w:tc>
          <w:tcPr>
            <w:tcW w:w="1355" w:type="dxa"/>
            <w:vMerge/>
            <w:tcBorders>
              <w:left w:val="single" w:sz="9" w:space="0" w:color="D2D2D2"/>
              <w:bottom w:val="single" w:sz="4" w:space="0" w:color="000000"/>
              <w:right w:val="single" w:sz="4" w:space="0" w:color="000000"/>
            </w:tcBorders>
            <w:shd w:val="clear" w:color="auto" w:fill="D9D9D9"/>
          </w:tcPr>
          <w:p>
            <w:pPr/>
          </w:p>
        </w:tc>
        <w:tc>
          <w:tcPr>
            <w:tcW w:w="1399" w:type="dxa"/>
            <w:vMerge/>
            <w:tcBorders>
              <w:left w:val="single" w:sz="4" w:space="0" w:color="000000"/>
              <w:bottom w:val="single" w:sz="4" w:space="0" w:color="000000"/>
              <w:right w:val="single" w:sz="4" w:space="0" w:color="000000"/>
            </w:tcBorders>
            <w:shd w:val="clear" w:color="auto" w:fill="D9D9D9"/>
          </w:tcPr>
          <w:p>
            <w:pPr/>
          </w:p>
        </w:tc>
        <w:tc>
          <w:tcPr>
            <w:tcW w:w="1681" w:type="dxa"/>
            <w:vMerge/>
            <w:tcBorders>
              <w:left w:val="single" w:sz="4" w:space="0" w:color="000000"/>
              <w:bottom w:val="single" w:sz="4" w:space="0" w:color="000000"/>
              <w:right w:val="single" w:sz="4" w:space="0" w:color="000000"/>
            </w:tcBorders>
            <w:shd w:val="clear" w:color="auto" w:fill="D9D9D9"/>
          </w:tcPr>
          <w:p>
            <w:pPr/>
          </w:p>
        </w:tc>
        <w:tc>
          <w:tcPr>
            <w:tcW w:w="1541"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1</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50,631,738.93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-245,540.03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-111.91%</w:t>
            </w:r>
          </w:p>
        </w:tc>
      </w:tr>
      <w:tr>
        <w:trPr>
          <w:trHeight w:val="403"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4,228,253.84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-287,292.28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84.02%</w:t>
            </w:r>
          </w:p>
        </w:tc>
      </w:tr>
      <w:tr>
        <w:trPr>
          <w:trHeight w:val="401"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3</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湖南天舟教育科技研究有限责任公司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6,989,982.43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442,137.04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-29.87%</w:t>
            </w:r>
          </w:p>
        </w:tc>
      </w:tr>
      <w:tr>
        <w:trPr>
          <w:trHeight w:val="403"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4</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广州天瑞文化传播有限责任公司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6,872,790.17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308,017.22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w:t>
            </w:r>
          </w:p>
        </w:tc>
      </w:tr>
      <w:tr>
        <w:trPr>
          <w:trHeight w:val="401"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5</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31,410,784.19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-27,495.43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-104.32%</w:t>
            </w:r>
          </w:p>
        </w:tc>
      </w:tr>
      <w:tr>
        <w:trPr>
          <w:trHeight w:val="403"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6</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浙江天舟图书有限责任公司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2,943,444.20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-243,276.71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69.63%</w:t>
            </w:r>
          </w:p>
        </w:tc>
      </w:tr>
      <w:tr>
        <w:trPr>
          <w:trHeight w:val="401"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7</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北京永载文化有限责任公司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22,574,598.10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3,097,896.48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1000.92%</w:t>
            </w:r>
          </w:p>
        </w:tc>
      </w:tr>
      <w:tr>
        <w:trPr>
          <w:trHeight w:val="404"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8</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北京东方天舟教育科技有限责任公司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2,823,050.23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-5,310,557.02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r>
      <w:tr>
        <w:trPr>
          <w:trHeight w:val="401"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9</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云上森林信息技术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13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-979,627.41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193" w:right="5558"/>
        <w:jc w:val="left"/>
      </w:pPr>
      <w:r>
        <w:rPr/>
        <w:t>续上表</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650"/>
        <w:gridCol w:w="3105"/>
        <w:gridCol w:w="1361"/>
        <w:gridCol w:w="1394"/>
        <w:gridCol w:w="1666"/>
        <w:gridCol w:w="1625"/>
      </w:tblGrid>
      <w:tr>
        <w:trPr>
          <w:trHeight w:val="206" w:hRule="exact"/>
        </w:trPr>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32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6" w:hRule="exact"/>
        </w:trPr>
        <w:tc>
          <w:tcPr>
            <w:tcW w:w="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56" w:type="dxa"/>
            <w:gridSpan w:val="2"/>
            <w:vMerge/>
            <w:tcBorders>
              <w:left w:val="single" w:sz="4" w:space="0" w:color="000000"/>
              <w:bottom w:val="single" w:sz="4" w:space="0" w:color="000000"/>
              <w:right w:val="single" w:sz="4" w:space="0" w:color="000000"/>
            </w:tcBorders>
            <w:shd w:val="clear" w:color="auto" w:fill="D2D2D2"/>
          </w:tcPr>
          <w:p>
            <w:pPr/>
          </w:p>
        </w:tc>
        <w:tc>
          <w:tcPr>
            <w:tcW w:w="329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650" w:type="dxa"/>
            <w:vMerge/>
            <w:tcBorders>
              <w:left w:val="single" w:sz="4" w:space="0" w:color="000000"/>
              <w:bottom w:val="nil" w:sz="6" w:space="0" w:color="auto"/>
              <w:right w:val="single" w:sz="4" w:space="0" w:color="000000"/>
            </w:tcBorders>
            <w:shd w:val="clear" w:color="auto" w:fill="D2D2D2"/>
          </w:tcPr>
          <w:p>
            <w:pPr/>
          </w:p>
        </w:tc>
        <w:tc>
          <w:tcPr>
            <w:tcW w:w="3105"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50"/>
              <w:ind w:left="314" w:right="0"/>
              <w:jc w:val="left"/>
              <w:rPr>
                <w:rFonts w:ascii="宋体" w:hAnsi="宋体" w:cs="宋体" w:eastAsia="宋体" w:hint="default"/>
                <w:sz w:val="18"/>
                <w:szCs w:val="18"/>
              </w:rPr>
            </w:pPr>
            <w:r>
              <w:rPr>
                <w:rFonts w:ascii="宋体" w:hAnsi="宋体" w:cs="宋体" w:eastAsia="宋体" w:hint="default"/>
                <w:sz w:val="18"/>
                <w:szCs w:val="18"/>
              </w:rPr>
              <w:t>期末数据</w:t>
            </w:r>
          </w:p>
        </w:tc>
        <w:tc>
          <w:tcPr>
            <w:tcW w:w="13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较上年增减</w:t>
            </w:r>
            <w:r>
              <w:rPr>
                <w:rFonts w:ascii="Times New Roman" w:hAnsi="Times New Roman" w:cs="Times New Roman" w:eastAsia="Times New Roman" w:hint="default"/>
                <w:sz w:val="18"/>
                <w:szCs w:val="18"/>
              </w:rPr>
              <w:t>(%)</w:t>
            </w:r>
          </w:p>
        </w:tc>
        <w:tc>
          <w:tcPr>
            <w:tcW w:w="16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期末数据</w:t>
            </w:r>
          </w:p>
        </w:tc>
        <w:tc>
          <w:tcPr>
            <w:tcW w:w="162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较上年增减</w:t>
            </w:r>
            <w:r>
              <w:rPr>
                <w:rFonts w:ascii="Times New Roman" w:hAnsi="Times New Roman" w:cs="Times New Roman" w:eastAsia="Times New Roman" w:hint="default"/>
                <w:sz w:val="18"/>
                <w:szCs w:val="18"/>
              </w:rPr>
              <w:t>(%)</w:t>
            </w:r>
          </w:p>
        </w:tc>
      </w:tr>
      <w:tr>
        <w:trPr>
          <w:trHeight w:val="206" w:hRule="exact"/>
        </w:trPr>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vMerge/>
            <w:tcBorders>
              <w:left w:val="single" w:sz="10" w:space="0" w:color="D2D2D2"/>
              <w:bottom w:val="single" w:sz="4" w:space="0" w:color="000000"/>
              <w:right w:val="single" w:sz="4" w:space="0" w:color="000000"/>
            </w:tcBorders>
            <w:shd w:val="clear" w:color="auto" w:fill="D9D9D9"/>
          </w:tcPr>
          <w:p>
            <w:pPr/>
          </w:p>
        </w:tc>
        <w:tc>
          <w:tcPr>
            <w:tcW w:w="1394" w:type="dxa"/>
            <w:vMerge/>
            <w:tcBorders>
              <w:left w:val="single" w:sz="4" w:space="0" w:color="000000"/>
              <w:bottom w:val="single" w:sz="4" w:space="0" w:color="000000"/>
              <w:right w:val="single" w:sz="4" w:space="0" w:color="000000"/>
            </w:tcBorders>
            <w:shd w:val="clear" w:color="auto" w:fill="D9D9D9"/>
          </w:tcPr>
          <w:p>
            <w:pPr/>
          </w:p>
        </w:tc>
        <w:tc>
          <w:tcPr>
            <w:tcW w:w="1666" w:type="dxa"/>
            <w:vMerge/>
            <w:tcBorders>
              <w:left w:val="single" w:sz="4" w:space="0" w:color="000000"/>
              <w:bottom w:val="single" w:sz="4" w:space="0" w:color="000000"/>
              <w:right w:val="single" w:sz="4" w:space="0" w:color="000000"/>
            </w:tcBorders>
            <w:shd w:val="clear" w:color="auto" w:fill="D9D9D9"/>
          </w:tcPr>
          <w:p>
            <w:pPr/>
          </w:p>
        </w:tc>
        <w:tc>
          <w:tcPr>
            <w:tcW w:w="1625"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1</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58,040,770.25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11.32%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2"/>
                <w:szCs w:val="22"/>
              </w:rPr>
            </w:pPr>
            <w:r>
              <w:rPr>
                <w:rFonts w:ascii="Times New Roman"/>
                <w:spacing w:val="-1"/>
                <w:sz w:val="22"/>
              </w:rPr>
              <w:t>48,254,711.59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8"/>
              <w:jc w:val="right"/>
              <w:rPr>
                <w:rFonts w:ascii="Times New Roman" w:hAnsi="Times New Roman" w:cs="Times New Roman" w:eastAsia="Times New Roman" w:hint="default"/>
                <w:sz w:val="18"/>
                <w:szCs w:val="18"/>
              </w:rPr>
            </w:pPr>
            <w:r>
              <w:rPr>
                <w:rFonts w:ascii="Times New Roman"/>
                <w:sz w:val="18"/>
              </w:rPr>
              <w:t>2</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3,109,798.27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-17.22%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2"/>
                <w:szCs w:val="22"/>
              </w:rPr>
            </w:pPr>
            <w:r>
              <w:rPr>
                <w:rFonts w:ascii="Times New Roman"/>
                <w:spacing w:val="-1"/>
                <w:sz w:val="22"/>
              </w:rPr>
              <w:t>2,053,421.01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-12.27%</w:t>
            </w: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3</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湖南天舟教育科技研究有限责任公司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13,017,029.70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2"/>
                <w:szCs w:val="22"/>
              </w:rPr>
            </w:pPr>
            <w:r>
              <w:rPr>
                <w:rFonts w:ascii="Times New Roman"/>
                <w:spacing w:val="-1"/>
                <w:sz w:val="22"/>
              </w:rPr>
              <w:t>12,669,324.62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3.62%</w:t>
            </w:r>
          </w:p>
        </w:tc>
      </w:tr>
      <w:tr>
        <w:trPr>
          <w:trHeight w:val="403"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78"/>
              <w:jc w:val="right"/>
              <w:rPr>
                <w:rFonts w:ascii="Times New Roman" w:hAnsi="Times New Roman" w:cs="Times New Roman" w:eastAsia="Times New Roman" w:hint="default"/>
                <w:sz w:val="18"/>
                <w:szCs w:val="18"/>
              </w:rPr>
            </w:pPr>
            <w:r>
              <w:rPr>
                <w:rFonts w:ascii="Times New Roman"/>
                <w:sz w:val="18"/>
              </w:rPr>
              <w:t>4</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广州天瑞文化传播有限责任公司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5,414,010.15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41.44%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2"/>
                <w:szCs w:val="22"/>
              </w:rPr>
            </w:pPr>
            <w:r>
              <w:rPr>
                <w:rFonts w:ascii="Times New Roman"/>
                <w:spacing w:val="-1"/>
                <w:sz w:val="22"/>
              </w:rPr>
              <w:t>3,898,128.40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5</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15,172,888.29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46.93%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2"/>
                <w:szCs w:val="22"/>
              </w:rPr>
            </w:pPr>
            <w:r>
              <w:rPr>
                <w:rFonts w:ascii="Times New Roman"/>
                <w:spacing w:val="-1"/>
                <w:sz w:val="22"/>
              </w:rPr>
              <w:t>6,701,819.37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145.55%</w:t>
            </w: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8"/>
              <w:jc w:val="right"/>
              <w:rPr>
                <w:rFonts w:ascii="Times New Roman" w:hAnsi="Times New Roman" w:cs="Times New Roman" w:eastAsia="Times New Roman" w:hint="default"/>
                <w:sz w:val="18"/>
                <w:szCs w:val="18"/>
              </w:rPr>
            </w:pPr>
            <w:r>
              <w:rPr>
                <w:rFonts w:ascii="Times New Roman"/>
                <w:sz w:val="18"/>
              </w:rPr>
              <w:t>6</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浙江天舟图书有限责任公司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4,138,295.11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2"/>
                <w:szCs w:val="22"/>
              </w:rPr>
            </w:pPr>
            <w:r>
              <w:rPr>
                <w:rFonts w:ascii="Times New Roman"/>
                <w:spacing w:val="-1"/>
                <w:sz w:val="22"/>
              </w:rPr>
              <w:t>3,955,734.07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7</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北京永载文化有限责任公司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15,084,169.35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211.42%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2"/>
                <w:szCs w:val="22"/>
              </w:rPr>
            </w:pPr>
            <w:r>
              <w:rPr>
                <w:rFonts w:ascii="Times New Roman"/>
                <w:spacing w:val="-1"/>
                <w:sz w:val="22"/>
              </w:rPr>
              <w:t>7,754,038.83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66.53%</w:t>
            </w:r>
          </w:p>
        </w:tc>
      </w:tr>
      <w:tr>
        <w:trPr>
          <w:trHeight w:val="402"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8"/>
              <w:jc w:val="right"/>
              <w:rPr>
                <w:rFonts w:ascii="Times New Roman" w:hAnsi="Times New Roman" w:cs="Times New Roman" w:eastAsia="Times New Roman" w:hint="default"/>
                <w:sz w:val="18"/>
                <w:szCs w:val="18"/>
              </w:rPr>
            </w:pPr>
            <w:r>
              <w:rPr>
                <w:rFonts w:ascii="Times New Roman"/>
                <w:sz w:val="18"/>
              </w:rPr>
              <w:t>8</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北京东方天舟教育科技有限责任公司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11,249,775.51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2"/>
                <w:szCs w:val="22"/>
              </w:rPr>
            </w:pPr>
            <w:r>
              <w:rPr>
                <w:rFonts w:ascii="Times New Roman"/>
                <w:spacing w:val="-1"/>
                <w:sz w:val="22"/>
              </w:rPr>
              <w:t>10,189,442.98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r>
        <w:trPr>
          <w:trHeight w:val="403" w:hRule="exact"/>
        </w:trPr>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9</w:t>
            </w:r>
          </w:p>
        </w:tc>
        <w:tc>
          <w:tcPr>
            <w:tcW w:w="3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云上森林信息技术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13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2,153,744.79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2"/>
                <w:szCs w:val="22"/>
              </w:rPr>
            </w:pPr>
            <w:r>
              <w:rPr>
                <w:rFonts w:ascii="Times New Roman"/>
                <w:spacing w:val="-1"/>
                <w:sz w:val="22"/>
              </w:rPr>
              <w:t>2,020,372.59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918" w:footer="999" w:top="1100" w:bottom="1180" w:left="940" w:right="900"/>
        </w:sectPr>
      </w:pPr>
    </w:p>
    <w:p>
      <w:pPr>
        <w:spacing w:line="240" w:lineRule="auto" w:before="11"/>
        <w:rPr>
          <w:rFonts w:ascii="宋体" w:hAnsi="宋体" w:cs="宋体" w:eastAsia="宋体" w:hint="default"/>
          <w:sz w:val="21"/>
          <w:szCs w:val="21"/>
        </w:rPr>
      </w:pPr>
    </w:p>
    <w:p>
      <w:pPr>
        <w:pStyle w:val="BodyText"/>
        <w:spacing w:line="300" w:lineRule="auto" w:before="44"/>
        <w:ind w:right="217" w:firstLine="360"/>
        <w:jc w:val="left"/>
      </w:pPr>
      <w:r>
        <w:rPr>
          <w:rFonts w:ascii="Times New Roman" w:hAnsi="Times New Roman" w:cs="Times New Roman" w:eastAsia="Times New Roman" w:hint="default"/>
        </w:rPr>
        <w:t>1.</w:t>
      </w:r>
      <w:r>
        <w:rPr/>
        <w:t>湖南天舟华文俪制传媒有限责任公司营业收入增加</w:t>
      </w:r>
      <w:r>
        <w:rPr>
          <w:spacing w:val="-61"/>
        </w:rPr>
        <w:t> </w:t>
      </w:r>
      <w:r>
        <w:rPr>
          <w:rFonts w:ascii="Times New Roman" w:hAnsi="Times New Roman" w:cs="Times New Roman" w:eastAsia="Times New Roman" w:hint="default"/>
          <w:spacing w:val="-3"/>
        </w:rPr>
        <w:t>55.65%</w:t>
      </w:r>
      <w:r>
        <w:rPr>
          <w:spacing w:val="-3"/>
        </w:rPr>
        <w:t>，净利润减少</w:t>
      </w:r>
      <w:r>
        <w:rPr>
          <w:spacing w:val="-62"/>
        </w:rPr>
        <w:t> </w:t>
      </w:r>
      <w:r>
        <w:rPr>
          <w:rFonts w:ascii="Times New Roman" w:hAnsi="Times New Roman" w:cs="Times New Roman" w:eastAsia="Times New Roman" w:hint="default"/>
        </w:rPr>
        <w:t>111.91%</w:t>
      </w:r>
      <w:r>
        <w:rPr/>
        <w:t>，主要是因为公司外购图书实现的销 </w:t>
      </w:r>
      <w:r>
        <w:rPr>
          <w:spacing w:val="-3"/>
        </w:rPr>
        <w:t>售收入占比增加，而毛利率比自行策划图书低，直接导致了净利润减少，。</w:t>
      </w:r>
    </w:p>
    <w:p>
      <w:pPr>
        <w:pStyle w:val="BodyText"/>
        <w:spacing w:line="300" w:lineRule="auto" w:before="72"/>
        <w:ind w:right="95" w:firstLine="360"/>
        <w:jc w:val="left"/>
      </w:pPr>
      <w:r>
        <w:rPr>
          <w:rFonts w:ascii="Times New Roman" w:hAnsi="Times New Roman" w:cs="Times New Roman" w:eastAsia="Times New Roman" w:hint="default"/>
        </w:rPr>
        <w:t>2.</w:t>
      </w:r>
      <w:r>
        <w:rPr/>
        <w:t>北京北方天舟文化有限责任公司营业收入增加 </w:t>
      </w:r>
      <w:r>
        <w:rPr>
          <w:rFonts w:ascii="Times New Roman" w:hAnsi="Times New Roman" w:cs="Times New Roman" w:eastAsia="Times New Roman" w:hint="default"/>
        </w:rPr>
        <w:t>189 </w:t>
      </w:r>
      <w:r>
        <w:rPr/>
        <w:t>万元，增长</w:t>
      </w:r>
      <w:r>
        <w:rPr>
          <w:spacing w:val="-57"/>
        </w:rPr>
        <w:t> </w:t>
      </w:r>
      <w:r>
        <w:rPr>
          <w:rFonts w:ascii="Times New Roman" w:hAnsi="Times New Roman" w:cs="Times New Roman" w:eastAsia="Times New Roman" w:hint="default"/>
        </w:rPr>
        <w:t>80.71%</w:t>
      </w:r>
      <w:r>
        <w:rPr/>
        <w:t>，主要是扩大了销售渠道增加了收入，净利润 的增长是因为收入的增长而相应增长。</w:t>
      </w:r>
    </w:p>
    <w:p>
      <w:pPr>
        <w:pStyle w:val="BodyText"/>
        <w:spacing w:line="300" w:lineRule="auto" w:before="70"/>
        <w:ind w:right="224" w:firstLine="360"/>
        <w:jc w:val="left"/>
      </w:pPr>
      <w:r>
        <w:rPr>
          <w:rFonts w:ascii="Times New Roman" w:hAnsi="Times New Roman" w:cs="Times New Roman" w:eastAsia="Times New Roman" w:hint="default"/>
        </w:rPr>
        <w:t>3.</w:t>
      </w:r>
      <w:r>
        <w:rPr/>
        <w:t>怀化天舟教育有限责任公司营业收入减少，净利润减少 </w:t>
      </w:r>
      <w:r>
        <w:rPr>
          <w:rFonts w:ascii="Times New Roman" w:hAnsi="Times New Roman" w:cs="Times New Roman" w:eastAsia="Times New Roman" w:hint="default"/>
        </w:rPr>
        <w:t>104.32%</w:t>
      </w:r>
      <w:r>
        <w:rPr/>
        <w:t>，主要是因为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年业务发生变化，劳务成本支出 增加，导致毛利率减少，</w:t>
      </w:r>
    </w:p>
    <w:p>
      <w:pPr>
        <w:pStyle w:val="BodyText"/>
        <w:spacing w:line="300" w:lineRule="auto" w:before="72"/>
        <w:ind w:right="95" w:firstLine="360"/>
        <w:jc w:val="left"/>
      </w:pPr>
      <w:r>
        <w:rPr>
          <w:rFonts w:ascii="Times New Roman" w:hAnsi="Times New Roman" w:cs="Times New Roman" w:eastAsia="Times New Roman" w:hint="default"/>
        </w:rPr>
        <w:t>4.</w:t>
      </w:r>
      <w:r>
        <w:rPr/>
        <w:t>浙江天舟图书有限责任公司营业收入增加 </w:t>
      </w:r>
      <w:r>
        <w:rPr>
          <w:rFonts w:ascii="Times New Roman" w:hAnsi="Times New Roman" w:cs="Times New Roman" w:eastAsia="Times New Roman" w:hint="default"/>
        </w:rPr>
        <w:t>250 </w:t>
      </w:r>
      <w:r>
        <w:rPr/>
        <w:t>万元，增长</w:t>
      </w:r>
      <w:r>
        <w:rPr>
          <w:spacing w:val="-55"/>
        </w:rPr>
        <w:t> </w:t>
      </w:r>
      <w:r>
        <w:rPr>
          <w:rFonts w:ascii="Times New Roman" w:hAnsi="Times New Roman" w:cs="Times New Roman" w:eastAsia="Times New Roman" w:hint="default"/>
        </w:rPr>
        <w:t>592.1%</w:t>
      </w:r>
      <w:r>
        <w:rPr/>
        <w:t>，主要是因为公司不断增强策划能力，新增图书品 种，扩大销售，净利的增长是因收入的增加而增加。</w:t>
      </w:r>
    </w:p>
    <w:p>
      <w:pPr>
        <w:pStyle w:val="BodyText"/>
        <w:spacing w:line="240" w:lineRule="auto" w:before="72"/>
        <w:ind w:left="513" w:right="253"/>
        <w:jc w:val="left"/>
      </w:pPr>
      <w:r>
        <w:rPr>
          <w:rFonts w:ascii="Times New Roman" w:hAnsi="Times New Roman" w:cs="Times New Roman" w:eastAsia="Times New Roman" w:hint="default"/>
        </w:rPr>
        <w:t>5.</w:t>
      </w:r>
      <w:r>
        <w:rPr/>
        <w:t>怀化天舟教育有限责任公司资产增长</w:t>
      </w:r>
      <w:r>
        <w:rPr>
          <w:spacing w:val="-45"/>
        </w:rPr>
        <w:t> </w:t>
      </w:r>
      <w:r>
        <w:rPr>
          <w:rFonts w:ascii="Times New Roman" w:hAnsi="Times New Roman" w:cs="Times New Roman" w:eastAsia="Times New Roman" w:hint="default"/>
        </w:rPr>
        <w:t>46.93%</w:t>
      </w:r>
      <w:r>
        <w:rPr/>
        <w:t>，净资产增长</w:t>
      </w:r>
      <w:r>
        <w:rPr>
          <w:spacing w:val="-48"/>
        </w:rPr>
        <w:t> </w:t>
      </w:r>
      <w:r>
        <w:rPr>
          <w:rFonts w:ascii="Times New Roman" w:hAnsi="Times New Roman" w:cs="Times New Roman" w:eastAsia="Times New Roman" w:hint="default"/>
        </w:rPr>
        <w:t>145.55%</w:t>
      </w:r>
      <w:r>
        <w:rPr/>
        <w:t>，主要是因为本期内新增实收资本</w:t>
      </w:r>
      <w:r>
        <w:rPr>
          <w:spacing w:val="-45"/>
        </w:rPr>
        <w:t> </w:t>
      </w:r>
      <w:r>
        <w:rPr>
          <w:rFonts w:ascii="Times New Roman" w:hAnsi="Times New Roman" w:cs="Times New Roman" w:eastAsia="Times New Roman" w:hint="default"/>
        </w:rPr>
        <w:t>400 </w:t>
      </w:r>
      <w:r>
        <w:rPr/>
        <w:t>万元。</w:t>
      </w:r>
    </w:p>
    <w:p>
      <w:pPr>
        <w:pStyle w:val="BodyText"/>
        <w:spacing w:line="240" w:lineRule="auto" w:before="101"/>
        <w:ind w:left="513" w:right="95"/>
        <w:jc w:val="left"/>
      </w:pP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t>北京永载文化有限责任公</w:t>
      </w:r>
      <w:r>
        <w:rPr>
          <w:spacing w:val="-3"/>
        </w:rPr>
        <w:t>司</w:t>
      </w:r>
      <w:r>
        <w:rPr/>
        <w:t>营业收入和净利润以及资产增长均是因为公司是</w:t>
      </w:r>
      <w:r>
        <w:rPr>
          <w:spacing w:val="-5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月新成立</w:t>
      </w:r>
      <w:r>
        <w:rPr>
          <w:spacing w:val="-92"/>
        </w:rPr>
        <w:t>，</w:t>
      </w:r>
      <w:r>
        <w:rPr/>
        <w:t>同比基数低引起的。</w:t>
      </w:r>
    </w:p>
    <w:p>
      <w:pPr>
        <w:pStyle w:val="BodyText"/>
        <w:spacing w:line="240" w:lineRule="auto" w:before="103"/>
        <w:ind w:left="513" w:right="253"/>
        <w:jc w:val="left"/>
      </w:pPr>
      <w:r>
        <w:rPr>
          <w:rFonts w:ascii="Times New Roman" w:hAnsi="Times New Roman" w:cs="Times New Roman" w:eastAsia="Times New Roman" w:hint="default"/>
        </w:rPr>
        <w:t>7.</w:t>
      </w:r>
      <w:r>
        <w:rPr/>
        <w:t>北京东方天舟教育科技有限责任公司和云上森林信息技术</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有限责任公司系公司今年新增公司。</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三、</w:t>
      </w:r>
      <w:r>
        <w:rPr>
          <w:spacing w:val="-94"/>
        </w:rPr>
        <w:t> </w:t>
      </w:r>
      <w:r>
        <w:rPr/>
        <w:t>公司未来发展的展望</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ind w:left="626" w:right="253"/>
        <w:jc w:val="left"/>
        <w:rPr>
          <w:b w:val="0"/>
          <w:bCs w:val="0"/>
        </w:rPr>
      </w:pPr>
      <w:r>
        <w:rPr/>
        <w:t>（一）公司所处行业的发展趋势</w:t>
      </w:r>
      <w:r>
        <w:rPr>
          <w:b w:val="0"/>
          <w:bCs w:val="0"/>
        </w:rPr>
      </w:r>
    </w:p>
    <w:p>
      <w:pPr>
        <w:pStyle w:val="Heading4"/>
        <w:spacing w:line="357" w:lineRule="auto" w:before="154"/>
        <w:ind w:right="101" w:firstLine="480"/>
        <w:jc w:val="left"/>
      </w:pPr>
      <w:r>
        <w:rPr>
          <w:rFonts w:ascii="宋体" w:hAnsi="宋体" w:cs="宋体" w:eastAsia="宋体" w:hint="default"/>
          <w:spacing w:val="-8"/>
        </w:rPr>
        <w:t>1</w:t>
      </w:r>
      <w:r>
        <w:rPr>
          <w:spacing w:val="-8"/>
        </w:rPr>
        <w:t>、</w:t>
      </w:r>
      <w:r>
        <w:rPr>
          <w:rFonts w:ascii="宋体" w:hAnsi="宋体" w:cs="宋体" w:eastAsia="宋体" w:hint="default"/>
          <w:spacing w:val="-8"/>
        </w:rPr>
        <w:t>2012</w:t>
      </w:r>
      <w:r>
        <w:rPr>
          <w:rFonts w:ascii="宋体" w:hAnsi="宋体" w:cs="宋体" w:eastAsia="宋体" w:hint="default"/>
          <w:spacing w:val="-56"/>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spacing w:val="-4"/>
        </w:rPr>
        <w:t>日，新闻出版总署下发《关于加快出版传媒集团改革发展的指导意见》</w:t>
      </w:r>
      <w:r>
        <w:rPr/>
        <w:t> 明确将助力出版传媒集团的兼并重组，并推进传统出版集团发展数字出版产业。</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 </w:t>
      </w:r>
      <w:r>
        <w:rPr>
          <w:spacing w:val="-5"/>
        </w:rPr>
        <w:t>新闻出版总署发布《关于支持民间资本参与出版经营活动的实施细则》，明确提出，支持民间</w:t>
      </w:r>
      <w:r>
        <w:rPr/>
        <w:t> 资本进入出版业。上述政策的出台实施，将进一步促进我国出版发行业蓬勃发展。</w:t>
      </w:r>
    </w:p>
    <w:p>
      <w:pPr>
        <w:pStyle w:val="Heading4"/>
        <w:spacing w:line="357" w:lineRule="auto"/>
        <w:ind w:right="133" w:firstLine="480"/>
        <w:jc w:val="left"/>
      </w:pPr>
      <w:r>
        <w:rPr>
          <w:rFonts w:ascii="宋体" w:hAnsi="宋体" w:cs="宋体" w:eastAsia="宋体" w:hint="default"/>
        </w:rPr>
        <w:t>2</w:t>
      </w:r>
      <w:r>
        <w:rPr/>
        <w:t>、中国正处于传统出版与数字化出版相互结合、相互交叉和相互促进的转型期。未来， 学习需求增加等客观因素，为出版行业发展创造了有利的外部环境；同时，信息产业与文化</w:t>
      </w:r>
      <w:r>
        <w:rPr>
          <w:spacing w:val="-88"/>
        </w:rPr>
        <w:t> </w:t>
      </w:r>
      <w:r>
        <w:rPr>
          <w:spacing w:val="-88"/>
        </w:rPr>
      </w:r>
      <w:r>
        <w:rPr/>
        <w:t>产业的有机融合，必将推动文化产业的进一步繁荣。</w:t>
      </w:r>
    </w:p>
    <w:p>
      <w:pPr>
        <w:pStyle w:val="Heading4"/>
        <w:spacing w:line="352" w:lineRule="auto"/>
        <w:ind w:right="230" w:firstLine="480"/>
        <w:jc w:val="both"/>
      </w:pPr>
      <w:r>
        <w:rPr>
          <w:rFonts w:ascii="Times New Roman" w:hAnsi="Times New Roman" w:cs="Times New Roman" w:eastAsia="Times New Roman" w:hint="default"/>
          <w:spacing w:val="-3"/>
        </w:rPr>
        <w:t>3</w:t>
      </w:r>
      <w:r>
        <w:rPr>
          <w:spacing w:val="-3"/>
        </w:rPr>
        <w:t>、重大主题出版更受关注，精品图书将实现双效丰收。大众图书将由浮躁走向成熟，读</w:t>
      </w:r>
      <w:r>
        <w:rPr/>
        <w:t> 者阅读更具理性，重大主题出版和精品常销书将成为重点。重大主题出版最近几年为出版界</w:t>
      </w:r>
      <w:r>
        <w:rPr>
          <w:spacing w:val="-91"/>
        </w:rPr>
        <w:t> </w:t>
      </w:r>
      <w:r>
        <w:rPr>
          <w:spacing w:val="-91"/>
        </w:rPr>
      </w:r>
      <w:r>
        <w:rPr/>
        <w:t>所重视，通过重大主题出版活动，不仅很好地把握了导向的主动权，提升了出版单位重大选</w:t>
      </w:r>
      <w:r>
        <w:rPr>
          <w:spacing w:val="-91"/>
        </w:rPr>
        <w:t> </w:t>
      </w:r>
      <w:r>
        <w:rPr>
          <w:spacing w:val="-91"/>
        </w:rPr>
      </w:r>
      <w:r>
        <w:rPr/>
        <w:t>题的策划、组织、出版、营销能力，而且还提高了主题图书的市场占有率，为出版业带来了</w:t>
      </w:r>
      <w:r>
        <w:rPr>
          <w:spacing w:val="-91"/>
        </w:rPr>
        <w:t> </w:t>
      </w:r>
      <w:r>
        <w:rPr>
          <w:spacing w:val="-91"/>
        </w:rPr>
      </w:r>
      <w:r>
        <w:rPr/>
        <w:t>良好的效益、声誉和荣誉。</w:t>
      </w:r>
    </w:p>
    <w:p>
      <w:pPr>
        <w:pStyle w:val="Heading4"/>
        <w:spacing w:line="357" w:lineRule="auto" w:before="41"/>
        <w:ind w:right="217" w:firstLine="480"/>
        <w:jc w:val="left"/>
      </w:pPr>
      <w:r>
        <w:rPr>
          <w:rFonts w:ascii="宋体" w:hAnsi="宋体" w:cs="宋体" w:eastAsia="宋体" w:hint="default"/>
          <w:spacing w:val="-3"/>
        </w:rPr>
        <w:t>4</w:t>
      </w:r>
      <w:r>
        <w:rPr>
          <w:spacing w:val="-3"/>
        </w:rPr>
        <w:t>、从教育改革的趋势来看，征订类市场将进一步萎缩，民营企业将加速转型，市场类图</w:t>
      </w:r>
      <w:r>
        <w:rPr/>
        <w:t> </w:t>
      </w:r>
      <w:r>
        <w:rPr>
          <w:spacing w:val="-4"/>
        </w:rPr>
        <w:t>书将成重点。从</w:t>
      </w:r>
      <w:r>
        <w:rPr>
          <w:spacing w:val="-74"/>
        </w:rPr>
        <w:t> </w:t>
      </w:r>
      <w:r>
        <w:rPr>
          <w:rFonts w:ascii="宋体" w:hAnsi="宋体" w:cs="宋体" w:eastAsia="宋体" w:hint="default"/>
        </w:rPr>
        <w:t>2012</w:t>
      </w:r>
      <w:r>
        <w:rPr>
          <w:rFonts w:ascii="宋体" w:hAnsi="宋体" w:cs="宋体" w:eastAsia="宋体" w:hint="default"/>
          <w:spacing w:val="-74"/>
        </w:rPr>
        <w:t> </w:t>
      </w:r>
      <w:r>
        <w:rPr/>
        <w:t>年</w:t>
      </w:r>
      <w:r>
        <w:rPr>
          <w:spacing w:val="-74"/>
        </w:rPr>
        <w:t> </w:t>
      </w:r>
      <w:r>
        <w:rPr>
          <w:rFonts w:ascii="宋体" w:hAnsi="宋体" w:cs="宋体" w:eastAsia="宋体" w:hint="default"/>
        </w:rPr>
        <w:t>2</w:t>
      </w:r>
      <w:r>
        <w:rPr>
          <w:rFonts w:ascii="宋体" w:hAnsi="宋体" w:cs="宋体" w:eastAsia="宋体" w:hint="default"/>
          <w:spacing w:val="-74"/>
        </w:rPr>
        <w:t> </w:t>
      </w:r>
      <w:r>
        <w:rPr/>
        <w:t>月教育部、新闻出版总署等部委颁布《关于加强中小学教辅材料使</w:t>
      </w:r>
    </w:p>
    <w:p>
      <w:pPr>
        <w:pStyle w:val="Heading4"/>
        <w:spacing w:line="357" w:lineRule="auto"/>
        <w:ind w:right="234"/>
        <w:jc w:val="both"/>
      </w:pPr>
      <w:r>
        <w:rPr>
          <w:spacing w:val="-4"/>
        </w:rPr>
        <w:t>用管理工作的通知》，及</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spacing w:val="-3"/>
        </w:rPr>
        <w:t>月发改委、新闻出版总署、教育部联合印发《关于加强中</w:t>
      </w:r>
      <w:r>
        <w:rPr/>
        <w:t> 小学教辅材料价格监管的通知》等教辅新政看，政府对教辅价格的控制力度加大，教辅行业</w:t>
      </w:r>
      <w:r>
        <w:rPr>
          <w:spacing w:val="-91"/>
        </w:rPr>
        <w:t> </w:t>
      </w:r>
      <w:r>
        <w:rPr>
          <w:spacing w:val="-91"/>
        </w:rPr>
      </w:r>
      <w:r>
        <w:rPr/>
        <w:t>利润进一步减低，且“一课一辅”限制了整个市场的容量，将导致教辅征订类市场萎缩。</w:t>
      </w:r>
    </w:p>
    <w:p>
      <w:pPr>
        <w:pStyle w:val="Heading4"/>
        <w:spacing w:line="357" w:lineRule="auto"/>
        <w:ind w:right="216" w:firstLine="480"/>
        <w:jc w:val="left"/>
      </w:pPr>
      <w:r>
        <w:rPr>
          <w:rFonts w:ascii="宋体" w:hAnsi="宋体" w:cs="宋体" w:eastAsia="宋体" w:hint="default"/>
          <w:spacing w:val="-3"/>
        </w:rPr>
        <w:t>5</w:t>
      </w:r>
      <w:r>
        <w:rPr>
          <w:spacing w:val="-3"/>
        </w:rPr>
        <w:t>、少儿教育培训市场发展空间大。我国当前</w:t>
      </w:r>
      <w:r>
        <w:rPr>
          <w:spacing w:val="-59"/>
        </w:rPr>
        <w:t> </w:t>
      </w:r>
      <w:r>
        <w:rPr>
          <w:rFonts w:ascii="宋体" w:hAnsi="宋体" w:cs="宋体" w:eastAsia="宋体" w:hint="default"/>
        </w:rPr>
        <w:t>2</w:t>
      </w:r>
      <w:r>
        <w:rPr/>
        <w:t>～</w:t>
      </w:r>
      <w:r>
        <w:rPr>
          <w:rFonts w:ascii="宋体" w:hAnsi="宋体" w:cs="宋体" w:eastAsia="宋体" w:hint="default"/>
        </w:rPr>
        <w:t>12</w:t>
      </w:r>
      <w:r>
        <w:rPr>
          <w:rFonts w:ascii="宋体" w:hAnsi="宋体" w:cs="宋体" w:eastAsia="宋体" w:hint="default"/>
          <w:spacing w:val="-59"/>
        </w:rPr>
        <w:t> </w:t>
      </w:r>
      <w:r>
        <w:rPr/>
        <w:t>岁少儿超过</w:t>
      </w:r>
      <w:r>
        <w:rPr>
          <w:spacing w:val="-59"/>
        </w:rPr>
        <w:t> </w:t>
      </w:r>
      <w:r>
        <w:rPr>
          <w:rFonts w:ascii="宋体" w:hAnsi="宋体" w:cs="宋体" w:eastAsia="宋体" w:hint="default"/>
        </w:rPr>
        <w:t>2.2</w:t>
      </w:r>
      <w:r>
        <w:rPr>
          <w:rFonts w:ascii="宋体" w:hAnsi="宋体" w:cs="宋体" w:eastAsia="宋体" w:hint="default"/>
          <w:spacing w:val="-59"/>
        </w:rPr>
        <w:t> </w:t>
      </w:r>
      <w:r>
        <w:rPr>
          <w:spacing w:val="-3"/>
        </w:rPr>
        <w:t>亿，随着我国民众对</w:t>
      </w:r>
      <w:r>
        <w:rPr/>
        <w:t> 子女教育认识逐渐提高，社会竞争日益激烈，少儿接受教育年龄逐渐提前，少儿培训市场呈</w:t>
      </w:r>
    </w:p>
    <w:p>
      <w:pPr>
        <w:spacing w:after="0" w:line="357" w:lineRule="auto"/>
        <w:jc w:val="left"/>
        <w:sectPr>
          <w:pgSz w:w="11910" w:h="16840"/>
          <w:pgMar w:header="918" w:footer="999" w:top="1100" w:bottom="1180" w:left="980" w:right="900"/>
        </w:sectPr>
      </w:pPr>
    </w:p>
    <w:p>
      <w:pPr>
        <w:spacing w:line="240" w:lineRule="auto" w:before="7"/>
        <w:rPr>
          <w:rFonts w:ascii="宋体" w:hAnsi="宋体" w:cs="宋体" w:eastAsia="宋体" w:hint="default"/>
          <w:sz w:val="25"/>
          <w:szCs w:val="25"/>
        </w:rPr>
      </w:pPr>
    </w:p>
    <w:p>
      <w:pPr>
        <w:pStyle w:val="Heading4"/>
        <w:spacing w:line="240" w:lineRule="auto" w:before="26"/>
        <w:ind w:right="253"/>
        <w:jc w:val="left"/>
      </w:pPr>
      <w:r>
        <w:rPr/>
        <w:t>现旺盛的增长趋势。</w:t>
      </w:r>
    </w:p>
    <w:p>
      <w:pPr>
        <w:spacing w:line="357" w:lineRule="auto" w:before="154"/>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（二）公司未来发展战略</w:t>
      </w:r>
      <w:r>
        <w:rPr>
          <w:rFonts w:ascii="宋体" w:hAnsi="宋体" w:cs="宋体" w:eastAsia="宋体" w:hint="default"/>
          <w:b/>
          <w:bCs/>
          <w:w w:val="99"/>
          <w:sz w:val="24"/>
          <w:szCs w:val="24"/>
        </w:rPr>
        <w:t> </w:t>
      </w:r>
      <w:r>
        <w:rPr>
          <w:rFonts w:ascii="宋体" w:hAnsi="宋体" w:cs="宋体" w:eastAsia="宋体" w:hint="default"/>
          <w:sz w:val="24"/>
          <w:szCs w:val="24"/>
        </w:rPr>
        <w:t>随着国家教育政策的改革与发展、出版产业的变革与调整，公司全面审视自身的优势和</w:t>
      </w:r>
    </w:p>
    <w:p>
      <w:pPr>
        <w:pStyle w:val="Heading4"/>
        <w:spacing w:line="357" w:lineRule="auto"/>
        <w:ind w:right="95"/>
        <w:jc w:val="left"/>
      </w:pPr>
      <w:r>
        <w:rPr/>
        <w:t>不足，对未来五年的发展战略进行了优化和调整，确定了“传播先进文化，服务教育发展”</w:t>
      </w:r>
      <w:r>
        <w:rPr>
          <w:spacing w:val="-91"/>
        </w:rPr>
        <w:t> </w:t>
      </w:r>
      <w:r>
        <w:rPr>
          <w:spacing w:val="-91"/>
        </w:rPr>
      </w:r>
      <w:r>
        <w:rPr/>
        <w:t>的市场定位。公司将以教育为内核、以文化为外延，文教图书向教育服务延伸、纸质媒介向</w:t>
      </w:r>
      <w:r>
        <w:rPr>
          <w:spacing w:val="-91"/>
        </w:rPr>
        <w:t> </w:t>
      </w:r>
      <w:r>
        <w:rPr>
          <w:spacing w:val="-91"/>
        </w:rPr>
      </w:r>
      <w:r>
        <w:rPr>
          <w:spacing w:val="-2"/>
        </w:rPr>
        <w:t>多媒介转型、市场区域向全国拓展，以内生增长与投资并购相结合方式，逐渐构建出版发行、</w:t>
      </w:r>
      <w:r>
        <w:rPr/>
        <w:t> 教育服务、新媒体、文化创意投资四大业务板块，力争成为中国一流的青少年文化教育传媒</w:t>
      </w:r>
      <w:r>
        <w:rPr>
          <w:spacing w:val="-91"/>
        </w:rPr>
        <w:t> </w:t>
      </w:r>
      <w:r>
        <w:rPr>
          <w:spacing w:val="-91"/>
        </w:rPr>
      </w:r>
      <w:r>
        <w:rPr/>
        <w:t>集团。</w:t>
      </w:r>
    </w:p>
    <w:p>
      <w:pPr>
        <w:spacing w:line="357" w:lineRule="auto" w:before="37"/>
        <w:ind w:left="633" w:right="253" w:hanging="5"/>
        <w:jc w:val="left"/>
        <w:rPr>
          <w:rFonts w:ascii="宋体" w:hAnsi="宋体" w:cs="宋体" w:eastAsia="宋体" w:hint="default"/>
          <w:sz w:val="24"/>
          <w:szCs w:val="24"/>
        </w:rPr>
      </w:pPr>
      <w:r>
        <w:rPr>
          <w:rFonts w:ascii="宋体" w:hAnsi="宋体" w:cs="宋体" w:eastAsia="宋体" w:hint="default"/>
          <w:b/>
          <w:bCs/>
          <w:sz w:val="24"/>
          <w:szCs w:val="24"/>
        </w:rPr>
        <w:t>（三）公司核心竞争力</w:t>
      </w:r>
      <w:r>
        <w:rPr>
          <w:rFonts w:ascii="宋体" w:hAnsi="宋体" w:cs="宋体" w:eastAsia="宋体" w:hint="default"/>
          <w:b/>
          <w:bCs/>
          <w:w w:val="99"/>
          <w:sz w:val="24"/>
          <w:szCs w:val="24"/>
        </w:rPr>
        <w:t> </w:t>
      </w:r>
      <w:r>
        <w:rPr>
          <w:rFonts w:ascii="宋体" w:hAnsi="宋体" w:cs="宋体" w:eastAsia="宋体" w:hint="default"/>
          <w:sz w:val="24"/>
          <w:szCs w:val="24"/>
        </w:rPr>
        <w:t>经过多年在图书行业的积累，公司始终围绕“内容资源、品牌资源、人力资源、渠道资</w:t>
      </w:r>
    </w:p>
    <w:p>
      <w:pPr>
        <w:pStyle w:val="Heading4"/>
        <w:spacing w:line="357" w:lineRule="auto"/>
        <w:ind w:left="633" w:right="253" w:hanging="480"/>
        <w:jc w:val="left"/>
      </w:pPr>
      <w:r>
        <w:rPr/>
        <w:t>源”打造自身的核心竞争力，构筑可持续发展的文化创意企业。 在内容和品牌资源运作方面，公司以市场为导向，探索建立了以“品牌化运作、跨媒介</w:t>
      </w:r>
    </w:p>
    <w:p>
      <w:pPr>
        <w:pStyle w:val="Heading4"/>
        <w:spacing w:line="355" w:lineRule="auto"/>
        <w:ind w:right="110"/>
        <w:jc w:val="left"/>
      </w:pPr>
      <w:r>
        <w:rPr/>
        <w:t>推广、全流程整合”为核心的经营模式，实施了“策</w:t>
      </w:r>
      <w:r>
        <w:rPr>
          <w:rFonts w:ascii="Times New Roman" w:hAnsi="Times New Roman" w:cs="Times New Roman" w:eastAsia="Times New Roman" w:hint="default"/>
        </w:rPr>
        <w:t>-</w:t>
      </w:r>
      <w:r>
        <w:rPr/>
        <w:t>产</w:t>
      </w:r>
      <w:r>
        <w:rPr>
          <w:rFonts w:ascii="Times New Roman" w:hAnsi="Times New Roman" w:cs="Times New Roman" w:eastAsia="Times New Roman" w:hint="default"/>
        </w:rPr>
        <w:t>-</w:t>
      </w:r>
      <w:r>
        <w:rPr/>
        <w:t>销”一体化运营、内容开发系列化、 品牌化、内容生产工业流程化、跨媒介互动推广、虚拟作家制度、独立策划人制度等具有特 </w:t>
      </w:r>
      <w:r>
        <w:rPr>
          <w:spacing w:val="-2"/>
        </w:rPr>
        <w:t>色的运作模式和制度。目前，公司已经形成了文化教育、少儿读物、社科文艺三大内容板块、</w:t>
      </w:r>
      <w:r>
        <w:rPr/>
        <w:t> </w:t>
      </w:r>
      <w:r>
        <w:rPr>
          <w:spacing w:val="-3"/>
        </w:rPr>
        <w:t>“天舟学练王”、“红魔英语”、“阅读点亮童年”、“原创新童话”等</w:t>
      </w:r>
      <w:r>
        <w:rPr>
          <w:rFonts w:ascii="宋体" w:hAnsi="宋体" w:cs="宋体" w:eastAsia="宋体" w:hint="default"/>
          <w:spacing w:val="-3"/>
        </w:rPr>
        <w:t>4</w:t>
      </w:r>
      <w:r>
        <w:rPr>
          <w:spacing w:val="-3"/>
        </w:rPr>
        <w:t>个主导品牌，并拥</w:t>
      </w:r>
      <w:r>
        <w:rPr>
          <w:spacing w:val="-81"/>
        </w:rPr>
        <w:t> </w:t>
      </w:r>
      <w:r>
        <w:rPr>
          <w:spacing w:val="-81"/>
        </w:rPr>
      </w:r>
      <w:r>
        <w:rPr/>
        <w:t>有了</w:t>
      </w:r>
      <w:r>
        <w:rPr>
          <w:rFonts w:ascii="宋体" w:hAnsi="宋体" w:cs="宋体" w:eastAsia="宋体" w:hint="default"/>
        </w:rPr>
        <w:t>70</w:t>
      </w:r>
      <w:r>
        <w:rPr/>
        <w:t>项注册商标和</w:t>
      </w:r>
      <w:r>
        <w:rPr>
          <w:rFonts w:ascii="宋体" w:hAnsi="宋体" w:cs="宋体" w:eastAsia="宋体" w:hint="default"/>
        </w:rPr>
        <w:t>1000</w:t>
      </w:r>
      <w:r>
        <w:rPr/>
        <w:t>多部原创作品的著作权，产品线涵盖了从</w:t>
      </w:r>
      <w:r>
        <w:rPr>
          <w:rFonts w:ascii="宋体" w:hAnsi="宋体" w:cs="宋体" w:eastAsia="宋体" w:hint="default"/>
        </w:rPr>
        <w:t>3</w:t>
      </w:r>
      <w:r>
        <w:rPr/>
        <w:t>岁到</w:t>
      </w:r>
      <w:r>
        <w:rPr>
          <w:rFonts w:ascii="宋体" w:hAnsi="宋体" w:cs="宋体" w:eastAsia="宋体" w:hint="default"/>
        </w:rPr>
        <w:t>20</w:t>
      </w:r>
      <w:r>
        <w:rPr/>
        <w:t>岁的目标青少年读 者。公司自主开发的英语学习辅导品牌“红魔”商标已成为“中国驰名商标”；自主策划的 图书</w:t>
      </w:r>
      <w:r>
        <w:rPr>
          <w:rFonts w:ascii="Times New Roman" w:hAnsi="Times New Roman" w:cs="Times New Roman" w:eastAsia="Times New Roman" w:hint="default"/>
        </w:rPr>
        <w:t>--</w:t>
      </w:r>
      <w:r>
        <w:rPr/>
        <w:t>《命运》、自主打造的原创新童话</w:t>
      </w:r>
      <w:r>
        <w:rPr>
          <w:rFonts w:ascii="Times New Roman" w:hAnsi="Times New Roman" w:cs="Times New Roman" w:eastAsia="Times New Roman" w:hint="default"/>
        </w:rPr>
        <w:t>--</w:t>
      </w:r>
      <w:r>
        <w:rPr/>
        <w:t>《冒险小王子》等图书获得国内多项大奖。</w:t>
      </w:r>
    </w:p>
    <w:p>
      <w:pPr>
        <w:pStyle w:val="Heading4"/>
        <w:spacing w:line="357" w:lineRule="auto" w:before="8"/>
        <w:ind w:right="96" w:firstLine="480"/>
        <w:jc w:val="left"/>
      </w:pPr>
      <w:r>
        <w:rPr/>
        <w:t>渠道资源建设方面，公司具备出版物全国总发行资质，构建了经销、系统销售和招投标 采购三种不同的销售模式，并大力构建全国营销网络，先后在湖南、北京、江苏、广东等地 设立了</w:t>
      </w:r>
      <w:r>
        <w:rPr>
          <w:rFonts w:ascii="宋体" w:hAnsi="宋体" w:cs="宋体" w:eastAsia="宋体" w:hint="default"/>
        </w:rPr>
        <w:t>11</w:t>
      </w:r>
      <w:r>
        <w:rPr/>
        <w:t>家分、子公司，形成了长沙、北京、广州、南京四个中心、</w:t>
      </w:r>
      <w:r>
        <w:rPr>
          <w:rFonts w:ascii="宋体" w:hAnsi="宋体" w:cs="宋体" w:eastAsia="宋体" w:hint="default"/>
        </w:rPr>
        <w:t>300</w:t>
      </w:r>
      <w:r>
        <w:rPr/>
        <w:t>多个营销网点。公司 </w:t>
      </w:r>
      <w:r>
        <w:rPr>
          <w:spacing w:val="-3"/>
        </w:rPr>
        <w:t>充分发掘各地市场机会，先后成功中标河北、浙江、湖南等地的“农家书屋”、“教育馆配”</w:t>
      </w:r>
      <w:r>
        <w:rPr>
          <w:spacing w:val="-81"/>
        </w:rPr>
        <w:t> </w:t>
      </w:r>
      <w:r>
        <w:rPr>
          <w:spacing w:val="-81"/>
        </w:rPr>
      </w:r>
      <w:r>
        <w:rPr/>
        <w:t>等政府招标采购项目。公司建立多媒介、立体化的出版物运营模式，先后与新浪、腾讯、盛 大等网络平台进行了图书内容的增值业务合作，以内容提供商的身份全面参与数字出版；公 </w:t>
      </w:r>
      <w:r>
        <w:rPr>
          <w:spacing w:val="-6"/>
        </w:rPr>
        <w:t>司建立了数据库全流程服务信息系统，并建立各品牌的官网、博客、微博、</w:t>
      </w:r>
      <w:r>
        <w:rPr>
          <w:rFonts w:ascii="宋体" w:hAnsi="宋体" w:cs="宋体" w:eastAsia="宋体" w:hint="default"/>
          <w:spacing w:val="-6"/>
        </w:rPr>
        <w:t>QQ</w:t>
      </w:r>
      <w:r>
        <w:rPr>
          <w:rFonts w:ascii="宋体" w:hAnsi="宋体" w:cs="宋体" w:eastAsia="宋体" w:hint="default"/>
          <w:spacing w:val="7"/>
        </w:rPr>
        <w:t> </w:t>
      </w:r>
      <w:r>
        <w:rPr/>
        <w:t>群等网络平台， 与读者、客户进行多向互动；公司与江苏凤凰出版集团合资共同开发的动漫、影视和网络游 戏类图书产品，充分借助互联网、影视媒体全面开发原创图书的商业价值。</w:t>
      </w:r>
    </w:p>
    <w:p>
      <w:pPr>
        <w:pStyle w:val="Heading4"/>
        <w:spacing w:line="240" w:lineRule="auto"/>
        <w:ind w:left="633" w:right="95"/>
        <w:jc w:val="left"/>
      </w:pPr>
      <w:r>
        <w:rPr/>
        <w:t>人力资源建设方面，公司自己培养建立了一支</w:t>
      </w:r>
      <w:r>
        <w:rPr>
          <w:rFonts w:ascii="宋体" w:hAnsi="宋体" w:cs="宋体" w:eastAsia="宋体" w:hint="default"/>
        </w:rPr>
        <w:t>120</w:t>
      </w:r>
      <w:r>
        <w:rPr/>
        <w:t>多人、平均年龄不到</w:t>
      </w:r>
      <w:r>
        <w:rPr>
          <w:rFonts w:ascii="宋体" w:hAnsi="宋体" w:cs="宋体" w:eastAsia="宋体" w:hint="default"/>
        </w:rPr>
        <w:t>30</w:t>
      </w:r>
      <w:r>
        <w:rPr/>
        <w:t>岁的图书内容开</w:t>
      </w:r>
    </w:p>
    <w:p>
      <w:pPr>
        <w:spacing w:after="0" w:line="240" w:lineRule="auto"/>
        <w:jc w:val="left"/>
        <w:sectPr>
          <w:pgSz w:w="11910" w:h="16840"/>
          <w:pgMar w:header="918" w:footer="999" w:top="1100" w:bottom="1180" w:left="980" w:right="900"/>
        </w:sectPr>
      </w:pPr>
    </w:p>
    <w:p>
      <w:pPr>
        <w:spacing w:line="240" w:lineRule="auto" w:before="7"/>
        <w:rPr>
          <w:rFonts w:ascii="宋体" w:hAnsi="宋体" w:cs="宋体" w:eastAsia="宋体" w:hint="default"/>
          <w:sz w:val="25"/>
          <w:szCs w:val="25"/>
        </w:rPr>
      </w:pPr>
    </w:p>
    <w:p>
      <w:pPr>
        <w:pStyle w:val="Heading4"/>
        <w:spacing w:line="357" w:lineRule="auto" w:before="26"/>
        <w:ind w:right="230"/>
        <w:jc w:val="both"/>
      </w:pPr>
      <w:r>
        <w:rPr/>
        <w:t>发团队，其中拥有中高级职称和研究生学历的达到</w:t>
      </w:r>
      <w:r>
        <w:rPr>
          <w:rFonts w:ascii="宋体" w:hAnsi="宋体" w:cs="宋体" w:eastAsia="宋体" w:hint="default"/>
        </w:rPr>
        <w:t>30</w:t>
      </w:r>
      <w:r>
        <w:rPr/>
        <w:t>多名，其中不乏有获得“苏步青数学教 育奖”的资深教育研究专家唐国庆研究员；公司董事长肖志鸿是团队的核心，是中国出版协 会常务理事、中国书刊发行协会副会长，曾荣获首届“中国政府出版奖（优秀人物）”、新 中国</w:t>
      </w:r>
      <w:r>
        <w:rPr>
          <w:rFonts w:ascii="宋体" w:hAnsi="宋体" w:cs="宋体" w:eastAsia="宋体" w:hint="default"/>
        </w:rPr>
        <w:t>60</w:t>
      </w:r>
      <w:r>
        <w:rPr>
          <w:rFonts w:ascii="宋体" w:hAnsi="宋体" w:cs="宋体" w:eastAsia="宋体" w:hint="default"/>
          <w:spacing w:val="28"/>
        </w:rPr>
        <w:t> </w:t>
      </w:r>
      <w:r>
        <w:rPr>
          <w:spacing w:val="-3"/>
        </w:rPr>
        <w:t>年百名优秀出版人物、百名优秀出版企业家。公司与中国教育科学研究院、湖南师范</w:t>
      </w:r>
      <w:r>
        <w:rPr/>
        <w:t> 大学等机构建立了“产、学、研”相结合的内容资源开发体系，使公司的创意资源和人力资 源得到最大限度的开发和拓展。</w:t>
      </w:r>
    </w:p>
    <w:p>
      <w:pPr>
        <w:pStyle w:val="Heading3"/>
        <w:spacing w:line="240" w:lineRule="auto" w:before="36"/>
        <w:ind w:left="635" w:right="253"/>
        <w:jc w:val="left"/>
        <w:rPr>
          <w:b w:val="0"/>
          <w:bCs w:val="0"/>
        </w:rPr>
      </w:pPr>
      <w:r>
        <w:rPr/>
        <w:t>（四）</w:t>
      </w:r>
      <w:r>
        <w:rPr>
          <w:rFonts w:ascii="宋体" w:hAnsi="宋体" w:cs="宋体" w:eastAsia="宋体" w:hint="default"/>
        </w:rPr>
        <w:t>2013</w:t>
      </w:r>
      <w:r>
        <w:rPr/>
        <w:t>年经营工作计划</w:t>
      </w:r>
      <w:r>
        <w:rPr>
          <w:b w:val="0"/>
          <w:bCs w:val="0"/>
        </w:rPr>
      </w:r>
    </w:p>
    <w:p>
      <w:pPr>
        <w:pStyle w:val="Heading4"/>
        <w:spacing w:line="357" w:lineRule="auto" w:before="154"/>
        <w:ind w:right="232" w:firstLine="480"/>
        <w:jc w:val="both"/>
      </w:pPr>
      <w:r>
        <w:rPr>
          <w:rFonts w:ascii="宋体" w:hAnsi="宋体" w:cs="宋体" w:eastAsia="宋体" w:hint="default"/>
        </w:rPr>
        <w:t>2013</w:t>
      </w:r>
      <w:r>
        <w:rPr>
          <w:rFonts w:ascii="宋体" w:hAnsi="宋体" w:cs="宋体" w:eastAsia="宋体" w:hint="default"/>
          <w:spacing w:val="-82"/>
        </w:rPr>
        <w:t> </w:t>
      </w:r>
      <w:r>
        <w:rPr/>
        <w:t>年公司总体发展思路是：围绕公司五年规划，快速应对发展大势，以产品和市场为 导向，以盈利能力为中心，以信息化为支撑，以内生增长与投资并购相结合的方式，开拓全</w:t>
      </w:r>
      <w:r>
        <w:rPr>
          <w:spacing w:val="-91"/>
        </w:rPr>
        <w:t> </w:t>
      </w:r>
      <w:r>
        <w:rPr>
          <w:spacing w:val="-91"/>
        </w:rPr>
      </w:r>
      <w:r>
        <w:rPr/>
        <w:t>国市场，探索国际市场。</w:t>
      </w:r>
    </w:p>
    <w:p>
      <w:pPr>
        <w:pStyle w:val="Heading4"/>
        <w:spacing w:line="357" w:lineRule="auto"/>
        <w:ind w:right="232" w:firstLine="480"/>
        <w:jc w:val="both"/>
      </w:pPr>
      <w:r>
        <w:rPr>
          <w:rFonts w:ascii="宋体" w:hAnsi="宋体" w:cs="宋体" w:eastAsia="宋体" w:hint="default"/>
        </w:rPr>
        <w:t>2013</w:t>
      </w:r>
      <w:r>
        <w:rPr>
          <w:rFonts w:ascii="宋体" w:hAnsi="宋体" w:cs="宋体" w:eastAsia="宋体" w:hint="default"/>
          <w:spacing w:val="-82"/>
        </w:rPr>
        <w:t> </w:t>
      </w:r>
      <w:r>
        <w:rPr/>
        <w:t>年的整体工作目标要求：扩大传统出版市场份额，争取获取更大收益；进一步培育 教育培训市场，以教育内容为核质，整合数字出版资源，启动数字出版与教育信息化服务、</w:t>
      </w:r>
      <w:r>
        <w:rPr>
          <w:spacing w:val="-91"/>
        </w:rPr>
        <w:t> </w:t>
      </w:r>
      <w:r>
        <w:rPr>
          <w:spacing w:val="-91"/>
        </w:rPr>
      </w:r>
      <w:r>
        <w:rPr/>
        <w:t>新媒体项目。</w:t>
      </w:r>
    </w:p>
    <w:p>
      <w:pPr>
        <w:pStyle w:val="Heading3"/>
        <w:spacing w:line="240" w:lineRule="auto" w:before="36"/>
        <w:ind w:left="635" w:right="253"/>
        <w:jc w:val="left"/>
        <w:rPr>
          <w:b w:val="0"/>
          <w:bCs w:val="0"/>
        </w:rPr>
      </w:pPr>
      <w:r>
        <w:rPr>
          <w:rFonts w:ascii="宋体" w:hAnsi="宋体" w:cs="宋体" w:eastAsia="宋体" w:hint="default"/>
          <w:spacing w:val="2"/>
          <w:w w:val="99"/>
        </w:rPr>
        <w:t>1</w:t>
      </w:r>
      <w:r>
        <w:rPr>
          <w:w w:val="99"/>
        </w:rPr>
        <w:t>、</w:t>
      </w:r>
      <w:r>
        <w:rPr>
          <w:spacing w:val="2"/>
          <w:w w:val="99"/>
        </w:rPr>
        <w:t>紧</w:t>
      </w:r>
      <w:r>
        <w:rPr>
          <w:w w:val="99"/>
        </w:rPr>
        <w:t>紧围</w:t>
      </w:r>
      <w:r>
        <w:rPr>
          <w:spacing w:val="2"/>
          <w:w w:val="99"/>
        </w:rPr>
        <w:t>绕</w:t>
      </w:r>
      <w:r>
        <w:rPr>
          <w:w w:val="99"/>
        </w:rPr>
        <w:t>“</w:t>
      </w:r>
      <w:r>
        <w:rPr>
          <w:spacing w:val="2"/>
          <w:w w:val="99"/>
        </w:rPr>
        <w:t>教</w:t>
      </w:r>
      <w:r>
        <w:rPr>
          <w:w w:val="99"/>
        </w:rPr>
        <w:t>育</w:t>
      </w:r>
      <w:r>
        <w:rPr>
          <w:spacing w:val="-120"/>
          <w:w w:val="99"/>
        </w:rPr>
        <w:t>”</w:t>
      </w:r>
      <w:r>
        <w:rPr>
          <w:w w:val="99"/>
        </w:rPr>
        <w:t>，</w:t>
      </w:r>
      <w:r>
        <w:rPr>
          <w:spacing w:val="2"/>
          <w:w w:val="99"/>
        </w:rPr>
        <w:t>整</w:t>
      </w:r>
      <w:r>
        <w:rPr>
          <w:w w:val="99"/>
        </w:rPr>
        <w:t>合</w:t>
      </w:r>
      <w:r>
        <w:rPr>
          <w:spacing w:val="2"/>
          <w:w w:val="99"/>
        </w:rPr>
        <w:t>资</w:t>
      </w:r>
      <w:r>
        <w:rPr>
          <w:w w:val="99"/>
        </w:rPr>
        <w:t>源，</w:t>
      </w:r>
      <w:r>
        <w:rPr>
          <w:spacing w:val="2"/>
          <w:w w:val="99"/>
        </w:rPr>
        <w:t>合</w:t>
      </w:r>
      <w:r>
        <w:rPr>
          <w:w w:val="99"/>
        </w:rPr>
        <w:t>理</w:t>
      </w:r>
      <w:r>
        <w:rPr>
          <w:spacing w:val="2"/>
          <w:w w:val="99"/>
        </w:rPr>
        <w:t>布</w:t>
      </w:r>
      <w:r>
        <w:rPr>
          <w:w w:val="99"/>
        </w:rPr>
        <w:t>局，</w:t>
      </w:r>
      <w:r>
        <w:rPr>
          <w:spacing w:val="2"/>
          <w:w w:val="99"/>
        </w:rPr>
        <w:t>推</w:t>
      </w:r>
      <w:r>
        <w:rPr>
          <w:w w:val="99"/>
        </w:rPr>
        <w:t>动</w:t>
      </w:r>
      <w:r>
        <w:rPr>
          <w:spacing w:val="2"/>
          <w:w w:val="99"/>
        </w:rPr>
        <w:t>公</w:t>
      </w:r>
      <w:r>
        <w:rPr>
          <w:w w:val="99"/>
        </w:rPr>
        <w:t>司快</w:t>
      </w:r>
      <w:r>
        <w:rPr>
          <w:spacing w:val="2"/>
          <w:w w:val="99"/>
        </w:rPr>
        <w:t>速</w:t>
      </w:r>
      <w:r>
        <w:rPr>
          <w:w w:val="99"/>
        </w:rPr>
        <w:t>发</w:t>
      </w:r>
      <w:r>
        <w:rPr>
          <w:spacing w:val="2"/>
          <w:w w:val="99"/>
        </w:rPr>
        <w:t>展</w:t>
      </w:r>
      <w:r>
        <w:rPr>
          <w:w w:val="99"/>
        </w:rPr>
        <w:t>。</w:t>
      </w:r>
      <w:r>
        <w:rPr>
          <w:b w:val="0"/>
          <w:bCs w:val="0"/>
        </w:rPr>
      </w:r>
    </w:p>
    <w:p>
      <w:pPr>
        <w:pStyle w:val="Heading4"/>
        <w:spacing w:line="357" w:lineRule="auto" w:before="154"/>
        <w:ind w:right="112" w:firstLine="480"/>
        <w:jc w:val="left"/>
      </w:pPr>
      <w:r>
        <w:rPr>
          <w:rFonts w:ascii="宋体" w:hAnsi="宋体" w:cs="宋体" w:eastAsia="宋体" w:hint="default"/>
        </w:rPr>
        <w:t>2013</w:t>
      </w:r>
      <w:r>
        <w:rPr>
          <w:rFonts w:ascii="宋体" w:hAnsi="宋体" w:cs="宋体" w:eastAsia="宋体" w:hint="default"/>
          <w:spacing w:val="-68"/>
        </w:rPr>
        <w:t> </w:t>
      </w:r>
      <w:r>
        <w:rPr/>
        <w:t>年公司将重点扶持教育培训和数字出版与教育信息化服务版块的发展。加强教育培 训课程体系建设和运营模式建设，提高单校盈利能力，并适当加快扩张力度，建立适当规模</w:t>
      </w:r>
      <w:r>
        <w:rPr>
          <w:spacing w:val="-89"/>
        </w:rPr>
        <w:t> </w:t>
      </w:r>
      <w:r>
        <w:rPr>
          <w:spacing w:val="-89"/>
        </w:rPr>
      </w:r>
      <w:r>
        <w:rPr>
          <w:spacing w:val="-2"/>
        </w:rPr>
        <w:t>的学校运营和管理体系，打通出版与教育培训的协同产业平台；数字出版和教育信息化服务、</w:t>
      </w:r>
      <w:r>
        <w:rPr/>
        <w:t> 新媒体版块以项目带动，依托自有传统出版内容资源结合教育信息服务，重点打造“未来教</w:t>
      </w:r>
      <w:r>
        <w:rPr>
          <w:spacing w:val="-91"/>
        </w:rPr>
        <w:t> </w:t>
      </w:r>
      <w:r>
        <w:rPr>
          <w:spacing w:val="-91"/>
        </w:rPr>
      </w:r>
      <w:r>
        <w:rPr>
          <w:spacing w:val="-5"/>
        </w:rPr>
        <w:t>室</w:t>
      </w:r>
      <w:r>
        <w:rPr>
          <w:rFonts w:ascii="Times New Roman" w:hAnsi="Times New Roman" w:cs="Times New Roman" w:eastAsia="Times New Roman" w:hint="default"/>
          <w:spacing w:val="-5"/>
        </w:rPr>
        <w:t>-</w:t>
      </w:r>
      <w:r>
        <w:rPr>
          <w:spacing w:val="-5"/>
        </w:rPr>
        <w:t>云学习平台项目”，推进数字出版与教育信息化项目建设。</w:t>
      </w:r>
    </w:p>
    <w:p>
      <w:pPr>
        <w:pStyle w:val="Heading3"/>
        <w:spacing w:line="240" w:lineRule="auto" w:before="5"/>
        <w:ind w:left="626" w:right="253"/>
        <w:jc w:val="left"/>
        <w:rPr>
          <w:b w:val="0"/>
          <w:bCs w:val="0"/>
        </w:rPr>
      </w:pPr>
      <w:r>
        <w:rPr>
          <w:rFonts w:ascii="宋体" w:hAnsi="宋体" w:cs="宋体" w:eastAsia="宋体" w:hint="default"/>
        </w:rPr>
        <w:t>2</w:t>
      </w:r>
      <w:r>
        <w:rPr/>
        <w:t>、加强品质管理，注重双效，打造有品牌影响力的产品体系。</w:t>
      </w:r>
      <w:r>
        <w:rPr>
          <w:b w:val="0"/>
          <w:bCs w:val="0"/>
        </w:rPr>
      </w:r>
    </w:p>
    <w:p>
      <w:pPr>
        <w:pStyle w:val="Heading4"/>
        <w:spacing w:line="357" w:lineRule="auto" w:before="154"/>
        <w:ind w:right="95" w:firstLine="480"/>
        <w:jc w:val="left"/>
      </w:pPr>
      <w:r>
        <w:rPr>
          <w:rFonts w:ascii="宋体" w:hAnsi="宋体" w:cs="宋体" w:eastAsia="宋体" w:hint="default"/>
        </w:rPr>
        <w:t>2013</w:t>
      </w:r>
      <w:r>
        <w:rPr>
          <w:rFonts w:ascii="宋体" w:hAnsi="宋体" w:cs="宋体" w:eastAsia="宋体" w:hint="default"/>
          <w:spacing w:val="-69"/>
        </w:rPr>
        <w:t> </w:t>
      </w:r>
      <w:r>
        <w:rPr/>
        <w:t>年，公司将通过强强合作，推精品力作，建立品质管理体系，形成内容与市场互动 机制，经济效益和社会效益结合，主推重大主题图书和精品常销书，打造有品牌影响力的产</w:t>
      </w:r>
      <w:r>
        <w:rPr>
          <w:spacing w:val="-91"/>
        </w:rPr>
        <w:t> </w:t>
      </w:r>
      <w:r>
        <w:rPr>
          <w:spacing w:val="-91"/>
        </w:rPr>
      </w:r>
      <w:r>
        <w:rPr/>
        <w:t>品体系。对教育类图书，将对不同内容、渠道、资源进行分析、识别，探寻资源与市场的最</w:t>
      </w:r>
      <w:r>
        <w:rPr>
          <w:spacing w:val="-89"/>
        </w:rPr>
        <w:t> </w:t>
      </w:r>
      <w:r>
        <w:rPr>
          <w:spacing w:val="-89"/>
        </w:rPr>
      </w:r>
      <w:r>
        <w:rPr/>
        <w:t>佳结合点，形成一套创造新资源的动态过程，建立起资源整合的管理模型，增强教材教辅在</w:t>
      </w:r>
      <w:r>
        <w:rPr>
          <w:spacing w:val="-91"/>
        </w:rPr>
        <w:t> </w:t>
      </w:r>
      <w:r>
        <w:rPr>
          <w:spacing w:val="-91"/>
        </w:rPr>
      </w:r>
      <w:r>
        <w:rPr/>
        <w:t>整个市场的竞争能力。同时，继续与人教社、语文出版社、中国教育科学院等在全国具有影</w:t>
      </w:r>
      <w:r>
        <w:rPr>
          <w:spacing w:val="-91"/>
        </w:rPr>
        <w:t> </w:t>
      </w:r>
      <w:r>
        <w:rPr>
          <w:spacing w:val="-91"/>
        </w:rPr>
      </w:r>
      <w:r>
        <w:rPr>
          <w:spacing w:val="-3"/>
        </w:rPr>
        <w:t>响力的品牌单位进行深入合作，完善“能力培养与测试、胜券在握、天舟学练王、单元测试、</w:t>
      </w:r>
      <w:r>
        <w:rPr>
          <w:spacing w:val="-82"/>
        </w:rPr>
        <w:t> </w:t>
      </w:r>
      <w:r>
        <w:rPr>
          <w:spacing w:val="-82"/>
        </w:rPr>
      </w:r>
      <w:r>
        <w:rPr/>
        <w:t>红魔英语、</w:t>
      </w:r>
      <w:r>
        <w:rPr>
          <w:rFonts w:ascii="宋体" w:hAnsi="宋体" w:cs="宋体" w:eastAsia="宋体" w:hint="default"/>
        </w:rPr>
        <w:t>UP </w:t>
      </w:r>
      <w:r>
        <w:rPr/>
        <w:t>英语、学</w:t>
      </w:r>
      <w:r>
        <w:rPr>
          <w:rFonts w:ascii="宋体" w:hAnsi="宋体" w:cs="宋体" w:eastAsia="宋体" w:hint="default"/>
        </w:rPr>
        <w:t>+</w:t>
      </w:r>
      <w:r>
        <w:rPr/>
        <w:t>考全通”等项目的研发与全国推广，完成学前教育资源产品开发，</w:t>
      </w:r>
      <w:r>
        <w:rPr>
          <w:spacing w:val="-88"/>
        </w:rPr>
        <w:t> </w:t>
      </w:r>
      <w:r>
        <w:rPr>
          <w:spacing w:val="-88"/>
        </w:rPr>
      </w:r>
      <w:r>
        <w:rPr/>
        <w:t>全力提升公司产品的品质和影响。</w:t>
      </w:r>
    </w:p>
    <w:p>
      <w:pPr>
        <w:pStyle w:val="Heading3"/>
        <w:spacing w:line="240" w:lineRule="auto" w:before="36"/>
        <w:ind w:left="635" w:right="253"/>
        <w:jc w:val="left"/>
        <w:rPr>
          <w:b w:val="0"/>
          <w:bCs w:val="0"/>
        </w:rPr>
      </w:pPr>
      <w:r>
        <w:rPr>
          <w:rFonts w:ascii="宋体" w:hAnsi="宋体" w:cs="宋体" w:eastAsia="宋体" w:hint="default"/>
        </w:rPr>
        <w:t>3</w:t>
      </w:r>
      <w:r>
        <w:rPr/>
        <w:t>、加强市场推广，开辟对外传播渠道。</w:t>
      </w:r>
      <w:r>
        <w:rPr>
          <w:b w:val="0"/>
          <w:bCs w:val="0"/>
        </w:rPr>
      </w:r>
    </w:p>
    <w:p>
      <w:pPr>
        <w:spacing w:after="0" w:line="240" w:lineRule="auto"/>
        <w:jc w:val="left"/>
        <w:sectPr>
          <w:headerReference w:type="default" r:id="rId25"/>
          <w:pgSz w:w="11910" w:h="16840"/>
          <w:pgMar w:header="918" w:footer="999" w:top="1100" w:bottom="1180" w:left="980" w:right="900"/>
        </w:sectPr>
      </w:pPr>
    </w:p>
    <w:p>
      <w:pPr>
        <w:spacing w:line="240" w:lineRule="auto" w:before="7"/>
        <w:rPr>
          <w:rFonts w:ascii="宋体" w:hAnsi="宋体" w:cs="宋体" w:eastAsia="宋体" w:hint="default"/>
          <w:b/>
          <w:bCs/>
          <w:sz w:val="25"/>
          <w:szCs w:val="25"/>
        </w:rPr>
      </w:pPr>
    </w:p>
    <w:p>
      <w:pPr>
        <w:pStyle w:val="Heading4"/>
        <w:spacing w:line="357" w:lineRule="auto" w:before="26"/>
        <w:ind w:right="97" w:firstLine="480"/>
        <w:jc w:val="left"/>
      </w:pPr>
      <w:r>
        <w:rPr/>
        <w:t>公司将在完成</w:t>
      </w:r>
      <w:r>
        <w:rPr>
          <w:spacing w:val="-54"/>
        </w:rPr>
        <w:t> </w:t>
      </w:r>
      <w:r>
        <w:rPr>
          <w:rFonts w:ascii="宋体" w:hAnsi="宋体" w:cs="宋体" w:eastAsia="宋体" w:hint="default"/>
        </w:rPr>
        <w:t>2012</w:t>
      </w:r>
      <w:r>
        <w:rPr>
          <w:rFonts w:ascii="宋体" w:hAnsi="宋体" w:cs="宋体" w:eastAsia="宋体" w:hint="default"/>
          <w:spacing w:val="-53"/>
        </w:rPr>
        <w:t> </w:t>
      </w:r>
      <w:r>
        <w:rPr>
          <w:spacing w:val="-7"/>
        </w:rPr>
        <w:t>年与人教社合作的“中华文化关键词”的产品研发与对外推广的同时，</w:t>
      </w:r>
      <w:r>
        <w:rPr/>
        <w:t> 参考国外汉语教学的经验，将汉语教学和数字出版结合，研究汉语国际教学的一体化解决方</w:t>
      </w:r>
      <w:r>
        <w:rPr>
          <w:spacing w:val="-91"/>
        </w:rPr>
        <w:t> </w:t>
      </w:r>
      <w:r>
        <w:rPr>
          <w:spacing w:val="-91"/>
        </w:rPr>
      </w:r>
      <w:r>
        <w:rPr/>
        <w:t>案，开辟对外传播渠道。</w:t>
      </w:r>
    </w:p>
    <w:p>
      <w:pPr>
        <w:spacing w:line="357" w:lineRule="auto" w:before="36"/>
        <w:ind w:left="633" w:right="215" w:hanging="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、发挥管理服务的支撑功能，助力企业发展。</w:t>
      </w:r>
      <w:r>
        <w:rPr>
          <w:rFonts w:ascii="宋体" w:hAnsi="宋体" w:cs="宋体" w:eastAsia="宋体" w:hint="default"/>
          <w:b/>
          <w:bCs/>
          <w:w w:val="99"/>
          <w:sz w:val="24"/>
          <w:szCs w:val="24"/>
        </w:rPr>
        <w:t> </w:t>
      </w:r>
      <w:r>
        <w:rPr>
          <w:rFonts w:ascii="宋体" w:hAnsi="宋体" w:cs="宋体" w:eastAsia="宋体" w:hint="default"/>
          <w:sz w:val="24"/>
          <w:szCs w:val="24"/>
        </w:rPr>
        <w:t>公司一直以来坚持以业务为中心，围绕业务提供服务支撑。</w:t>
      </w:r>
      <w:r>
        <w:rPr>
          <w:rFonts w:ascii="宋体" w:hAnsi="宋体" w:cs="宋体" w:eastAsia="宋体" w:hint="default"/>
          <w:sz w:val="24"/>
          <w:szCs w:val="24"/>
        </w:rPr>
        <w:t>2013</w:t>
      </w:r>
      <w:r>
        <w:rPr>
          <w:rFonts w:ascii="宋体" w:hAnsi="宋体" w:cs="宋体" w:eastAsia="宋体" w:hint="default"/>
          <w:spacing w:val="-82"/>
          <w:sz w:val="24"/>
          <w:szCs w:val="24"/>
        </w:rPr>
        <w:t> </w:t>
      </w:r>
      <w:r>
        <w:rPr>
          <w:rFonts w:ascii="宋体" w:hAnsi="宋体" w:cs="宋体" w:eastAsia="宋体" w:hint="default"/>
          <w:sz w:val="24"/>
          <w:szCs w:val="24"/>
        </w:rPr>
        <w:t>年，管理部门要坚持以</w:t>
      </w:r>
    </w:p>
    <w:p>
      <w:pPr>
        <w:pStyle w:val="Heading4"/>
        <w:spacing w:line="357" w:lineRule="auto"/>
        <w:ind w:right="95"/>
        <w:jc w:val="left"/>
      </w:pPr>
      <w:r>
        <w:rPr/>
        <w:t>业务发展为重点来提供相应服务，重管理，强服务，监管和服务一体化，加强监管的同时注</w:t>
      </w:r>
      <w:r>
        <w:rPr>
          <w:spacing w:val="-91"/>
        </w:rPr>
        <w:t> </w:t>
      </w:r>
      <w:r>
        <w:rPr>
          <w:spacing w:val="-91"/>
        </w:rPr>
      </w:r>
      <w:r>
        <w:rPr/>
        <w:t>重提高服务质量和水平。</w:t>
      </w:r>
    </w:p>
    <w:p>
      <w:pPr>
        <w:pStyle w:val="Heading4"/>
        <w:spacing w:line="357" w:lineRule="auto"/>
        <w:ind w:right="95" w:firstLine="480"/>
        <w:jc w:val="left"/>
      </w:pPr>
      <w:r>
        <w:rPr>
          <w:spacing w:val="-3"/>
        </w:rPr>
        <w:t>实施全面预算管理。根据公司的实际情况，结合全面预算理念，重新设定预算报表体系，</w:t>
      </w:r>
      <w:r>
        <w:rPr/>
        <w:t> 实施全面预算管理。加强对各项经济指标的动态监控，通过关键指标数据分析及经营分析，</w:t>
      </w:r>
      <w:r>
        <w:rPr>
          <w:spacing w:val="-88"/>
        </w:rPr>
        <w:t> </w:t>
      </w:r>
      <w:r>
        <w:rPr>
          <w:spacing w:val="-88"/>
        </w:rPr>
      </w:r>
      <w:r>
        <w:rPr/>
        <w:t>掌握当月经营的指标完成及变动情况，发现问题及时想办法解决，提高公司管理的针对性，</w:t>
      </w:r>
      <w:r>
        <w:rPr>
          <w:spacing w:val="-88"/>
        </w:rPr>
        <w:t> </w:t>
      </w:r>
      <w:r>
        <w:rPr>
          <w:spacing w:val="-88"/>
        </w:rPr>
      </w:r>
      <w:r>
        <w:rPr/>
        <w:t>引导、支持决策。</w:t>
      </w:r>
    </w:p>
    <w:p>
      <w:pPr>
        <w:spacing w:line="357" w:lineRule="auto" w:before="36"/>
        <w:ind w:left="633" w:right="218"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、以目标管理为基础，加强绩效考核，完善激励机制，打造高绩效团队。</w:t>
      </w:r>
      <w:r>
        <w:rPr>
          <w:rFonts w:ascii="宋体" w:hAnsi="宋体" w:cs="宋体" w:eastAsia="宋体" w:hint="default"/>
          <w:b/>
          <w:bCs/>
          <w:w w:val="99"/>
          <w:sz w:val="24"/>
          <w:szCs w:val="24"/>
        </w:rPr>
        <w:t> </w:t>
      </w:r>
      <w:r>
        <w:rPr>
          <w:rFonts w:ascii="宋体" w:hAnsi="宋体" w:cs="宋体" w:eastAsia="宋体" w:hint="default"/>
          <w:spacing w:val="-5"/>
          <w:sz w:val="24"/>
          <w:szCs w:val="24"/>
        </w:rPr>
        <w:t>公司将以目标管理为基础，加强绩效考核，不断完善激励机制，适时推动股权激励。</w:t>
      </w:r>
      <w:r>
        <w:rPr>
          <w:rFonts w:ascii="宋体" w:hAnsi="宋体" w:cs="宋体" w:eastAsia="宋体" w:hint="default"/>
          <w:spacing w:val="-5"/>
          <w:sz w:val="24"/>
          <w:szCs w:val="24"/>
        </w:rPr>
        <w:t>2013</w:t>
      </w:r>
    </w:p>
    <w:p>
      <w:pPr>
        <w:pStyle w:val="Heading4"/>
        <w:spacing w:line="357" w:lineRule="auto"/>
        <w:ind w:left="633" w:right="95" w:hanging="480"/>
        <w:jc w:val="left"/>
      </w:pPr>
      <w:r>
        <w:rPr/>
        <w:t>年应严格将单位考核结果与单位薪酬总额挂钩以强化单位盈利能力。 公司在加强人才引进，尤其是新业态人才、高端管理人才引进外，将更注重人才的内部</w:t>
      </w:r>
    </w:p>
    <w:p>
      <w:pPr>
        <w:spacing w:line="528" w:lineRule="auto" w:before="36"/>
        <w:ind w:left="153" w:right="3349" w:firstLine="0"/>
        <w:jc w:val="left"/>
        <w:rPr>
          <w:rFonts w:ascii="宋体" w:hAnsi="宋体" w:cs="宋体" w:eastAsia="宋体" w:hint="default"/>
          <w:sz w:val="24"/>
          <w:szCs w:val="24"/>
        </w:rPr>
      </w:pPr>
      <w:r>
        <w:rPr>
          <w:rFonts w:ascii="宋体" w:hAnsi="宋体" w:cs="宋体" w:eastAsia="宋体" w:hint="default"/>
          <w:sz w:val="24"/>
          <w:szCs w:val="24"/>
        </w:rPr>
        <w:t>培养，为员工发展创设通道。 </w:t>
      </w:r>
      <w:r>
        <w:rPr>
          <w:rFonts w:ascii="宋体" w:hAnsi="宋体" w:cs="宋体" w:eastAsia="宋体" w:hint="default"/>
          <w:b/>
          <w:bCs/>
          <w:sz w:val="24"/>
          <w:szCs w:val="24"/>
        </w:rPr>
        <w:t>四、董事会对会计师事务所本报告期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pStyle w:val="BodyText"/>
        <w:spacing w:line="240" w:lineRule="auto" w:before="7"/>
        <w:ind w:left="513" w:right="253"/>
        <w:jc w:val="left"/>
      </w:pPr>
      <w:r>
        <w:rPr/>
        <w:t>不适用。</w:t>
      </w:r>
    </w:p>
    <w:p>
      <w:pPr>
        <w:spacing w:line="240" w:lineRule="auto" w:before="3"/>
        <w:rPr>
          <w:rFonts w:ascii="宋体" w:hAnsi="宋体" w:cs="宋体" w:eastAsia="宋体" w:hint="default"/>
          <w:sz w:val="25"/>
          <w:szCs w:val="25"/>
        </w:rPr>
      </w:pPr>
    </w:p>
    <w:p>
      <w:pPr>
        <w:pStyle w:val="Heading3"/>
        <w:spacing w:line="240" w:lineRule="auto"/>
        <w:ind w:right="253"/>
        <w:jc w:val="left"/>
        <w:rPr>
          <w:b w:val="0"/>
          <w:bCs w:val="0"/>
        </w:rPr>
      </w:pPr>
      <w:r>
        <w:rPr/>
        <w:t>五、董事会关于报告期会计政策、会计估计变更或重要前期差错更正的说明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253"/>
        <w:jc w:val="left"/>
      </w:pPr>
      <w:r>
        <w:rPr/>
        <w:t>报告期没有发生会计政策、会计估计变更或重要前期差错更正的情形。</w:t>
      </w:r>
    </w:p>
    <w:p>
      <w:pPr>
        <w:spacing w:line="692" w:lineRule="exact" w:before="57"/>
        <w:ind w:left="153" w:right="6239" w:firstLine="0"/>
        <w:jc w:val="left"/>
        <w:rPr>
          <w:rFonts w:ascii="宋体" w:hAnsi="宋体" w:cs="宋体" w:eastAsia="宋体" w:hint="default"/>
          <w:sz w:val="24"/>
          <w:szCs w:val="24"/>
        </w:rPr>
      </w:pPr>
      <w:r>
        <w:rPr>
          <w:rFonts w:ascii="宋体" w:hAnsi="宋体" w:cs="宋体" w:eastAsia="宋体" w:hint="default"/>
          <w:b/>
          <w:bCs/>
          <w:sz w:val="24"/>
          <w:szCs w:val="24"/>
        </w:rPr>
        <w:t>六、公司利润分配及分红派息情况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、利润分配政策</w:t>
      </w:r>
    </w:p>
    <w:p>
      <w:pPr>
        <w:pStyle w:val="Heading4"/>
        <w:spacing w:line="357" w:lineRule="auto" w:before="50"/>
        <w:ind w:right="253" w:firstLine="360"/>
        <w:jc w:val="left"/>
      </w:pPr>
      <w:r>
        <w:rPr/>
        <w:t>（</w:t>
      </w:r>
      <w:r>
        <w:rPr>
          <w:rFonts w:ascii="宋体" w:hAnsi="宋体" w:cs="宋体" w:eastAsia="宋体" w:hint="default"/>
        </w:rPr>
        <w:t>1</w:t>
      </w:r>
      <w:r>
        <w:rPr/>
        <w:t>）公司每年将根据当期的经营情况和资金需求计划，在充分考虑股东利益的基础上正 确处理短期利益和公司的长远发展的关系，确定合理的股利分配方案；</w:t>
      </w:r>
    </w:p>
    <w:p>
      <w:pPr>
        <w:pStyle w:val="Heading4"/>
        <w:spacing w:line="240" w:lineRule="auto"/>
        <w:ind w:left="513" w:right="253"/>
        <w:jc w:val="left"/>
      </w:pPr>
      <w:r>
        <w:rPr/>
        <w:t>（</w:t>
      </w:r>
      <w:r>
        <w:rPr>
          <w:rFonts w:ascii="宋体" w:hAnsi="宋体" w:cs="宋体" w:eastAsia="宋体" w:hint="default"/>
        </w:rPr>
        <w:t>2</w:t>
      </w:r>
      <w:r>
        <w:rPr/>
        <w:t>）公司可以采取现金或者股票方式分配股利，可以进行中期现金分红；</w:t>
      </w:r>
    </w:p>
    <w:p>
      <w:pPr>
        <w:pStyle w:val="Heading4"/>
        <w:spacing w:line="357" w:lineRule="auto" w:before="154"/>
        <w:ind w:right="253" w:firstLine="360"/>
        <w:jc w:val="left"/>
      </w:pPr>
      <w:r>
        <w:rPr/>
        <w:t>（</w:t>
      </w:r>
      <w:r>
        <w:rPr>
          <w:rFonts w:ascii="宋体" w:hAnsi="宋体" w:cs="宋体" w:eastAsia="宋体" w:hint="default"/>
        </w:rPr>
        <w:t>3</w:t>
      </w:r>
      <w:r>
        <w:rPr/>
        <w:t>）公司董事会未做出现金利润分配预案的，应当在定期报告中披露未分红的原因、未 用于分红的资金留存公司的用途，独立董事应当对此发表独立意见；</w:t>
      </w:r>
    </w:p>
    <w:p>
      <w:pPr>
        <w:spacing w:after="0" w:line="357" w:lineRule="auto"/>
        <w:jc w:val="left"/>
        <w:sectPr>
          <w:pgSz w:w="11910" w:h="16840"/>
          <w:pgMar w:header="918" w:footer="999" w:top="1100" w:bottom="1180" w:left="980" w:right="900"/>
        </w:sectPr>
      </w:pPr>
    </w:p>
    <w:p>
      <w:pPr>
        <w:spacing w:line="240" w:lineRule="auto" w:before="7"/>
        <w:rPr>
          <w:rFonts w:ascii="宋体" w:hAnsi="宋体" w:cs="宋体" w:eastAsia="宋体" w:hint="default"/>
          <w:sz w:val="25"/>
          <w:szCs w:val="25"/>
        </w:rPr>
      </w:pPr>
    </w:p>
    <w:p>
      <w:pPr>
        <w:pStyle w:val="Heading4"/>
        <w:spacing w:line="357" w:lineRule="auto" w:before="26"/>
        <w:ind w:right="253" w:firstLine="360"/>
        <w:jc w:val="left"/>
      </w:pPr>
      <w:r>
        <w:rPr/>
        <w:t>（</w:t>
      </w:r>
      <w:r>
        <w:rPr>
          <w:rFonts w:ascii="宋体" w:hAnsi="宋体" w:cs="宋体" w:eastAsia="宋体" w:hint="default"/>
        </w:rPr>
        <w:t>3</w:t>
      </w:r>
      <w:r>
        <w:rPr/>
        <w:t>）存在股东违规占用公司资金情况的，公司应当扣减该股东所分配的现金红利，以偿 还其占用的资金；</w:t>
      </w:r>
    </w:p>
    <w:p>
      <w:pPr>
        <w:pStyle w:val="Heading4"/>
        <w:spacing w:line="357" w:lineRule="auto"/>
        <w:ind w:right="215" w:firstLine="360"/>
        <w:jc w:val="left"/>
      </w:pPr>
      <w:r>
        <w:rPr>
          <w:spacing w:val="-2"/>
        </w:rPr>
        <w:t>（</w:t>
      </w:r>
      <w:r>
        <w:rPr>
          <w:rFonts w:ascii="宋体" w:hAnsi="宋体" w:cs="宋体" w:eastAsia="宋体" w:hint="default"/>
          <w:spacing w:val="-2"/>
        </w:rPr>
        <w:t>4</w:t>
      </w:r>
      <w:r>
        <w:rPr>
          <w:spacing w:val="-2"/>
        </w:rPr>
        <w:t>）公司每年以现金方式分配的利润不少于当年实现的可分配利润的</w:t>
      </w:r>
      <w:r>
        <w:rPr>
          <w:rFonts w:ascii="宋体" w:hAnsi="宋体" w:cs="宋体" w:eastAsia="宋体" w:hint="default"/>
          <w:spacing w:val="-2"/>
        </w:rPr>
        <w:t>10%</w:t>
      </w:r>
      <w:r>
        <w:rPr>
          <w:spacing w:val="-2"/>
        </w:rPr>
        <w:t>，或连续三年以</w:t>
      </w:r>
      <w:r>
        <w:rPr/>
        <w:t> 现金方式累计分配的利润不少于三年平均可分配利润的</w:t>
      </w:r>
      <w:r>
        <w:rPr>
          <w:rFonts w:ascii="宋体" w:hAnsi="宋体" w:cs="宋体" w:eastAsia="宋体" w:hint="default"/>
        </w:rPr>
        <w:t>30%</w:t>
      </w:r>
      <w:r>
        <w:rPr/>
        <w:t>。</w:t>
      </w:r>
    </w:p>
    <w:p>
      <w:pPr>
        <w:pStyle w:val="Heading4"/>
        <w:spacing w:line="240" w:lineRule="auto"/>
        <w:ind w:left="633" w:right="253"/>
        <w:jc w:val="left"/>
      </w:pPr>
      <w:r>
        <w:rPr>
          <w:rFonts w:ascii="宋体" w:hAnsi="宋体" w:cs="宋体" w:eastAsia="宋体" w:hint="default"/>
        </w:rPr>
        <w:t>2</w:t>
      </w:r>
      <w:r>
        <w:rPr/>
        <w:t>、分红派息执行情况</w:t>
      </w:r>
    </w:p>
    <w:p>
      <w:pPr>
        <w:pStyle w:val="Heading4"/>
        <w:spacing w:line="357" w:lineRule="auto" w:before="154"/>
        <w:ind w:right="254" w:firstLine="360"/>
        <w:jc w:val="left"/>
      </w:pPr>
      <w:r>
        <w:rPr/>
        <w:t>（</w:t>
      </w:r>
      <w:r>
        <w:rPr>
          <w:rFonts w:ascii="宋体" w:hAnsi="宋体" w:cs="宋体" w:eastAsia="宋体" w:hint="default"/>
        </w:rPr>
        <w:t>1</w:t>
      </w:r>
      <w:r>
        <w:rPr/>
        <w:t>）根据公司</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w:t>
      </w:r>
      <w:r>
        <w:rPr/>
        <w:t>日召开的</w:t>
      </w:r>
      <w:r>
        <w:rPr>
          <w:rFonts w:ascii="宋体" w:hAnsi="宋体" w:cs="宋体" w:eastAsia="宋体" w:hint="default"/>
        </w:rPr>
        <w:t>2008 </w:t>
      </w:r>
      <w:r>
        <w:rPr/>
        <w:t>年度股东大会决议，公司以</w:t>
      </w:r>
      <w:r>
        <w:rPr>
          <w:rFonts w:ascii="宋体" w:hAnsi="宋体" w:cs="宋体" w:eastAsia="宋体" w:hint="default"/>
        </w:rPr>
        <w:t>2008</w:t>
      </w:r>
      <w:r>
        <w:rPr>
          <w:rFonts w:ascii="宋体" w:hAnsi="宋体" w:cs="宋体" w:eastAsia="宋体" w:hint="default"/>
          <w:spacing w:val="-1"/>
        </w:rPr>
        <w:t> </w:t>
      </w:r>
      <w:r>
        <w:rPr/>
        <w:t>年</w:t>
      </w:r>
      <w:r>
        <w:rPr>
          <w:rFonts w:ascii="宋体" w:hAnsi="宋体" w:cs="宋体" w:eastAsia="宋体" w:hint="default"/>
        </w:rPr>
        <w:t>12</w:t>
      </w:r>
      <w:r>
        <w:rPr/>
        <w:t>月</w:t>
      </w:r>
      <w:r>
        <w:rPr>
          <w:rFonts w:ascii="宋体" w:hAnsi="宋体" w:cs="宋体" w:eastAsia="宋体" w:hint="default"/>
        </w:rPr>
        <w:t>31</w:t>
      </w:r>
      <w:r>
        <w:rPr/>
        <w:t>日的 总股本</w:t>
      </w:r>
      <w:r>
        <w:rPr>
          <w:rFonts w:ascii="宋体" w:hAnsi="宋体" w:cs="宋体" w:eastAsia="宋体" w:hint="default"/>
        </w:rPr>
        <w:t>5600</w:t>
      </w:r>
      <w:r>
        <w:rPr/>
        <w:t>万股为基数，向全体股东每</w:t>
      </w:r>
      <w:r>
        <w:rPr>
          <w:rFonts w:ascii="宋体" w:hAnsi="宋体" w:cs="宋体" w:eastAsia="宋体" w:hint="default"/>
        </w:rPr>
        <w:t>10</w:t>
      </w:r>
      <w:r>
        <w:rPr/>
        <w:t>股派发现金股利</w:t>
      </w:r>
      <w:r>
        <w:rPr>
          <w:rFonts w:ascii="宋体" w:hAnsi="宋体" w:cs="宋体" w:eastAsia="宋体" w:hint="default"/>
        </w:rPr>
        <w:t>0.73</w:t>
      </w:r>
      <w:r>
        <w:rPr/>
        <w:t>元，共计派发现金股利</w:t>
      </w:r>
      <w:r>
        <w:rPr>
          <w:rFonts w:ascii="宋体" w:hAnsi="宋体" w:cs="宋体" w:eastAsia="宋体" w:hint="default"/>
        </w:rPr>
        <w:t>408.8 </w:t>
      </w:r>
      <w:r>
        <w:rPr/>
        <w:t>万元。</w:t>
      </w:r>
    </w:p>
    <w:p>
      <w:pPr>
        <w:pStyle w:val="Heading4"/>
        <w:spacing w:line="357" w:lineRule="auto" w:before="37"/>
        <w:ind w:right="95" w:firstLine="360"/>
        <w:jc w:val="left"/>
      </w:pPr>
      <w:r>
        <w:rPr/>
        <w:t>（</w:t>
      </w:r>
      <w:r>
        <w:rPr>
          <w:rFonts w:ascii="宋体" w:hAnsi="宋体" w:cs="宋体" w:eastAsia="宋体" w:hint="default"/>
        </w:rPr>
        <w:t>2</w:t>
      </w:r>
      <w:r>
        <w:rPr/>
        <w:t>）根据公司</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5</w:t>
      </w:r>
      <w:r>
        <w:rPr/>
        <w:t>日召开的</w:t>
      </w:r>
      <w:r>
        <w:rPr>
          <w:rFonts w:ascii="宋体" w:hAnsi="宋体" w:cs="宋体" w:eastAsia="宋体" w:hint="default"/>
        </w:rPr>
        <w:t>2010</w:t>
      </w:r>
      <w:r>
        <w:rPr/>
        <w:t>年第一次临时股东大会决议，公司以</w:t>
      </w:r>
      <w:r>
        <w:rPr>
          <w:rFonts w:ascii="宋体" w:hAnsi="宋体" w:cs="宋体" w:eastAsia="宋体" w:hint="default"/>
        </w:rPr>
        <w:t>2009</w:t>
      </w:r>
      <w:r>
        <w:rPr/>
        <w:t>年末的 </w:t>
      </w:r>
      <w:r>
        <w:rPr>
          <w:spacing w:val="-5"/>
        </w:rPr>
        <w:t>总股本</w:t>
      </w:r>
      <w:r>
        <w:rPr>
          <w:rFonts w:ascii="宋体" w:hAnsi="宋体" w:cs="宋体" w:eastAsia="宋体" w:hint="default"/>
          <w:spacing w:val="-5"/>
        </w:rPr>
        <w:t>5600</w:t>
      </w:r>
      <w:r>
        <w:rPr>
          <w:spacing w:val="-5"/>
        </w:rPr>
        <w:t>万股为基数，向全体股东每</w:t>
      </w:r>
      <w:r>
        <w:rPr>
          <w:rFonts w:ascii="宋体" w:hAnsi="宋体" w:cs="宋体" w:eastAsia="宋体" w:hint="default"/>
          <w:spacing w:val="-5"/>
        </w:rPr>
        <w:t>10</w:t>
      </w:r>
      <w:r>
        <w:rPr>
          <w:spacing w:val="-5"/>
        </w:rPr>
        <w:t>股派发现金股利</w:t>
      </w:r>
      <w:r>
        <w:rPr>
          <w:rFonts w:ascii="宋体" w:hAnsi="宋体" w:cs="宋体" w:eastAsia="宋体" w:hint="default"/>
          <w:spacing w:val="-5"/>
        </w:rPr>
        <w:t>1.00</w:t>
      </w:r>
      <w:r>
        <w:rPr>
          <w:spacing w:val="-5"/>
        </w:rPr>
        <w:t>元，共计派发现金股利</w:t>
      </w:r>
      <w:r>
        <w:rPr>
          <w:rFonts w:ascii="宋体" w:hAnsi="宋体" w:cs="宋体" w:eastAsia="宋体" w:hint="default"/>
          <w:spacing w:val="-5"/>
        </w:rPr>
        <w:t>560</w:t>
      </w:r>
      <w:r>
        <w:rPr>
          <w:spacing w:val="-5"/>
        </w:rPr>
        <w:t>万元。</w:t>
      </w:r>
    </w:p>
    <w:p>
      <w:pPr>
        <w:pStyle w:val="Heading4"/>
        <w:spacing w:line="357" w:lineRule="auto"/>
        <w:ind w:right="95" w:firstLine="360"/>
        <w:jc w:val="left"/>
      </w:pPr>
      <w:r>
        <w:rPr>
          <w:spacing w:val="-2"/>
        </w:rPr>
        <w:t>（</w:t>
      </w:r>
      <w:r>
        <w:rPr>
          <w:rFonts w:ascii="宋体" w:hAnsi="宋体" w:cs="宋体" w:eastAsia="宋体" w:hint="default"/>
          <w:spacing w:val="-2"/>
        </w:rPr>
        <w:t>3</w:t>
      </w:r>
      <w:r>
        <w:rPr>
          <w:spacing w:val="-2"/>
        </w:rPr>
        <w:t>）根据公司</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日召开的</w:t>
      </w:r>
      <w:r>
        <w:rPr>
          <w:rFonts w:ascii="宋体" w:hAnsi="宋体" w:cs="宋体" w:eastAsia="宋体" w:hint="default"/>
          <w:spacing w:val="-2"/>
        </w:rPr>
        <w:t>2010</w:t>
      </w:r>
      <w:r>
        <w:rPr>
          <w:spacing w:val="-2"/>
        </w:rPr>
        <w:t>度股东大会决议，公司以</w:t>
      </w:r>
      <w:r>
        <w:rPr>
          <w:rFonts w:ascii="宋体" w:hAnsi="宋体" w:cs="宋体" w:eastAsia="宋体" w:hint="default"/>
          <w:spacing w:val="-2"/>
        </w:rPr>
        <w:t>2010</w:t>
      </w:r>
      <w:r>
        <w:rPr>
          <w:spacing w:val="-2"/>
        </w:rPr>
        <w:t>年末的总股本</w:t>
      </w:r>
      <w:r>
        <w:rPr>
          <w:rFonts w:ascii="宋体" w:hAnsi="宋体" w:cs="宋体" w:eastAsia="宋体" w:hint="default"/>
          <w:spacing w:val="-2"/>
        </w:rPr>
        <w:t>7500</w:t>
      </w:r>
      <w:r>
        <w:rPr>
          <w:rFonts w:ascii="宋体" w:hAnsi="宋体" w:cs="宋体" w:eastAsia="宋体" w:hint="default"/>
        </w:rPr>
        <w:t> </w:t>
      </w:r>
      <w:r>
        <w:rPr/>
        <w:t>万股为基数，向全体股东每</w:t>
      </w:r>
      <w:r>
        <w:rPr>
          <w:rFonts w:ascii="宋体" w:hAnsi="宋体" w:cs="宋体" w:eastAsia="宋体" w:hint="default"/>
        </w:rPr>
        <w:t>10</w:t>
      </w:r>
      <w:r>
        <w:rPr/>
        <w:t>股派发现金股利</w:t>
      </w:r>
      <w:r>
        <w:rPr>
          <w:rFonts w:ascii="宋体" w:hAnsi="宋体" w:cs="宋体" w:eastAsia="宋体" w:hint="default"/>
        </w:rPr>
        <w:t>1.5</w:t>
      </w:r>
      <w:r>
        <w:rPr/>
        <w:t>元，共计派送现金</w:t>
      </w:r>
      <w:r>
        <w:rPr>
          <w:rFonts w:ascii="宋体" w:hAnsi="宋体" w:cs="宋体" w:eastAsia="宋体" w:hint="default"/>
        </w:rPr>
        <w:t>11,250,000</w:t>
      </w:r>
      <w:r>
        <w:rPr/>
        <w:t>元。</w:t>
      </w:r>
    </w:p>
    <w:p>
      <w:pPr>
        <w:pStyle w:val="Heading4"/>
        <w:spacing w:line="357" w:lineRule="auto"/>
        <w:ind w:right="95" w:firstLine="360"/>
        <w:jc w:val="left"/>
      </w:pPr>
      <w:r>
        <w:rPr>
          <w:spacing w:val="-2"/>
        </w:rPr>
        <w:t>（</w:t>
      </w:r>
      <w:r>
        <w:rPr>
          <w:rFonts w:ascii="宋体" w:hAnsi="宋体" w:cs="宋体" w:eastAsia="宋体" w:hint="default"/>
          <w:spacing w:val="-2"/>
        </w:rPr>
        <w:t>4</w:t>
      </w:r>
      <w:r>
        <w:rPr>
          <w:spacing w:val="-2"/>
        </w:rPr>
        <w:t>）根据公司</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17</w:t>
      </w:r>
      <w:r>
        <w:rPr>
          <w:spacing w:val="-2"/>
        </w:rPr>
        <w:t>日召开的</w:t>
      </w:r>
      <w:r>
        <w:rPr>
          <w:rFonts w:ascii="宋体" w:hAnsi="宋体" w:cs="宋体" w:eastAsia="宋体" w:hint="default"/>
          <w:spacing w:val="-2"/>
        </w:rPr>
        <w:t>2011</w:t>
      </w:r>
      <w:r>
        <w:rPr>
          <w:spacing w:val="-2"/>
        </w:rPr>
        <w:t>度股东大会决议，公司以</w:t>
      </w:r>
      <w:r>
        <w:rPr>
          <w:rFonts w:ascii="宋体" w:hAnsi="宋体" w:cs="宋体" w:eastAsia="宋体" w:hint="default"/>
          <w:spacing w:val="-2"/>
        </w:rPr>
        <w:t>2011</w:t>
      </w:r>
      <w:r>
        <w:rPr>
          <w:spacing w:val="-2"/>
        </w:rPr>
        <w:t>年末的总股本</w:t>
      </w:r>
      <w:r>
        <w:rPr>
          <w:rFonts w:ascii="宋体" w:hAnsi="宋体" w:cs="宋体" w:eastAsia="宋体" w:hint="default"/>
          <w:spacing w:val="-2"/>
        </w:rPr>
        <w:t>9750</w:t>
      </w:r>
      <w:r>
        <w:rPr>
          <w:rFonts w:ascii="宋体" w:hAnsi="宋体" w:cs="宋体" w:eastAsia="宋体" w:hint="default"/>
        </w:rPr>
        <w:t> </w:t>
      </w:r>
      <w:r>
        <w:rPr/>
        <w:t>万股为基数，向全体股东每</w:t>
      </w:r>
      <w:r>
        <w:rPr>
          <w:rFonts w:ascii="宋体" w:hAnsi="宋体" w:cs="宋体" w:eastAsia="宋体" w:hint="default"/>
        </w:rPr>
        <w:t>10</w:t>
      </w:r>
      <w:r>
        <w:rPr/>
        <w:t>股派发现金股利</w:t>
      </w:r>
      <w:r>
        <w:rPr>
          <w:rFonts w:ascii="宋体" w:hAnsi="宋体" w:cs="宋体" w:eastAsia="宋体" w:hint="default"/>
        </w:rPr>
        <w:t>1.5</w:t>
      </w:r>
      <w:r>
        <w:rPr/>
        <w:t>元，共计派送现金</w:t>
      </w:r>
      <w:r>
        <w:rPr>
          <w:rFonts w:ascii="宋体" w:hAnsi="宋体" w:cs="宋体" w:eastAsia="宋体" w:hint="default"/>
        </w:rPr>
        <w:t>14,625,000</w:t>
      </w:r>
      <w:r>
        <w:rPr/>
        <w:t>元。</w:t>
      </w:r>
    </w:p>
    <w:p>
      <w:pPr>
        <w:spacing w:line="240" w:lineRule="auto" w:before="8"/>
        <w:rPr>
          <w:rFonts w:ascii="宋体" w:hAnsi="宋体" w:cs="宋体" w:eastAsia="宋体" w:hint="default"/>
          <w:sz w:val="26"/>
          <w:szCs w:val="26"/>
        </w:rPr>
      </w:pPr>
    </w:p>
    <w:p>
      <w:pPr>
        <w:pStyle w:val="Heading3"/>
        <w:spacing w:line="338" w:lineRule="auto"/>
        <w:ind w:right="95" w:firstLine="482"/>
        <w:jc w:val="left"/>
        <w:rPr>
          <w:b w:val="0"/>
          <w:bCs w:val="0"/>
        </w:rPr>
      </w:pPr>
      <w:r>
        <w:rPr>
          <w:rFonts w:ascii="Times New Roman" w:hAnsi="Times New Roman" w:cs="Times New Roman" w:eastAsia="Times New Roman" w:hint="default"/>
          <w:spacing w:val="-3"/>
          <w:w w:val="99"/>
        </w:rPr>
        <w:t>3</w:t>
      </w:r>
      <w:r>
        <w:rPr>
          <w:spacing w:val="-3"/>
          <w:w w:val="99"/>
        </w:rPr>
        <w:t>、公司报告期利润分配预案及资本公积金转增股本预案与公司章程和分红管理办法等的</w:t>
      </w:r>
      <w:r>
        <w:rPr>
          <w:w w:val="99"/>
        </w:rPr>
        <w:t> </w:t>
      </w:r>
      <w:r>
        <w:rPr/>
        <w:t>相关规定一致</w:t>
      </w:r>
      <w:r>
        <w:rPr>
          <w:b w:val="0"/>
          <w:bCs w:val="0"/>
        </w:rPr>
      </w:r>
    </w:p>
    <w:p>
      <w:pPr>
        <w:pStyle w:val="BodyText"/>
        <w:spacing w:line="309" w:lineRule="auto" w:before="25"/>
        <w:ind w:right="33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126,750,000.00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66,950,654.58</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司总股份</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w:t>
            </w:r>
            <w:r>
              <w:rPr>
                <w:rFonts w:ascii="宋体" w:hAnsi="宋体" w:cs="宋体" w:eastAsia="宋体" w:hint="default"/>
                <w:spacing w:val="-3"/>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.8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，共计派</w:t>
            </w:r>
          </w:p>
          <w:p>
            <w:pPr>
              <w:pStyle w:val="TableParagraph"/>
              <w:spacing w:line="300" w:lineRule="auto" w:before="60"/>
              <w:ind w:left="12" w:right="81"/>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1014 </w:t>
            </w:r>
            <w:r>
              <w:rPr>
                <w:rFonts w:ascii="宋体" w:hAnsi="宋体" w:cs="宋体" w:eastAsia="宋体" w:hint="default"/>
                <w:sz w:val="18"/>
                <w:szCs w:val="18"/>
              </w:rPr>
              <w:t>万元，同时，拟以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年末的总股本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12675 </w:t>
            </w:r>
            <w:r>
              <w:rPr>
                <w:rFonts w:ascii="宋体" w:hAnsi="宋体" w:cs="宋体" w:eastAsia="宋体" w:hint="default"/>
                <w:sz w:val="18"/>
                <w:szCs w:val="18"/>
              </w:rPr>
              <w:t>万股为基数，以资本公积金每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股。剩余未分配利润结转 下一年度。</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3"/>
        <w:spacing w:line="240" w:lineRule="auto" w:before="26"/>
        <w:ind w:left="635" w:right="253"/>
        <w:jc w:val="left"/>
        <w:rPr>
          <w:b w:val="0"/>
          <w:bCs w:val="0"/>
        </w:rPr>
      </w:pPr>
      <w:r>
        <w:rPr>
          <w:rFonts w:ascii="宋体" w:hAnsi="宋体" w:cs="宋体" w:eastAsia="宋体" w:hint="default"/>
        </w:rPr>
        <w:t>4</w:t>
      </w:r>
      <w:r>
        <w:rPr/>
        <w:t>、公司近</w:t>
      </w:r>
      <w:r>
        <w:rPr>
          <w:spacing w:val="-65"/>
        </w:rPr>
        <w:t> </w:t>
      </w:r>
      <w:r>
        <w:rPr>
          <w:rFonts w:ascii="宋体" w:hAnsi="宋体" w:cs="宋体" w:eastAsia="宋体" w:hint="default"/>
        </w:rPr>
        <w:t>3</w:t>
      </w:r>
      <w:r>
        <w:rPr>
          <w:rFonts w:ascii="宋体" w:hAnsi="宋体" w:cs="宋体" w:eastAsia="宋体" w:hint="default"/>
          <w:spacing w:val="-64"/>
        </w:rPr>
        <w:t> </w:t>
      </w:r>
      <w:r>
        <w:rPr/>
        <w:t>年（含报告期）的利润分配方案及资本公积金转增股本方案情况</w:t>
      </w:r>
      <w:r>
        <w:rPr>
          <w:b w:val="0"/>
          <w:bCs w:val="0"/>
        </w:rPr>
      </w:r>
    </w:p>
    <w:p>
      <w:pPr>
        <w:pStyle w:val="Heading4"/>
        <w:spacing w:line="240" w:lineRule="auto" w:before="154"/>
        <w:ind w:left="633" w:right="95"/>
        <w:jc w:val="left"/>
      </w:pPr>
      <w:r>
        <w:rPr/>
        <w:t>（</w:t>
      </w:r>
      <w:r>
        <w:rPr>
          <w:rFonts w:ascii="宋体" w:hAnsi="宋体" w:cs="宋体" w:eastAsia="宋体" w:hint="default"/>
        </w:rPr>
        <w:t>1</w:t>
      </w:r>
      <w:r>
        <w:rPr/>
        <w:t>）根据公司</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5</w:t>
      </w:r>
      <w:r>
        <w:rPr/>
        <w:t>日召开的</w:t>
      </w:r>
      <w:r>
        <w:rPr>
          <w:rFonts w:ascii="宋体" w:hAnsi="宋体" w:cs="宋体" w:eastAsia="宋体" w:hint="default"/>
        </w:rPr>
        <w:t>2010</w:t>
      </w:r>
      <w:r>
        <w:rPr/>
        <w:t>年第一次临时股东大会决议，公司以</w:t>
      </w:r>
      <w:r>
        <w:rPr>
          <w:rFonts w:ascii="宋体" w:hAnsi="宋体" w:cs="宋体" w:eastAsia="宋体" w:hint="default"/>
        </w:rPr>
        <w:t>2009</w:t>
      </w:r>
      <w:r>
        <w:rPr/>
        <w:t>年末的</w:t>
      </w:r>
    </w:p>
    <w:p>
      <w:pPr>
        <w:spacing w:after="0" w:line="240" w:lineRule="auto"/>
        <w:jc w:val="left"/>
        <w:sectPr>
          <w:pgSz w:w="11910" w:h="16840"/>
          <w:pgMar w:header="918" w:footer="999" w:top="1100" w:bottom="1180" w:left="980" w:right="900"/>
        </w:sectPr>
      </w:pPr>
    </w:p>
    <w:p>
      <w:pPr>
        <w:spacing w:line="240" w:lineRule="auto" w:before="7"/>
        <w:rPr>
          <w:rFonts w:ascii="宋体" w:hAnsi="宋体" w:cs="宋体" w:eastAsia="宋体" w:hint="default"/>
          <w:sz w:val="25"/>
          <w:szCs w:val="25"/>
        </w:rPr>
      </w:pPr>
    </w:p>
    <w:p>
      <w:pPr>
        <w:pStyle w:val="Heading4"/>
        <w:spacing w:line="240" w:lineRule="auto" w:before="26"/>
        <w:ind w:right="0"/>
        <w:jc w:val="left"/>
      </w:pPr>
      <w:r>
        <w:rPr/>
        <w:t>总股本</w:t>
      </w:r>
      <w:r>
        <w:rPr>
          <w:rFonts w:ascii="宋体" w:hAnsi="宋体" w:cs="宋体" w:eastAsia="宋体" w:hint="default"/>
        </w:rPr>
        <w:t>560</w:t>
      </w:r>
      <w:r>
        <w:rPr>
          <w:rFonts w:ascii="宋体" w:hAnsi="宋体" w:cs="宋体" w:eastAsia="宋体" w:hint="default"/>
          <w:spacing w:val="-1"/>
        </w:rPr>
        <w:t>0</w:t>
      </w:r>
      <w:r>
        <w:rPr/>
        <w:t>万股为基数</w:t>
      </w:r>
      <w:r>
        <w:rPr>
          <w:spacing w:val="-101"/>
        </w:rPr>
        <w:t>，</w:t>
      </w:r>
      <w:r>
        <w:rPr/>
        <w:t>向全体股东每</w:t>
      </w:r>
      <w:r>
        <w:rPr>
          <w:rFonts w:ascii="宋体" w:hAnsi="宋体" w:cs="宋体" w:eastAsia="宋体" w:hint="default"/>
        </w:rPr>
        <w:t>10</w:t>
      </w:r>
      <w:r>
        <w:rPr/>
        <w:t>股派发现金股利</w:t>
      </w:r>
      <w:r>
        <w:rPr>
          <w:rFonts w:ascii="宋体" w:hAnsi="宋体" w:cs="宋体" w:eastAsia="宋体" w:hint="default"/>
        </w:rPr>
        <w:t>1.00</w:t>
      </w:r>
      <w:r>
        <w:rPr/>
        <w:t>元</w:t>
      </w:r>
      <w:r>
        <w:rPr>
          <w:spacing w:val="-101"/>
        </w:rPr>
        <w:t>，</w:t>
      </w:r>
      <w:r>
        <w:rPr/>
        <w:t>共计派发现金股利</w:t>
      </w:r>
      <w:r>
        <w:rPr>
          <w:rFonts w:ascii="宋体" w:hAnsi="宋体" w:cs="宋体" w:eastAsia="宋体" w:hint="default"/>
        </w:rPr>
        <w:t>560</w:t>
      </w:r>
      <w:r>
        <w:rPr/>
        <w:t>万元。</w:t>
      </w:r>
    </w:p>
    <w:p>
      <w:pPr>
        <w:pStyle w:val="Heading4"/>
        <w:spacing w:line="357" w:lineRule="auto" w:before="154"/>
        <w:ind w:right="231" w:firstLine="480"/>
        <w:jc w:val="both"/>
      </w:pPr>
      <w:r>
        <w:rPr/>
        <w:t>（</w:t>
      </w:r>
      <w:r>
        <w:rPr>
          <w:rFonts w:ascii="宋体" w:hAnsi="宋体" w:cs="宋体" w:eastAsia="宋体" w:hint="default"/>
        </w:rPr>
        <w:t>2</w:t>
      </w:r>
      <w:r>
        <w:rPr/>
        <w:t>）根据公司</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19</w:t>
      </w:r>
      <w:r>
        <w:rPr/>
        <w:t>日召开的</w:t>
      </w:r>
      <w:r>
        <w:rPr>
          <w:rFonts w:ascii="宋体" w:hAnsi="宋体" w:cs="宋体" w:eastAsia="宋体" w:hint="default"/>
        </w:rPr>
        <w:t>2010</w:t>
      </w:r>
      <w:r>
        <w:rPr/>
        <w:t>度股东大会决议，公司以</w:t>
      </w:r>
      <w:r>
        <w:rPr>
          <w:rFonts w:ascii="宋体" w:hAnsi="宋体" w:cs="宋体" w:eastAsia="宋体" w:hint="default"/>
        </w:rPr>
        <w:t>2010</w:t>
      </w:r>
      <w:r>
        <w:rPr/>
        <w:t>年末总股本</w:t>
      </w:r>
      <w:r>
        <w:rPr>
          <w:rFonts w:ascii="宋体" w:hAnsi="宋体" w:cs="宋体" w:eastAsia="宋体" w:hint="default"/>
        </w:rPr>
        <w:t>7500 </w:t>
      </w:r>
      <w:r>
        <w:rPr>
          <w:spacing w:val="-2"/>
        </w:rPr>
        <w:t>万股为基数，按每</w:t>
      </w:r>
      <w:r>
        <w:rPr>
          <w:rFonts w:ascii="宋体" w:hAnsi="宋体" w:cs="宋体" w:eastAsia="宋体" w:hint="default"/>
          <w:spacing w:val="-2"/>
        </w:rPr>
        <w:t>10</w:t>
      </w:r>
      <w:r>
        <w:rPr>
          <w:spacing w:val="-2"/>
        </w:rPr>
        <w:t>股派送</w:t>
      </w:r>
      <w:r>
        <w:rPr>
          <w:rFonts w:ascii="宋体" w:hAnsi="宋体" w:cs="宋体" w:eastAsia="宋体" w:hint="default"/>
          <w:spacing w:val="-2"/>
        </w:rPr>
        <w:t>1.5</w:t>
      </w:r>
      <w:r>
        <w:rPr>
          <w:spacing w:val="-2"/>
        </w:rPr>
        <w:t>元（含税），共计派送现金</w:t>
      </w:r>
      <w:r>
        <w:rPr>
          <w:rFonts w:ascii="宋体" w:hAnsi="宋体" w:cs="宋体" w:eastAsia="宋体" w:hint="default"/>
          <w:spacing w:val="-2"/>
        </w:rPr>
        <w:t>11,250,000</w:t>
      </w:r>
      <w:r>
        <w:rPr>
          <w:spacing w:val="-2"/>
        </w:rPr>
        <w:t>元（含税）。同时，拟</w:t>
      </w:r>
      <w:r>
        <w:rPr>
          <w:spacing w:val="-109"/>
        </w:rPr>
        <w:t> </w:t>
      </w:r>
      <w:r>
        <w:rPr>
          <w:spacing w:val="-109"/>
        </w:rPr>
      </w:r>
      <w:r>
        <w:rPr/>
        <w:t>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7500</w:t>
      </w:r>
      <w:r>
        <w:rPr/>
        <w:t>万股为基数，以资本公积</w:t>
      </w:r>
      <w:r>
        <w:rPr>
          <w:rFonts w:ascii="宋体" w:hAnsi="宋体" w:cs="宋体" w:eastAsia="宋体" w:hint="default"/>
        </w:rPr>
        <w:t>10</w:t>
      </w:r>
      <w:r>
        <w:rPr/>
        <w:t>股转增</w:t>
      </w:r>
      <w:r>
        <w:rPr>
          <w:rFonts w:ascii="宋体" w:hAnsi="宋体" w:cs="宋体" w:eastAsia="宋体" w:hint="default"/>
        </w:rPr>
        <w:t>3</w:t>
      </w:r>
      <w:r>
        <w:rPr/>
        <w:t>股。</w:t>
      </w:r>
    </w:p>
    <w:p>
      <w:pPr>
        <w:pStyle w:val="Heading4"/>
        <w:spacing w:line="357" w:lineRule="auto"/>
        <w:ind w:right="95" w:firstLine="480"/>
        <w:jc w:val="left"/>
      </w:pPr>
      <w:r>
        <w:rPr/>
        <w:t>（</w:t>
      </w:r>
      <w:r>
        <w:rPr>
          <w:rFonts w:ascii="宋体" w:hAnsi="宋体" w:cs="宋体" w:eastAsia="宋体" w:hint="default"/>
        </w:rPr>
        <w:t>3</w:t>
      </w:r>
      <w:r>
        <w:rPr/>
        <w:t>）根据公司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17</w:t>
      </w:r>
      <w:r>
        <w:rPr/>
        <w:t>日召开的</w:t>
      </w:r>
      <w:r>
        <w:rPr>
          <w:rFonts w:ascii="宋体" w:hAnsi="宋体" w:cs="宋体" w:eastAsia="宋体" w:hint="default"/>
        </w:rPr>
        <w:t>2011</w:t>
      </w:r>
      <w:r>
        <w:rPr/>
        <w:t>度股东大会决议，公司以</w:t>
      </w:r>
      <w:r>
        <w:rPr>
          <w:rFonts w:ascii="宋体" w:hAnsi="宋体" w:cs="宋体" w:eastAsia="宋体" w:hint="default"/>
        </w:rPr>
        <w:t>2011</w:t>
      </w:r>
      <w:r>
        <w:rPr/>
        <w:t>年末股本</w:t>
      </w:r>
      <w:r>
        <w:rPr>
          <w:rFonts w:ascii="宋体" w:hAnsi="宋体" w:cs="宋体" w:eastAsia="宋体" w:hint="default"/>
        </w:rPr>
        <w:t>9750</w:t>
      </w:r>
      <w:r>
        <w:rPr/>
        <w:t>万 </w:t>
      </w:r>
      <w:r>
        <w:rPr>
          <w:spacing w:val="-5"/>
        </w:rPr>
        <w:t>股为基数，向全体股东每</w:t>
      </w:r>
      <w:r>
        <w:rPr>
          <w:rFonts w:ascii="宋体" w:hAnsi="宋体" w:cs="宋体" w:eastAsia="宋体" w:hint="default"/>
          <w:spacing w:val="-5"/>
        </w:rPr>
        <w:t>10</w:t>
      </w:r>
      <w:r>
        <w:rPr>
          <w:spacing w:val="-5"/>
        </w:rPr>
        <w:t>股派发现金股利人民币</w:t>
      </w:r>
      <w:r>
        <w:rPr>
          <w:rFonts w:ascii="宋体" w:hAnsi="宋体" w:cs="宋体" w:eastAsia="宋体" w:hint="default"/>
          <w:spacing w:val="-5"/>
        </w:rPr>
        <w:t>1.5</w:t>
      </w:r>
      <w:r>
        <w:rPr>
          <w:spacing w:val="-5"/>
        </w:rPr>
        <w:t>元（含税），合计派发现金</w:t>
      </w:r>
      <w:r>
        <w:rPr>
          <w:rFonts w:ascii="宋体" w:hAnsi="宋体" w:cs="宋体" w:eastAsia="宋体" w:hint="default"/>
          <w:spacing w:val="-5"/>
        </w:rPr>
        <w:t>1462.5</w:t>
      </w:r>
      <w:r>
        <w:rPr>
          <w:spacing w:val="-5"/>
        </w:rPr>
        <w:t>万元。</w:t>
      </w:r>
      <w:r>
        <w:rPr>
          <w:spacing w:val="-89"/>
        </w:rPr>
        <w:t> </w:t>
      </w:r>
      <w:r>
        <w:rPr/>
        <w:t>同时，拟以</w:t>
      </w:r>
      <w:r>
        <w:rPr>
          <w:rFonts w:ascii="宋体" w:hAnsi="宋体" w:cs="宋体" w:eastAsia="宋体" w:hint="default"/>
        </w:rPr>
        <w:t>2011</w:t>
      </w:r>
      <w:r>
        <w:rPr/>
        <w:t>年末的总股本</w:t>
      </w:r>
      <w:r>
        <w:rPr>
          <w:rFonts w:ascii="宋体" w:hAnsi="宋体" w:cs="宋体" w:eastAsia="宋体" w:hint="default"/>
        </w:rPr>
        <w:t>9750</w:t>
      </w:r>
      <w:r>
        <w:rPr/>
        <w:t>万股为基数，以资本公积金每</w:t>
      </w:r>
      <w:r>
        <w:rPr>
          <w:rFonts w:ascii="宋体" w:hAnsi="宋体" w:cs="宋体" w:eastAsia="宋体" w:hint="default"/>
        </w:rPr>
        <w:t>10</w:t>
      </w:r>
      <w:r>
        <w:rPr/>
        <w:t>股转增</w:t>
      </w:r>
      <w:r>
        <w:rPr>
          <w:rFonts w:ascii="宋体" w:hAnsi="宋体" w:cs="宋体" w:eastAsia="宋体" w:hint="default"/>
        </w:rPr>
        <w:t>3</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18" w:footer="999" w:top="1100" w:bottom="1180" w:left="980" w:right="900"/>
        </w:sectPr>
      </w:pPr>
    </w:p>
    <w:p>
      <w:pPr>
        <w:pStyle w:val="Heading3"/>
        <w:spacing w:line="240" w:lineRule="auto" w:before="26"/>
        <w:ind w:right="-19"/>
        <w:jc w:val="left"/>
        <w:rPr>
          <w:b w:val="0"/>
          <w:bCs w:val="0"/>
        </w:rPr>
      </w:pPr>
      <w:r>
        <w:rPr>
          <w:rFonts w:ascii="Times New Roman" w:hAnsi="Times New Roman" w:cs="Times New Roman" w:eastAsia="Times New Roman" w:hint="default"/>
        </w:rPr>
        <w:t>5</w:t>
      </w:r>
      <w:r>
        <w:rPr/>
        <w:t>、公司近三年现金分红情况表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00" w:bottom="1180" w:left="980" w:right="900"/>
          <w:cols w:num="2" w:equalWidth="0">
            <w:col w:w="3407" w:space="5514"/>
            <w:col w:w="11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19,000,989.88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53.37%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33,182,234.30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30,829,663.65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36.49%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right="0"/>
        <w:jc w:val="both"/>
        <w:rPr>
          <w:b w:val="0"/>
          <w:bCs w:val="0"/>
        </w:rPr>
      </w:pPr>
      <w:r>
        <w:rPr>
          <w:rFonts w:ascii="Times New Roman" w:hAnsi="Times New Roman" w:cs="Times New Roman" w:eastAsia="Times New Roman" w:hint="default"/>
        </w:rPr>
        <w:t>6</w:t>
      </w:r>
      <w:r>
        <w:rPr/>
        <w:t>、公司报告期内盈利且母公司未分配利润为正但未提出现金红利分配预案</w:t>
      </w:r>
      <w:r>
        <w:rPr>
          <w:b w:val="0"/>
          <w:bCs w:val="0"/>
        </w:rPr>
      </w:r>
    </w:p>
    <w:p>
      <w:pPr>
        <w:pStyle w:val="BodyText"/>
        <w:spacing w:line="240" w:lineRule="auto" w:before="18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690" w:lineRule="atLeast" w:before="17"/>
        <w:ind w:left="633" w:right="95" w:hanging="480"/>
        <w:jc w:val="left"/>
        <w:rPr>
          <w:rFonts w:ascii="宋体" w:hAnsi="宋体" w:cs="宋体" w:eastAsia="宋体" w:hint="default"/>
          <w:sz w:val="24"/>
          <w:szCs w:val="24"/>
        </w:rPr>
      </w:pPr>
      <w:r>
        <w:rPr>
          <w:rFonts w:ascii="宋体" w:hAnsi="宋体" w:cs="宋体" w:eastAsia="宋体" w:hint="default"/>
          <w:b/>
          <w:bCs/>
          <w:sz w:val="24"/>
          <w:szCs w:val="24"/>
        </w:rPr>
        <w:t>七、内幕信息知情人管理制度的建立和执行情况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公司自</w:t>
      </w:r>
      <w:r>
        <w:rPr>
          <w:rFonts w:ascii="宋体" w:hAnsi="宋体" w:cs="宋体" w:eastAsia="宋体" w:hint="default"/>
          <w:spacing w:val="-3"/>
          <w:sz w:val="24"/>
          <w:szCs w:val="24"/>
        </w:rPr>
        <w:t>2010</w:t>
      </w:r>
      <w:r>
        <w:rPr>
          <w:rFonts w:ascii="宋体" w:hAnsi="宋体" w:cs="宋体" w:eastAsia="宋体" w:hint="default"/>
          <w:spacing w:val="-3"/>
          <w:sz w:val="24"/>
          <w:szCs w:val="24"/>
        </w:rPr>
        <w:t>年</w:t>
      </w:r>
      <w:r>
        <w:rPr>
          <w:rFonts w:ascii="宋体" w:hAnsi="宋体" w:cs="宋体" w:eastAsia="宋体" w:hint="default"/>
          <w:spacing w:val="-3"/>
          <w:sz w:val="24"/>
          <w:szCs w:val="24"/>
        </w:rPr>
        <w:t>12</w:t>
      </w:r>
      <w:r>
        <w:rPr>
          <w:rFonts w:ascii="宋体" w:hAnsi="宋体" w:cs="宋体" w:eastAsia="宋体" w:hint="default"/>
          <w:spacing w:val="-3"/>
          <w:sz w:val="24"/>
          <w:szCs w:val="24"/>
        </w:rPr>
        <w:t>月</w:t>
      </w:r>
      <w:r>
        <w:rPr>
          <w:rFonts w:ascii="宋体" w:hAnsi="宋体" w:cs="宋体" w:eastAsia="宋体" w:hint="default"/>
          <w:spacing w:val="-3"/>
          <w:sz w:val="24"/>
          <w:szCs w:val="24"/>
        </w:rPr>
        <w:t>15</w:t>
      </w:r>
      <w:r>
        <w:rPr>
          <w:rFonts w:ascii="宋体" w:hAnsi="宋体" w:cs="宋体" w:eastAsia="宋体" w:hint="default"/>
          <w:spacing w:val="-3"/>
          <w:sz w:val="24"/>
          <w:szCs w:val="24"/>
        </w:rPr>
        <w:t>日在深圳证券交易所上市以来，严格按照《公司法》、《证券法》、</w:t>
      </w:r>
    </w:p>
    <w:p>
      <w:pPr>
        <w:pStyle w:val="Heading4"/>
        <w:spacing w:line="357" w:lineRule="auto" w:before="154"/>
        <w:ind w:right="111"/>
        <w:jc w:val="both"/>
      </w:pPr>
      <w:r>
        <w:rPr/>
        <w:t>《上市公司信息披露管理办法》、《深圳证券交易所创业板股票上市规则》、《深圳证券交</w:t>
      </w:r>
      <w:r>
        <w:rPr>
          <w:spacing w:val="-91"/>
        </w:rPr>
        <w:t> </w:t>
      </w:r>
      <w:r>
        <w:rPr>
          <w:spacing w:val="-91"/>
        </w:rPr>
      </w:r>
      <w:r>
        <w:rPr/>
        <w:t>易所创业板上市公司规范运作指引》等有关规定，严防内幕交易，制定了《内幕信息知情人</w:t>
      </w:r>
      <w:r>
        <w:rPr>
          <w:spacing w:val="-91"/>
        </w:rPr>
        <w:t> </w:t>
      </w:r>
      <w:r>
        <w:rPr>
          <w:spacing w:val="-91"/>
        </w:rPr>
      </w:r>
      <w:r>
        <w:rPr/>
        <w:t>登记制度》，并根据中国证券监督委员会的有关规定，于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30</w:t>
      </w:r>
      <w:r>
        <w:rPr/>
        <w:t>日经第二届董事会第</w:t>
      </w:r>
      <w:r>
        <w:rPr>
          <w:spacing w:val="-89"/>
        </w:rPr>
        <w:t> </w:t>
      </w:r>
      <w:r>
        <w:rPr>
          <w:spacing w:val="-89"/>
        </w:rPr>
      </w:r>
      <w:r>
        <w:rPr>
          <w:spacing w:val="-2"/>
        </w:rPr>
        <w:t>十一次会议审议，及时进行了相应的修改，并颁布了新的《内幕信息知情人登记管理制度》。</w:t>
      </w:r>
    </w:p>
    <w:p>
      <w:pPr>
        <w:pStyle w:val="Heading4"/>
        <w:spacing w:line="357" w:lineRule="auto"/>
        <w:ind w:right="95" w:firstLine="480"/>
        <w:jc w:val="left"/>
      </w:pPr>
      <w:r>
        <w:rPr/>
        <w:t>《内幕信息知情人登记管理制度》作为内幕交易防控的专项制度文件，明确了内幕信息 的管理部门、界定了内幕信息和内幕信息知情人的范围，建立了内幕信息知情人登记管理流</w:t>
      </w:r>
    </w:p>
    <w:p>
      <w:pPr>
        <w:spacing w:after="0" w:line="357" w:lineRule="auto"/>
        <w:jc w:val="left"/>
        <w:sectPr>
          <w:type w:val="continuous"/>
          <w:pgSz w:w="11910" w:h="16840"/>
          <w:pgMar w:top="1100" w:bottom="1180" w:left="980" w:right="900"/>
        </w:sectPr>
      </w:pPr>
    </w:p>
    <w:p>
      <w:pPr>
        <w:spacing w:line="240" w:lineRule="auto" w:before="11"/>
        <w:rPr>
          <w:rFonts w:ascii="宋体" w:hAnsi="宋体" w:cs="宋体" w:eastAsia="宋体" w:hint="default"/>
          <w:sz w:val="9"/>
          <w:szCs w:val="9"/>
        </w:rPr>
      </w:pPr>
      <w:r>
        <w:rPr/>
        <w:pict>
          <v:shape style="position:absolute;margin-left:424.972015pt;margin-top:537.309998pt;width:119.35pt;height:15.6pt;mso-position-horizontal-relative:page;mso-position-vertical-relative:page;z-index:-686656" type="#_x0000_t202" filled="false" stroked="false">
            <v:textbox inset="0,0,0,0">
              <w:txbxContent>
                <w:p>
                  <w:pPr>
                    <w:pStyle w:val="BodyText"/>
                    <w:spacing w:line="240" w:lineRule="auto" w:before="49"/>
                    <w:ind w:left="0" w:right="0"/>
                    <w:jc w:val="left"/>
                  </w:pPr>
                  <w:r>
                    <w:rPr/>
                    <w:t>、</w:t>
                  </w:r>
                </w:p>
              </w:txbxContent>
            </v:textbox>
            <w10:wrap type="none"/>
          </v:shape>
        </w:pict>
      </w:r>
    </w:p>
    <w:p>
      <w:pPr>
        <w:pStyle w:val="Heading4"/>
        <w:spacing w:line="357" w:lineRule="auto" w:before="26"/>
        <w:ind w:right="95"/>
        <w:jc w:val="left"/>
      </w:pPr>
      <w:r>
        <w:rPr/>
        <w:t>保密工作，公司还制订了《信息披露管理制度》、《重大信息内部报告制度》、《投资者来</w:t>
      </w:r>
      <w:r>
        <w:rPr>
          <w:spacing w:val="-91"/>
        </w:rPr>
        <w:t> </w:t>
      </w:r>
      <w:r>
        <w:rPr>
          <w:spacing w:val="-91"/>
        </w:rPr>
      </w:r>
      <w:r>
        <w:rPr>
          <w:spacing w:val="-3"/>
        </w:rPr>
        <w:t>访接待管理制度》、《外部信息使用人管理制度》、《年报信息披露重大差错责任追究制度》</w:t>
      </w:r>
      <w:r>
        <w:rPr>
          <w:spacing w:val="-80"/>
        </w:rPr>
        <w:t> </w:t>
      </w:r>
      <w:r>
        <w:rPr>
          <w:spacing w:val="-80"/>
        </w:rPr>
      </w:r>
      <w:r>
        <w:rPr/>
        <w:t>等制度。</w:t>
      </w:r>
    </w:p>
    <w:p>
      <w:pPr>
        <w:pStyle w:val="Heading4"/>
        <w:spacing w:line="357" w:lineRule="auto"/>
        <w:ind w:right="238" w:firstLine="480"/>
        <w:jc w:val="both"/>
      </w:pPr>
      <w:r>
        <w:rPr/>
        <w:t>报告期内，公司严格执行内幕信息保密制度，规范信息传递流程。对于未公开信息，公 司董秘处都严格控制知情人范围，并要求相关内幕信息知情人如实、完整填写《内幕信息知</w:t>
      </w:r>
      <w:r>
        <w:rPr>
          <w:spacing w:val="-91"/>
        </w:rPr>
        <w:t> </w:t>
      </w:r>
      <w:r>
        <w:rPr>
          <w:spacing w:val="-91"/>
        </w:rPr>
      </w:r>
      <w:r>
        <w:rPr/>
        <w:t>情人登记表》；公司董秘处在接待投资者调研时，都要求相关人员签署保密承诺书，并对来</w:t>
      </w:r>
      <w:r>
        <w:rPr>
          <w:spacing w:val="-91"/>
        </w:rPr>
        <w:t> </w:t>
      </w:r>
      <w:r>
        <w:rPr>
          <w:spacing w:val="-91"/>
        </w:rPr>
      </w:r>
      <w:r>
        <w:rPr/>
        <w:t>访者的身份信息予以登记备案。</w:t>
      </w:r>
    </w:p>
    <w:p>
      <w:pPr>
        <w:pStyle w:val="Heading4"/>
        <w:spacing w:line="357" w:lineRule="auto" w:before="37"/>
        <w:ind w:right="238" w:firstLine="480"/>
        <w:jc w:val="both"/>
      </w:pPr>
      <w:r>
        <w:rPr/>
        <w:t>报告期内，公司董事、监事及高级管理人员和其他相关知情人均严格遵守内幕信息知情 人管理制度，未发生利用内幕信息买卖公司股票的行为。报告期内公司也未发生受到监管部</w:t>
      </w:r>
      <w:r>
        <w:rPr>
          <w:spacing w:val="-91"/>
        </w:rPr>
        <w:t> </w:t>
      </w:r>
      <w:r>
        <w:rPr>
          <w:spacing w:val="-91"/>
        </w:rPr>
      </w:r>
      <w:r>
        <w:rPr/>
        <w:t>门查处和整改的情形。</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3"/>
        <w:spacing w:line="240" w:lineRule="auto"/>
        <w:ind w:right="253"/>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5"/>
        <w:gridCol w:w="1193"/>
        <w:gridCol w:w="1051"/>
        <w:gridCol w:w="1215"/>
        <w:gridCol w:w="2530"/>
        <w:gridCol w:w="2271"/>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接待对象类型</w:t>
            </w:r>
            <w:r>
              <w:rPr>
                <w:rFonts w:ascii="宋体" w:hAnsi="宋体" w:cs="宋体" w:eastAsia="宋体" w:hint="default"/>
                <w:sz w:val="18"/>
                <w:szCs w:val="18"/>
              </w:rPr>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41" w:right="44" w:hanging="996"/>
              <w:jc w:val="left"/>
              <w:rPr>
                <w:rFonts w:ascii="宋体" w:hAnsi="宋体" w:cs="宋体" w:eastAsia="宋体" w:hint="default"/>
                <w:sz w:val="18"/>
                <w:szCs w:val="18"/>
              </w:rPr>
            </w:pPr>
            <w:r>
              <w:rPr>
                <w:rFonts w:ascii="宋体" w:hAnsi="宋体" w:cs="宋体" w:eastAsia="宋体" w:hint="default"/>
                <w:b/>
                <w:bCs/>
                <w:sz w:val="18"/>
                <w:szCs w:val="18"/>
              </w:rPr>
              <w:t>谈论的主要内容及提供的资</w:t>
            </w:r>
            <w:r>
              <w:rPr>
                <w:rFonts w:ascii="宋体" w:hAnsi="宋体" w:cs="宋体" w:eastAsia="宋体" w:hint="default"/>
                <w:b/>
                <w:bCs/>
                <w:w w:val="99"/>
                <w:sz w:val="18"/>
                <w:szCs w:val="18"/>
              </w:rPr>
              <w:t> </w:t>
            </w:r>
            <w:r>
              <w:rPr>
                <w:rFonts w:ascii="宋体" w:hAnsi="宋体" w:cs="宋体" w:eastAsia="宋体" w:hint="default"/>
                <w:b/>
                <w:bCs/>
                <w:sz w:val="18"/>
                <w:szCs w:val="18"/>
              </w:rPr>
              <w:t>料</w:t>
            </w:r>
            <w:r>
              <w:rPr>
                <w:rFonts w:ascii="宋体" w:hAnsi="宋体" w:cs="宋体" w:eastAsia="宋体" w:hint="default"/>
                <w:sz w:val="18"/>
                <w:szCs w:val="18"/>
              </w:rPr>
            </w:r>
          </w:p>
        </w:tc>
      </w:tr>
      <w:tr>
        <w:trPr>
          <w:trHeight w:val="71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00" w:right="0"/>
              <w:jc w:val="left"/>
              <w:rPr>
                <w:rFonts w:ascii="宋体" w:hAnsi="宋体" w:cs="宋体" w:eastAsia="宋体" w:hint="default"/>
                <w:sz w:val="18"/>
                <w:szCs w:val="18"/>
              </w:rPr>
            </w:pPr>
            <w:r>
              <w:rPr>
                <w:rFonts w:ascii="宋体" w:hAnsi="宋体" w:cs="宋体" w:eastAsia="宋体" w:hint="default"/>
                <w:sz w:val="18"/>
                <w:szCs w:val="18"/>
              </w:rPr>
              <w:t>日信证券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950" w:right="48" w:hanging="900"/>
              <w:jc w:val="left"/>
              <w:rPr>
                <w:rFonts w:ascii="宋体" w:hAnsi="宋体" w:cs="宋体" w:eastAsia="宋体" w:hint="default"/>
                <w:sz w:val="18"/>
                <w:szCs w:val="18"/>
              </w:rPr>
            </w:pPr>
            <w:r>
              <w:rPr>
                <w:rFonts w:ascii="宋体" w:hAnsi="宋体" w:cs="宋体" w:eastAsia="宋体" w:hint="default"/>
                <w:sz w:val="18"/>
                <w:szCs w:val="18"/>
              </w:rPr>
              <w:t>公司当期经营情况及发展战 略等</w:t>
            </w:r>
          </w:p>
        </w:tc>
      </w:tr>
      <w:tr>
        <w:trPr>
          <w:trHeight w:val="133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center"/>
              <w:rPr>
                <w:rFonts w:ascii="宋体" w:hAnsi="宋体" w:cs="宋体" w:eastAsia="宋体" w:hint="default"/>
                <w:sz w:val="18"/>
                <w:szCs w:val="18"/>
              </w:rPr>
            </w:pPr>
            <w:r>
              <w:rPr>
                <w:rFonts w:ascii="宋体" w:hAnsi="宋体" w:cs="宋体" w:eastAsia="宋体" w:hint="default"/>
                <w:spacing w:val="-4"/>
                <w:sz w:val="18"/>
                <w:szCs w:val="18"/>
              </w:rPr>
              <w:t>中国经济周刊、长沙晚报、人民</w:t>
            </w:r>
            <w:r>
              <w:rPr>
                <w:rFonts w:ascii="宋体" w:hAnsi="宋体" w:cs="宋体" w:eastAsia="宋体" w:hint="default"/>
                <w:sz w:val="18"/>
                <w:szCs w:val="18"/>
              </w:rPr>
              <w:t> 网、富礼投资、</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世纪经济报 </w:t>
            </w:r>
            <w:r>
              <w:rPr>
                <w:rFonts w:ascii="宋体" w:hAnsi="宋体" w:cs="宋体" w:eastAsia="宋体" w:hint="default"/>
                <w:spacing w:val="-4"/>
                <w:sz w:val="18"/>
                <w:szCs w:val="18"/>
              </w:rPr>
              <w:t>道、证券日报、东兴证券、银河</w:t>
            </w:r>
            <w:r>
              <w:rPr>
                <w:rFonts w:ascii="宋体" w:hAnsi="宋体" w:cs="宋体" w:eastAsia="宋体" w:hint="default"/>
                <w:sz w:val="18"/>
                <w:szCs w:val="18"/>
              </w:rPr>
              <w:t> 证券、证券时报、潇湘晨报</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681" w:right="27" w:hanging="65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年度主要经营情况及新 业务拓展等</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hanging="92"/>
              <w:jc w:val="center"/>
              <w:rPr>
                <w:rFonts w:ascii="宋体" w:hAnsi="宋体" w:cs="宋体" w:eastAsia="宋体" w:hint="default"/>
                <w:sz w:val="18"/>
                <w:szCs w:val="18"/>
              </w:rPr>
            </w:pPr>
            <w:r>
              <w:rPr>
                <w:rFonts w:ascii="宋体" w:hAnsi="宋体" w:cs="宋体" w:eastAsia="宋体" w:hint="default"/>
                <w:spacing w:val="-10"/>
                <w:sz w:val="18"/>
                <w:szCs w:val="18"/>
              </w:rPr>
              <w:t>广发证券、西部证券、长盛基金</w:t>
            </w:r>
            <w:r>
              <w:rPr>
                <w:rFonts w:ascii="宋体" w:hAnsi="宋体" w:cs="宋体" w:eastAsia="宋体" w:hint="default"/>
                <w:sz w:val="18"/>
                <w:szCs w:val="18"/>
              </w:rPr>
              <w:t> </w:t>
            </w:r>
            <w:r>
              <w:rPr>
                <w:rFonts w:ascii="宋体" w:hAnsi="宋体" w:cs="宋体" w:eastAsia="宋体" w:hint="default"/>
                <w:spacing w:val="-4"/>
                <w:sz w:val="18"/>
                <w:szCs w:val="18"/>
              </w:rPr>
              <w:t>华夏资产管理、泰信基金、东北</w:t>
            </w:r>
            <w:r>
              <w:rPr>
                <w:rFonts w:ascii="宋体" w:hAnsi="宋体" w:cs="宋体" w:eastAsia="宋体" w:hint="default"/>
                <w:sz w:val="18"/>
                <w:szCs w:val="18"/>
              </w:rPr>
              <w:t> 证券、湘财证券、光大证券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13.2pt;height:15.6pt;mso-position-horizontal-relative:char;mso-position-vertical-relative:line" coordorigin="0,0" coordsize="2264,312">
                  <v:group style="position:absolute;left:0;top:0;width:2264;height:312" coordorigin="0,0" coordsize="2264,312">
                    <v:shape style="position:absolute;left:0;top:0;width:2264;height:312" coordorigin="0,0" coordsize="2264,312" path="m0,312l2264,312,226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行业发展及新业务进展清理</w:t>
            </w:r>
          </w:p>
        </w:tc>
      </w:tr>
    </w:tbl>
    <w:p>
      <w:pPr>
        <w:spacing w:after="0" w:line="240" w:lineRule="auto"/>
        <w:jc w:val="left"/>
        <w:rPr>
          <w:rFonts w:ascii="宋体" w:hAnsi="宋体" w:cs="宋体" w:eastAsia="宋体" w:hint="default"/>
          <w:sz w:val="18"/>
          <w:szCs w:val="18"/>
        </w:rPr>
        <w:sectPr>
          <w:headerReference w:type="default" r:id="rId26"/>
          <w:pgSz w:w="11910" w:h="16840"/>
          <w:pgMar w:header="1104" w:footer="999" w:top="1780" w:bottom="1180" w:left="9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744" w:right="2702"/>
        <w:jc w:val="center"/>
        <w:rPr>
          <w:b w:val="0"/>
          <w:bCs w:val="0"/>
        </w:rPr>
      </w:pPr>
      <w:bookmarkStart w:name="_TOC_250005" w:id="4"/>
      <w:r>
        <w:rPr/>
        <w:t>第五节</w:t>
      </w:r>
      <w:r>
        <w:rPr>
          <w:spacing w:val="-1"/>
        </w:rPr>
        <w:t> </w:t>
      </w:r>
      <w:r>
        <w:rPr/>
        <w:t>重要事项</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Arial" w:hAnsi="Arial" w:cs="Arial" w:eastAsia="Arial" w:hint="default"/>
        </w:rPr>
        <w:t>√    </w:t>
      </w:r>
      <w:r>
        <w:rPr/>
        <w:t>适用</w:t>
      </w:r>
      <w:r>
        <w:rPr>
          <w:spacing w:val="-19"/>
        </w:rPr>
        <w:t> </w:t>
      </w:r>
      <w:r>
        <w:rPr>
          <w:rFonts w:ascii="Times New Roman" w:hAnsi="Times New Roman" w:cs="Times New Roman" w:eastAsia="Times New Roman" w:hint="default"/>
        </w:rPr>
        <w:t>□</w:t>
      </w:r>
      <w:r>
        <w:rPr/>
        <w:t>不适用</w:t>
      </w:r>
    </w:p>
    <w:p>
      <w:pPr>
        <w:pStyle w:val="BodyText"/>
        <w:spacing w:line="319" w:lineRule="auto" w:before="63"/>
        <w:ind w:right="110" w:firstLine="451"/>
        <w:jc w:val="both"/>
      </w:pPr>
      <w:r>
        <w:rPr>
          <w:rFonts w:ascii="宋体" w:hAnsi="宋体" w:cs="宋体" w:eastAsia="宋体" w:hint="default"/>
          <w:spacing w:val="-1"/>
        </w:rPr>
        <w:t>2012</w:t>
      </w:r>
      <w:r>
        <w:rPr>
          <w:rFonts w:ascii="宋体" w:hAnsi="宋体" w:cs="宋体" w:eastAsia="宋体" w:hint="default"/>
          <w:spacing w:val="-37"/>
        </w:rPr>
        <w:t> </w:t>
      </w:r>
      <w:r>
        <w:rPr/>
        <w:t>年</w:t>
      </w:r>
      <w:r>
        <w:rPr>
          <w:spacing w:val="-42"/>
        </w:rPr>
        <w:t> </w:t>
      </w:r>
      <w:r>
        <w:rPr>
          <w:rFonts w:ascii="宋体" w:hAnsi="宋体" w:cs="宋体" w:eastAsia="宋体" w:hint="default"/>
        </w:rPr>
        <w:t>6</w:t>
      </w:r>
      <w:r>
        <w:rPr>
          <w:rFonts w:ascii="宋体" w:hAnsi="宋体" w:cs="宋体" w:eastAsia="宋体" w:hint="default"/>
          <w:spacing w:val="-38"/>
        </w:rPr>
        <w:t> </w:t>
      </w:r>
      <w:r>
        <w:rPr/>
        <w:t>月</w:t>
      </w:r>
      <w:r>
        <w:rPr>
          <w:spacing w:val="-39"/>
        </w:rPr>
        <w:t> </w:t>
      </w:r>
      <w:r>
        <w:rPr>
          <w:rFonts w:ascii="宋体" w:hAnsi="宋体" w:cs="宋体" w:eastAsia="宋体" w:hint="default"/>
          <w:spacing w:val="-1"/>
        </w:rPr>
        <w:t>26</w:t>
      </w:r>
      <w:r>
        <w:rPr>
          <w:rFonts w:ascii="宋体" w:hAnsi="宋体" w:cs="宋体" w:eastAsia="宋体" w:hint="default"/>
          <w:spacing w:val="-38"/>
        </w:rPr>
        <w:t> </w:t>
      </w:r>
      <w:r>
        <w:rPr>
          <w:spacing w:val="-5"/>
        </w:rPr>
        <w:t>日，公司与湖南天地伟业数码科技有限公司（以下简称“天地伟业公司”）签订《销售合同》，向天地</w:t>
      </w:r>
      <w:r>
        <w:rPr/>
        <w:t> </w:t>
      </w:r>
      <w:r>
        <w:rPr>
          <w:spacing w:val="-2"/>
        </w:rPr>
        <w:t>伟业公司采购电教设备用于安化县教育局的电教项目政府采购招投标。因天地伟业公司提供的设备无法满足中标要求，公司</w:t>
      </w:r>
      <w:r>
        <w:rPr>
          <w:spacing w:val="-64"/>
        </w:rPr>
        <w:t> </w:t>
      </w:r>
      <w:r>
        <w:rPr>
          <w:spacing w:val="-64"/>
        </w:rPr>
      </w:r>
      <w:r>
        <w:rPr>
          <w:spacing w:val="-2"/>
        </w:rPr>
        <w:t>终止了该项目的实施。天地伟业公司以公司不履行合同为由，向长沙市芙蓉区人民法院提起诉讼，要求公司承担违约损害赔</w:t>
      </w:r>
      <w:r>
        <w:rPr>
          <w:spacing w:val="-63"/>
        </w:rPr>
        <w:t> </w:t>
      </w:r>
      <w:r>
        <w:rPr>
          <w:spacing w:val="-63"/>
        </w:rPr>
      </w:r>
      <w:r>
        <w:rPr/>
        <w:t>偿责任，赔偿其损失</w:t>
      </w:r>
      <w:r>
        <w:rPr>
          <w:spacing w:val="-47"/>
        </w:rPr>
        <w:t> </w:t>
      </w:r>
      <w:r>
        <w:rPr>
          <w:rFonts w:ascii="宋体" w:hAnsi="宋体" w:cs="宋体" w:eastAsia="宋体" w:hint="default"/>
        </w:rPr>
        <w:t>576.29</w:t>
      </w:r>
      <w:r>
        <w:rPr>
          <w:rFonts w:ascii="宋体" w:hAnsi="宋体" w:cs="宋体" w:eastAsia="宋体" w:hint="default"/>
          <w:spacing w:val="-45"/>
        </w:rPr>
        <w:t> </w:t>
      </w:r>
      <w:r>
        <w:rPr/>
        <w:t>万元、原告律师代理费</w:t>
      </w:r>
      <w:r>
        <w:rPr>
          <w:spacing w:val="-47"/>
        </w:rPr>
        <w:t> </w:t>
      </w:r>
      <w:r>
        <w:rPr>
          <w:rFonts w:ascii="宋体" w:hAnsi="宋体" w:cs="宋体" w:eastAsia="宋体" w:hint="default"/>
        </w:rPr>
        <w:t>37.39</w:t>
      </w:r>
      <w:r>
        <w:rPr>
          <w:rFonts w:ascii="宋体" w:hAnsi="宋体" w:cs="宋体" w:eastAsia="宋体" w:hint="default"/>
          <w:spacing w:val="-46"/>
        </w:rPr>
        <w:t> </w:t>
      </w:r>
      <w:r>
        <w:rPr/>
        <w:t>万元及诉讼费、财产保全费。公司以天地伟业公司所提供设备不 </w:t>
      </w:r>
      <w:r>
        <w:rPr>
          <w:spacing w:val="-2"/>
        </w:rPr>
        <w:t>符合中标要求为主要理由进行了抗辩。目前该案庭审尚未结束。公司代理律师认为天地伟业公司的诉讼请求没有事实和法律</w:t>
      </w:r>
      <w:r>
        <w:rPr>
          <w:spacing w:val="-64"/>
        </w:rPr>
        <w:t> </w:t>
      </w:r>
      <w:r>
        <w:rPr>
          <w:spacing w:val="-64"/>
        </w:rPr>
      </w:r>
      <w:r>
        <w:rPr/>
        <w:t>依据。</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（二）资产交易事项</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、企业合并情况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3"/>
        <w:rPr>
          <w:rFonts w:ascii="宋体" w:hAnsi="宋体" w:cs="宋体" w:eastAsia="宋体" w:hint="default"/>
          <w:sz w:val="26"/>
          <w:szCs w:val="26"/>
        </w:rPr>
      </w:pPr>
    </w:p>
    <w:p>
      <w:pPr>
        <w:pStyle w:val="Heading3"/>
        <w:spacing w:line="314" w:lineRule="exact"/>
        <w:ind w:right="98"/>
        <w:jc w:val="left"/>
        <w:rPr>
          <w:b w:val="0"/>
          <w:bCs w:val="0"/>
        </w:rPr>
      </w:pPr>
      <w:r>
        <w:rPr>
          <w:rFonts w:ascii="Times New Roman" w:hAnsi="Times New Roman" w:cs="Times New Roman" w:eastAsia="Times New Roman" w:hint="default"/>
          <w:spacing w:val="-3"/>
        </w:rPr>
        <w:t>5</w:t>
      </w:r>
      <w:r>
        <w:rPr>
          <w:spacing w:val="-3"/>
        </w:rPr>
        <w:t>、自资产重组报告书或收购出售资产公告刊登后，该事项的进展情况及对报告期经营成果与</w:t>
      </w:r>
      <w:r>
        <w:rPr>
          <w:w w:val="99"/>
        </w:rPr>
        <w:t> </w:t>
      </w:r>
      <w:r>
        <w:rPr/>
        <w:t>财务状况的影响</w:t>
      </w:r>
      <w:r>
        <w:rPr>
          <w:b w:val="0"/>
          <w:bCs w:val="0"/>
        </w:rPr>
      </w:r>
    </w:p>
    <w:p>
      <w:pPr>
        <w:spacing w:line="240" w:lineRule="auto" w:before="3"/>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（三）公司大股东及其一致行动人在报告期提出或实施股份增持计划的说明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（四）公司股权激励的实施情况及其影响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after="0" w:line="240" w:lineRule="auto"/>
        <w:jc w:val="left"/>
        <w:sectPr>
          <w:headerReference w:type="default" r:id="rId27"/>
          <w:pgSz w:w="11910" w:h="16840"/>
          <w:pgMar w:header="918" w:footer="999" w:top="1100" w:bottom="1180" w:left="980" w:right="10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（五）重大关联交易</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2"/>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pStyle w:val="BodyText"/>
        <w:spacing w:line="240" w:lineRule="auto" w:before="184"/>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、关联债权债务往来</w:t>
      </w:r>
      <w:r>
        <w:rPr>
          <w:b w:val="0"/>
          <w:bCs w:val="0"/>
        </w:rPr>
      </w:r>
    </w:p>
    <w:p>
      <w:pPr>
        <w:pStyle w:val="BodyText"/>
        <w:spacing w:line="240" w:lineRule="auto" w:before="184"/>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1"/>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pStyle w:val="BodyText"/>
        <w:spacing w:line="240" w:lineRule="auto" w:before="185"/>
        <w:ind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1"/>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t>（六）重大合同及其履行情况</w:t>
      </w:r>
      <w:r>
        <w:rPr>
          <w:b w:val="0"/>
          <w:bCs w:val="0"/>
        </w:rPr>
      </w:r>
    </w:p>
    <w:p>
      <w:pPr>
        <w:pStyle w:val="Heading3"/>
        <w:spacing w:line="240" w:lineRule="auto" w:before="154"/>
        <w:ind w:right="0"/>
        <w:jc w:val="left"/>
        <w:rPr>
          <w:b w:val="0"/>
          <w:bCs w:val="0"/>
        </w:rPr>
      </w:pPr>
      <w:r>
        <w:rPr>
          <w:rFonts w:ascii="Times New Roman" w:hAnsi="Times New Roman" w:cs="Times New Roman" w:eastAsia="Times New Roman" w:hint="default"/>
        </w:rPr>
        <w:t>1</w:t>
      </w:r>
      <w:r>
        <w:rPr/>
        <w:t>、为公司带来的利润达到公司本期利润总额</w:t>
      </w:r>
      <w:r>
        <w:rPr>
          <w:spacing w:val="-60"/>
        </w:rPr>
        <w:t> </w:t>
      </w:r>
      <w:r>
        <w:rPr>
          <w:rFonts w:ascii="Times New Roman" w:hAnsi="Times New Roman" w:cs="Times New Roman" w:eastAsia="Times New Roman" w:hint="default"/>
        </w:rPr>
        <w:t>10</w:t>
      </w:r>
      <w:r>
        <w:rPr/>
        <w:t>％以上（含</w:t>
      </w:r>
      <w:r>
        <w:rPr>
          <w:spacing w:val="-63"/>
        </w:rPr>
        <w:t> </w:t>
      </w:r>
      <w:r>
        <w:rPr>
          <w:rFonts w:ascii="Times New Roman" w:hAnsi="Times New Roman" w:cs="Times New Roman" w:eastAsia="Times New Roman" w:hint="default"/>
        </w:rPr>
        <w:t>10</w:t>
      </w:r>
      <w:r>
        <w:rPr/>
        <w:t>％）的托管、承包、租赁事项</w:t>
      </w:r>
      <w:r>
        <w:rPr>
          <w:b w:val="0"/>
          <w:bCs w:val="0"/>
        </w:rPr>
      </w:r>
    </w:p>
    <w:p>
      <w:pPr>
        <w:pStyle w:val="Heading3"/>
        <w:spacing w:line="240" w:lineRule="auto" w:before="135"/>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pStyle w:val="BodyText"/>
        <w:spacing w:line="240" w:lineRule="auto" w:before="184"/>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pStyle w:val="BodyText"/>
        <w:spacing w:line="240" w:lineRule="auto" w:before="184"/>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pStyle w:val="BodyText"/>
        <w:spacing w:line="240" w:lineRule="auto" w:before="184"/>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pStyle w:val="BodyText"/>
        <w:spacing w:line="240" w:lineRule="auto" w:before="184"/>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、委托理财情况</w:t>
      </w:r>
      <w:r>
        <w:rPr>
          <w:b w:val="0"/>
          <w:bCs w:val="0"/>
        </w:rPr>
      </w:r>
    </w:p>
    <w:p>
      <w:pPr>
        <w:pStyle w:val="BodyText"/>
        <w:spacing w:line="240" w:lineRule="auto" w:before="184"/>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1"/>
        </w:rPr>
        <w:t> </w:t>
      </w:r>
      <w:r>
        <w:rPr/>
        <w:t>不适用</w:t>
      </w:r>
    </w:p>
    <w:p>
      <w:pPr>
        <w:spacing w:line="240" w:lineRule="auto" w:before="0"/>
        <w:rPr>
          <w:rFonts w:ascii="宋体" w:hAnsi="宋体" w:cs="宋体" w:eastAsia="宋体" w:hint="default"/>
          <w:sz w:val="18"/>
          <w:szCs w:val="18"/>
        </w:rPr>
      </w:pPr>
    </w:p>
    <w:p>
      <w:pPr>
        <w:pStyle w:val="Heading3"/>
        <w:spacing w:line="240" w:lineRule="auto" w:before="158"/>
        <w:ind w:right="0"/>
        <w:jc w:val="left"/>
        <w:rPr>
          <w:b w:val="0"/>
          <w:bCs w:val="0"/>
        </w:rPr>
      </w:pPr>
      <w:r>
        <w:rPr>
          <w:rFonts w:ascii="Times New Roman" w:hAnsi="Times New Roman" w:cs="Times New Roman" w:eastAsia="Times New Roman" w:hint="default"/>
        </w:rPr>
        <w:t>5</w:t>
      </w:r>
      <w:r>
        <w:rPr/>
        <w:t>、其他重大合同</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604" w:right="0"/>
        <w:jc w:val="left"/>
      </w:pPr>
      <w:r>
        <w:rPr>
          <w:rFonts w:ascii="宋体" w:hAnsi="宋体" w:cs="宋体" w:eastAsia="宋体" w:hint="default"/>
          <w:spacing w:val="1"/>
        </w:rPr>
        <w:t>2</w:t>
      </w:r>
      <w:r>
        <w:rPr>
          <w:rFonts w:ascii="宋体" w:hAnsi="宋体" w:cs="宋体" w:eastAsia="宋体" w:hint="default"/>
          <w:spacing w:val="-2"/>
        </w:rPr>
        <w:t>01</w:t>
      </w:r>
      <w:r>
        <w:rPr>
          <w:rFonts w:ascii="宋体" w:hAnsi="宋体" w:cs="宋体" w:eastAsia="宋体" w:hint="default"/>
        </w:rPr>
        <w:t>2</w:t>
      </w:r>
      <w:r>
        <w:rPr>
          <w:rFonts w:ascii="宋体" w:hAnsi="宋体" w:cs="宋体" w:eastAsia="宋体" w:hint="default"/>
          <w:spacing w:val="-43"/>
        </w:rPr>
        <w:t> </w:t>
      </w:r>
      <w:r>
        <w:rPr/>
        <w:t>年</w:t>
      </w:r>
      <w:r>
        <w:rPr>
          <w:spacing w:val="-47"/>
        </w:rPr>
        <w:t> </w:t>
      </w:r>
      <w:r>
        <w:rPr>
          <w:rFonts w:ascii="宋体" w:hAnsi="宋体" w:cs="宋体" w:eastAsia="宋体" w:hint="default"/>
        </w:rPr>
        <w:t>6</w:t>
      </w:r>
      <w:r>
        <w:rPr>
          <w:rFonts w:ascii="宋体" w:hAnsi="宋体" w:cs="宋体" w:eastAsia="宋体" w:hint="default"/>
          <w:spacing w:val="-44"/>
        </w:rPr>
        <w:t> </w:t>
      </w:r>
      <w:r>
        <w:rPr/>
        <w:t>月</w:t>
      </w:r>
      <w:r>
        <w:rPr>
          <w:spacing w:val="-45"/>
        </w:rPr>
        <w:t> </w:t>
      </w:r>
      <w:r>
        <w:rPr>
          <w:rFonts w:ascii="宋体" w:hAnsi="宋体" w:cs="宋体" w:eastAsia="宋体" w:hint="default"/>
          <w:spacing w:val="-2"/>
        </w:rPr>
        <w:t>2</w:t>
      </w:r>
      <w:r>
        <w:rPr>
          <w:rFonts w:ascii="宋体" w:hAnsi="宋体" w:cs="宋体" w:eastAsia="宋体" w:hint="default"/>
        </w:rPr>
        <w:t>8</w:t>
      </w:r>
      <w:r>
        <w:rPr>
          <w:rFonts w:ascii="宋体" w:hAnsi="宋体" w:cs="宋体" w:eastAsia="宋体" w:hint="default"/>
          <w:spacing w:val="-44"/>
        </w:rPr>
        <w:t> </w:t>
      </w:r>
      <w:r>
        <w:rPr/>
        <w:t>日</w:t>
      </w:r>
      <w:r>
        <w:rPr>
          <w:spacing w:val="-8"/>
        </w:rPr>
        <w:t>，</w:t>
      </w:r>
      <w:r>
        <w:rPr/>
        <w:t>公</w:t>
      </w:r>
      <w:r>
        <w:rPr>
          <w:spacing w:val="-3"/>
        </w:rPr>
        <w:t>司</w:t>
      </w:r>
      <w:r>
        <w:rPr/>
        <w:t>与湖南省新闻出版局签订</w:t>
      </w:r>
      <w:r>
        <w:rPr>
          <w:spacing w:val="-8"/>
        </w:rPr>
        <w:t>了</w:t>
      </w:r>
      <w:r>
        <w:rPr/>
        <w:t>《政府采购合同</w:t>
      </w:r>
      <w:r>
        <w:rPr>
          <w:spacing w:val="-92"/>
        </w:rPr>
        <w:t>》</w:t>
      </w:r>
      <w:r>
        <w:rPr>
          <w:spacing w:val="-8"/>
        </w:rPr>
        <w:t>，</w:t>
      </w:r>
      <w:r>
        <w:rPr/>
        <w:t>合同约定</w:t>
      </w:r>
      <w:r>
        <w:rPr>
          <w:spacing w:val="-8"/>
        </w:rPr>
        <w:t>：</w:t>
      </w:r>
      <w:r>
        <w:rPr/>
        <w:t>经公开招标</w:t>
      </w:r>
      <w:r>
        <w:rPr>
          <w:spacing w:val="-8"/>
        </w:rPr>
        <w:t>，</w:t>
      </w:r>
      <w:r>
        <w:rPr/>
        <w:t>湖南省新闻出版局向</w:t>
      </w:r>
    </w:p>
    <w:p>
      <w:pPr>
        <w:pStyle w:val="BodyText"/>
        <w:spacing w:line="316" w:lineRule="auto" w:before="77"/>
        <w:ind w:right="96"/>
        <w:jc w:val="left"/>
      </w:pPr>
      <w:r>
        <w:rPr/>
        <w:t>公司采购农家书屋第三包文学艺术类、第六包少儿类图书，价值</w:t>
      </w:r>
      <w:r>
        <w:rPr>
          <w:spacing w:val="-42"/>
        </w:rPr>
        <w:t> </w:t>
      </w:r>
      <w:r>
        <w:rPr>
          <w:rFonts w:ascii="宋体" w:hAnsi="宋体" w:cs="宋体" w:eastAsia="宋体" w:hint="default"/>
        </w:rPr>
        <w:t>4976</w:t>
      </w:r>
      <w:r>
        <w:rPr>
          <w:rFonts w:ascii="宋体" w:hAnsi="宋体" w:cs="宋体" w:eastAsia="宋体" w:hint="default"/>
          <w:spacing w:val="-41"/>
        </w:rPr>
        <w:t> </w:t>
      </w:r>
      <w:r>
        <w:rPr/>
        <w:t>万元，双方就交货、包装、质量标准、验收及违约责 任进行了约定。</w:t>
      </w:r>
    </w:p>
    <w:p>
      <w:pPr>
        <w:spacing w:after="0" w:line="316" w:lineRule="auto"/>
        <w:jc w:val="left"/>
        <w:sectPr>
          <w:pgSz w:w="11910" w:h="16840"/>
          <w:pgMar w:header="918" w:footer="999" w:top="1100" w:bottom="1180" w:left="980" w:right="1020"/>
        </w:sectPr>
      </w:pPr>
    </w:p>
    <w:p>
      <w:pPr>
        <w:spacing w:line="240" w:lineRule="auto" w:before="2"/>
        <w:rPr>
          <w:rFonts w:ascii="宋体" w:hAnsi="宋体" w:cs="宋体" w:eastAsia="宋体" w:hint="default"/>
          <w:sz w:val="22"/>
          <w:szCs w:val="22"/>
        </w:rPr>
      </w:pPr>
      <w:r>
        <w:rPr/>
        <w:pict>
          <v:group style="position:absolute;margin-left:393.220001pt;margin-top:381.409973pt;width:48.25pt;height:74.8pt;mso-position-horizontal-relative:page;mso-position-vertical-relative:page;z-index:-686632" coordorigin="7864,7628" coordsize="965,1496">
            <v:group style="position:absolute;left:7864;top:7628;width:965;height:1092" coordorigin="7864,7628" coordsize="965,1092">
              <v:shape style="position:absolute;left:7864;top:7628;width:965;height:1092" coordorigin="7864,7628" coordsize="965,1092" path="m7864,8720l8829,8720,8829,7628,7864,7628,7864,8720xe" filled="true" fillcolor="#ffffff" stroked="false">
                <v:path arrowok="t"/>
                <v:fill type="solid"/>
              </v:shape>
            </v:group>
            <v:group style="position:absolute;left:7876;top:8720;width:2;height:392" coordorigin="7876,8720" coordsize="2,392">
              <v:shape style="position:absolute;left:7876;top:8720;width:2;height:392" coordorigin="7876,8720" coordsize="0,392" path="m7876,8720l7876,9111e" filled="false" stroked="true" strokeweight="1.2pt" strokecolor="#ffffff">
                <v:path arrowok="t"/>
              </v:shape>
            </v:group>
            <v:group style="position:absolute;left:7888;top:8720;width:920;height:392" coordorigin="7888,8720" coordsize="920,392">
              <v:shape style="position:absolute;left:7888;top:8720;width:920;height:392" coordorigin="7888,8720" coordsize="920,392" path="m7888,9111l8808,9111,8808,8720,7888,8720,7888,9111xe" filled="true" fillcolor="#ffffff" stroked="false">
                <v:path arrowok="t"/>
                <v:fill type="solid"/>
              </v:shape>
            </v:group>
            <w10:wrap type="none"/>
          </v:group>
        </w:pict>
      </w:r>
      <w:r>
        <w:rPr/>
        <w:pict>
          <v:group style="position:absolute;margin-left:219.649994pt;margin-top:575.109985pt;width:171.9pt;height:31.2pt;mso-position-horizontal-relative:page;mso-position-vertical-relative:page;z-index:-686608" coordorigin="4393,11502" coordsize="3438,624">
            <v:group style="position:absolute;left:4393;top:11502;width:3438;height:312" coordorigin="4393,11502" coordsize="3438,312">
              <v:shape style="position:absolute;left:4393;top:11502;width:3438;height:312" coordorigin="4393,11502" coordsize="3438,312" path="m4393,11814l7831,11814,7831,11502,4393,11502,4393,11814xe" filled="true" fillcolor="#ffffff" stroked="false">
                <v:path arrowok="t"/>
                <v:fill type="solid"/>
              </v:shape>
            </v:group>
            <v:group style="position:absolute;left:4393;top:11814;width:3438;height:312" coordorigin="4393,11814" coordsize="3438,312">
              <v:shape style="position:absolute;left:4393;top:11814;width:3438;height:312" coordorigin="4393,11814" coordsize="3438,312" path="m4393,12126l7831,12126,7831,11814,4393,11814,4393,12126xe" filled="true" fillcolor="#ffffff" stroked="false">
                <v:path arrowok="t"/>
                <v:fill type="solid"/>
              </v:shape>
            </v:group>
            <w10:wrap type="none"/>
          </v:group>
        </w:pict>
      </w:r>
    </w:p>
    <w:p>
      <w:pPr>
        <w:pStyle w:val="Heading5"/>
        <w:spacing w:line="240" w:lineRule="auto" w:before="36"/>
        <w:ind w:right="0"/>
        <w:jc w:val="left"/>
        <w:rPr>
          <w:b w:val="0"/>
          <w:bCs w:val="0"/>
        </w:rPr>
      </w:pPr>
      <w:r>
        <w:rPr>
          <w:rFonts w:ascii="Times New Roman" w:hAnsi="Times New Roman" w:cs="Times New Roman" w:eastAsia="Times New Roman" w:hint="default"/>
        </w:rPr>
        <w:t>1</w:t>
      </w:r>
      <w:r>
        <w:rPr/>
        <w:t>、公司或持股</w:t>
      </w:r>
      <w:r>
        <w:rPr>
          <w:spacing w:val="-53"/>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14"/>
        <w:gridCol w:w="1515"/>
        <w:gridCol w:w="3498"/>
        <w:gridCol w:w="974"/>
        <w:gridCol w:w="946"/>
        <w:gridCol w:w="924"/>
      </w:tblGrid>
      <w:tr>
        <w:trPr>
          <w:trHeight w:val="40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承诺人</w:t>
            </w:r>
          </w:p>
        </w:tc>
        <w:tc>
          <w:tcPr>
            <w:tcW w:w="3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9" w:hRule="exact"/>
        </w:trPr>
        <w:tc>
          <w:tcPr>
            <w:tcW w:w="1714"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3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避免与本公司发生同业竞争作出承诺。</w:t>
            </w:r>
            <w:r>
              <w:rPr>
                <w:rFonts w:ascii="Times New Roman" w:hAnsi="Times New Roman" w:cs="Times New Roman" w:eastAsia="Times New Roman" w:hint="default"/>
                <w:sz w:val="18"/>
                <w:szCs w:val="18"/>
              </w:rPr>
              <w:t>2.</w:t>
            </w:r>
          </w:p>
        </w:tc>
        <w:tc>
          <w:tcPr>
            <w:tcW w:w="974"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r>
      <w:tr>
        <w:trPr>
          <w:trHeight w:val="930" w:hRule="exact"/>
        </w:trPr>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4" w:lineRule="auto"/>
              <w:ind w:left="393" w:right="29" w:hanging="360"/>
              <w:jc w:val="left"/>
              <w:rPr>
                <w:rFonts w:ascii="宋体" w:hAnsi="宋体" w:cs="宋体" w:eastAsia="宋体" w:hint="default"/>
                <w:sz w:val="18"/>
                <w:szCs w:val="18"/>
              </w:rPr>
            </w:pPr>
            <w:r>
              <w:rPr>
                <w:rFonts w:ascii="宋体" w:hAnsi="宋体" w:cs="宋体" w:eastAsia="宋体" w:hint="default"/>
                <w:sz w:val="18"/>
                <w:szCs w:val="18"/>
              </w:rPr>
              <w:t>湖南天鸿投资集团 有限公司</w:t>
            </w: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6" w:right="39"/>
              <w:jc w:val="both"/>
              <w:rPr>
                <w:rFonts w:ascii="宋体" w:hAnsi="宋体" w:cs="宋体" w:eastAsia="宋体" w:hint="default"/>
                <w:sz w:val="18"/>
                <w:szCs w:val="18"/>
              </w:rPr>
            </w:pPr>
            <w:r>
              <w:rPr>
                <w:rFonts w:ascii="宋体" w:hAnsi="宋体" w:cs="宋体" w:eastAsia="宋体" w:hint="default"/>
                <w:sz w:val="18"/>
                <w:szCs w:val="18"/>
              </w:rPr>
              <w:t>自发行人股票上市之日起三十六个月内，不 转让或者委托他人管理其在本次发行前已直 接或间接持有的发行人股份，也不由发行人</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60" w:hRule="exact"/>
        </w:trPr>
        <w:tc>
          <w:tcPr>
            <w:tcW w:w="1714"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3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回购该部分股份。</w:t>
            </w:r>
          </w:p>
        </w:tc>
        <w:tc>
          <w:tcPr>
            <w:tcW w:w="97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360" w:hRule="exact"/>
        </w:trPr>
        <w:tc>
          <w:tcPr>
            <w:tcW w:w="1714" w:type="dxa"/>
            <w:vMerge w:val="restart"/>
            <w:tcBorders>
              <w:top w:val="single" w:sz="4" w:space="0" w:color="000000"/>
              <w:left w:val="single" w:sz="4" w:space="0" w:color="000000"/>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3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避免与本公司发生同业竞争作出承诺。</w:t>
            </w:r>
            <w:r>
              <w:rPr>
                <w:rFonts w:ascii="Times New Roman" w:hAnsi="Times New Roman" w:cs="Times New Roman" w:eastAsia="Times New Roman" w:hint="default"/>
                <w:sz w:val="18"/>
                <w:szCs w:val="18"/>
              </w:rPr>
              <w:t>2.</w:t>
            </w:r>
          </w:p>
        </w:tc>
        <w:tc>
          <w:tcPr>
            <w:tcW w:w="974"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r>
      <w:tr>
        <w:trPr>
          <w:trHeight w:val="307"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自发行人股票上市之日起三十六个月内，不</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转让或者委托他人管理其在本次发行前已直</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接或间接持有的发行人股份，也不由发行人</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7"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回购该部分股份。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自发行人股票上市三十</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07"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六个月后，本人在公司任职期间，每年转让</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的股份不超过本人间接持有公司股份总数的</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7"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；在本人离职后半年内，不转让发行前</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55"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3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本人间接持有的公司股份。</w:t>
            </w:r>
          </w:p>
        </w:tc>
        <w:tc>
          <w:tcPr>
            <w:tcW w:w="97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354" w:hRule="exact"/>
        </w:trPr>
        <w:tc>
          <w:tcPr>
            <w:tcW w:w="1714" w:type="dxa"/>
            <w:vMerge/>
            <w:tcBorders>
              <w:left w:val="single" w:sz="4" w:space="0" w:color="000000"/>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3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自发行人股票上市之日起三十六个月内，不</w:t>
            </w:r>
          </w:p>
        </w:tc>
        <w:tc>
          <w:tcPr>
            <w:tcW w:w="974" w:type="dxa"/>
            <w:tcBorders>
              <w:top w:val="single" w:sz="4" w:space="0" w:color="000000"/>
              <w:left w:val="single" w:sz="4" w:space="0" w:color="000000"/>
              <w:bottom w:val="nil" w:sz="6" w:space="0" w:color="auto"/>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r>
      <w:tr>
        <w:trPr>
          <w:trHeight w:val="311"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转让或者委托他人管理其在本次发行前已间</w:t>
            </w:r>
          </w:p>
        </w:tc>
        <w:tc>
          <w:tcPr>
            <w:tcW w:w="974"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接持有的发行人股份，也不由发行人回购该</w:t>
            </w:r>
          </w:p>
        </w:tc>
        <w:tc>
          <w:tcPr>
            <w:tcW w:w="974"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624"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肖欢</w:t>
            </w: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39"/>
              <w:jc w:val="left"/>
              <w:rPr>
                <w:rFonts w:ascii="宋体" w:hAnsi="宋体" w:cs="宋体" w:eastAsia="宋体" w:hint="default"/>
                <w:sz w:val="18"/>
                <w:szCs w:val="18"/>
              </w:rPr>
            </w:pPr>
            <w:r>
              <w:rPr>
                <w:rFonts w:ascii="宋体" w:hAnsi="宋体" w:cs="宋体" w:eastAsia="宋体" w:hint="default"/>
                <w:spacing w:val="-4"/>
                <w:sz w:val="18"/>
                <w:szCs w:val="18"/>
              </w:rPr>
              <w:t>部分股份；自发行人股票上市三十六个月后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肖志鸿在公司任职期间，本人每年转让的股</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份不超过本人间接持有公司股份总数的</w:t>
            </w:r>
          </w:p>
        </w:tc>
        <w:tc>
          <w:tcPr>
            <w:tcW w:w="974"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7"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3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；在肖志鸿离职后半年内，本人不转让</w:t>
            </w:r>
          </w:p>
        </w:tc>
        <w:tc>
          <w:tcPr>
            <w:tcW w:w="974"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55"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3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发行前本人间接持有的公司股份。</w:t>
            </w:r>
          </w:p>
        </w:tc>
        <w:tc>
          <w:tcPr>
            <w:tcW w:w="974" w:type="dxa"/>
            <w:tcBorders>
              <w:top w:val="nil" w:sz="6" w:space="0" w:color="auto"/>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360" w:hRule="exact"/>
        </w:trPr>
        <w:tc>
          <w:tcPr>
            <w:tcW w:w="1714" w:type="dxa"/>
            <w:vMerge/>
            <w:tcBorders>
              <w:left w:val="single" w:sz="4" w:space="0" w:color="000000"/>
              <w:right w:val="single" w:sz="4" w:space="0" w:color="000000"/>
            </w:tcBorders>
          </w:tcPr>
          <w:p>
            <w:pPr/>
          </w:p>
        </w:tc>
        <w:tc>
          <w:tcPr>
            <w:tcW w:w="1515" w:type="dxa"/>
            <w:tcBorders>
              <w:top w:val="single" w:sz="4" w:space="0" w:color="000000"/>
              <w:left w:val="single" w:sz="4" w:space="0" w:color="000000"/>
              <w:bottom w:val="nil" w:sz="6" w:space="0" w:color="auto"/>
              <w:right w:val="single" w:sz="14" w:space="0" w:color="FFFFFF"/>
            </w:tcBorders>
          </w:tcPr>
          <w:p>
            <w:pPr/>
          </w:p>
        </w:tc>
        <w:tc>
          <w:tcPr>
            <w:tcW w:w="3498" w:type="dxa"/>
            <w:tcBorders>
              <w:top w:val="single" w:sz="4" w:space="0" w:color="000000"/>
              <w:left w:val="single" w:sz="14" w:space="0" w:color="FFFFFF"/>
              <w:bottom w:val="nil" w:sz="6" w:space="0" w:color="auto"/>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自发行人股票上市之日起十二个月内，不</w:t>
            </w:r>
          </w:p>
        </w:tc>
        <w:tc>
          <w:tcPr>
            <w:tcW w:w="974"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r>
      <w:tr>
        <w:trPr>
          <w:trHeight w:val="1867" w:hRule="exact"/>
        </w:trPr>
        <w:tc>
          <w:tcPr>
            <w:tcW w:w="1714" w:type="dxa"/>
            <w:vMerge/>
            <w:tcBorders>
              <w:left w:val="single" w:sz="4" w:space="0" w:color="000000"/>
              <w:right w:val="single" w:sz="4" w:space="0" w:color="000000"/>
            </w:tcBorders>
          </w:tcPr>
          <w:p>
            <w:pPr/>
          </w:p>
        </w:tc>
        <w:tc>
          <w:tcPr>
            <w:tcW w:w="1515" w:type="dxa"/>
            <w:tcBorders>
              <w:top w:val="nil" w:sz="6" w:space="0" w:color="auto"/>
              <w:left w:val="single" w:sz="4" w:space="0" w:color="000000"/>
              <w:bottom w:val="nil" w:sz="6" w:space="0" w:color="auto"/>
              <w:right w:val="single" w:sz="14" w:space="0" w:color="FFFFFF"/>
            </w:tcBorders>
          </w:tcPr>
          <w:p>
            <w:pPr>
              <w:pStyle w:val="TableParagraph"/>
              <w:spacing w:line="316" w:lineRule="auto" w:before="161"/>
              <w:ind w:left="23" w:right="16" w:firstLine="9"/>
              <w:jc w:val="center"/>
              <w:rPr>
                <w:rFonts w:ascii="宋体" w:hAnsi="宋体" w:cs="宋体" w:eastAsia="宋体" w:hint="default"/>
                <w:sz w:val="18"/>
                <w:szCs w:val="18"/>
              </w:rPr>
            </w:pPr>
            <w:r>
              <w:rPr>
                <w:rFonts w:ascii="宋体" w:hAnsi="宋体" w:cs="宋体" w:eastAsia="宋体" w:hint="default"/>
                <w:sz w:val="18"/>
                <w:szCs w:val="18"/>
              </w:rPr>
              <w:t>赵伟立、戴波、周 学明、王崇亿、陈 四清、陈晶德、喻 </w:t>
            </w:r>
            <w:r>
              <w:rPr>
                <w:rFonts w:ascii="宋体" w:hAnsi="宋体" w:cs="宋体" w:eastAsia="宋体" w:hint="default"/>
                <w:spacing w:val="-9"/>
                <w:sz w:val="18"/>
                <w:szCs w:val="18"/>
              </w:rPr>
              <w:t>宇汉、李强、周艳</w:t>
            </w:r>
            <w:r>
              <w:rPr>
                <w:rFonts w:ascii="宋体" w:hAnsi="宋体" w:cs="宋体" w:eastAsia="宋体" w:hint="default"/>
                <w:sz w:val="18"/>
                <w:szCs w:val="18"/>
              </w:rPr>
              <w:t> 张艺耀</w:t>
            </w:r>
          </w:p>
        </w:tc>
        <w:tc>
          <w:tcPr>
            <w:tcW w:w="3498" w:type="dxa"/>
            <w:tcBorders>
              <w:top w:val="nil" w:sz="6" w:space="0" w:color="auto"/>
              <w:left w:val="single" w:sz="14" w:space="0" w:color="FFFFFF"/>
              <w:bottom w:val="nil" w:sz="6" w:space="0" w:color="auto"/>
              <w:right w:val="single" w:sz="4" w:space="0" w:color="000000"/>
            </w:tcBorders>
          </w:tcPr>
          <w:p>
            <w:pPr>
              <w:pStyle w:val="TableParagraph"/>
              <w:spacing w:line="316" w:lineRule="auto" w:before="5"/>
              <w:ind w:left="13" w:right="39"/>
              <w:jc w:val="both"/>
              <w:rPr>
                <w:rFonts w:ascii="宋体" w:hAnsi="宋体" w:cs="宋体" w:eastAsia="宋体" w:hint="default"/>
                <w:sz w:val="18"/>
                <w:szCs w:val="18"/>
              </w:rPr>
            </w:pPr>
            <w:r>
              <w:rPr>
                <w:rFonts w:ascii="宋体" w:hAnsi="宋体" w:cs="宋体" w:eastAsia="宋体" w:hint="default"/>
                <w:sz w:val="18"/>
                <w:szCs w:val="18"/>
              </w:rPr>
              <w:t>转让或者委托他人管理其在本次发行前已持 有的发行人股份，也不由发行人回购该部分 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自发行人股票上市十二个月后，本</w:t>
            </w:r>
          </w:p>
          <w:p>
            <w:pPr>
              <w:pStyle w:val="TableParagraph"/>
              <w:spacing w:line="195" w:lineRule="exact"/>
              <w:ind w:left="13" w:right="0"/>
              <w:jc w:val="both"/>
              <w:rPr>
                <w:rFonts w:ascii="宋体" w:hAnsi="宋体" w:cs="宋体" w:eastAsia="宋体" w:hint="default"/>
                <w:sz w:val="18"/>
                <w:szCs w:val="18"/>
              </w:rPr>
            </w:pPr>
            <w:r>
              <w:rPr>
                <w:rFonts w:ascii="宋体" w:hAnsi="宋体" w:cs="宋体" w:eastAsia="宋体" w:hint="default"/>
                <w:sz w:val="18"/>
                <w:szCs w:val="18"/>
              </w:rPr>
              <w:t>人在公司任职期间，每年转让的股份不超过</w:t>
            </w:r>
          </w:p>
          <w:p>
            <w:pPr>
              <w:pStyle w:val="TableParagraph"/>
              <w:spacing w:line="15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3" w:right="0"/>
              <w:jc w:val="both"/>
              <w:rPr>
                <w:rFonts w:ascii="宋体" w:hAnsi="宋体" w:cs="宋体" w:eastAsia="宋体" w:hint="default"/>
                <w:sz w:val="18"/>
                <w:szCs w:val="18"/>
              </w:rPr>
            </w:pPr>
            <w:r>
              <w:rPr>
                <w:rFonts w:ascii="宋体" w:hAnsi="宋体" w:cs="宋体" w:eastAsia="宋体" w:hint="default"/>
                <w:sz w:val="18"/>
                <w:szCs w:val="18"/>
              </w:rPr>
              <w:t>本人持有公司股份总数的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；在本人离职</w:t>
            </w:r>
          </w:p>
          <w:p>
            <w:pPr>
              <w:pStyle w:val="TableParagraph"/>
              <w:spacing w:line="240" w:lineRule="auto" w:before="63"/>
              <w:ind w:left="13" w:right="0"/>
              <w:jc w:val="both"/>
              <w:rPr>
                <w:rFonts w:ascii="宋体" w:hAnsi="宋体" w:cs="宋体" w:eastAsia="宋体" w:hint="default"/>
                <w:sz w:val="18"/>
                <w:szCs w:val="18"/>
              </w:rPr>
            </w:pPr>
            <w:r>
              <w:rPr>
                <w:rFonts w:ascii="宋体" w:hAnsi="宋体" w:cs="宋体" w:eastAsia="宋体" w:hint="default"/>
                <w:sz w:val="18"/>
                <w:szCs w:val="18"/>
              </w:rPr>
              <w:t>后半年内，不转让发行前本人持有的公司股</w:t>
            </w:r>
          </w:p>
        </w:tc>
        <w:tc>
          <w:tcPr>
            <w:tcW w:w="97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60" w:hRule="exact"/>
        </w:trPr>
        <w:tc>
          <w:tcPr>
            <w:tcW w:w="1714" w:type="dxa"/>
            <w:vMerge/>
            <w:tcBorders>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14" w:space="0" w:color="FFFFFF"/>
            </w:tcBorders>
          </w:tcPr>
          <w:p>
            <w:pPr/>
          </w:p>
        </w:tc>
        <w:tc>
          <w:tcPr>
            <w:tcW w:w="3498" w:type="dxa"/>
            <w:tcBorders>
              <w:top w:val="nil" w:sz="6" w:space="0" w:color="auto"/>
              <w:left w:val="single" w:sz="14" w:space="0" w:color="FFFFFF"/>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97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8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78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54" w:hRule="exact"/>
        </w:trPr>
        <w:tc>
          <w:tcPr>
            <w:tcW w:w="171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是否就导致的同业竞</w:t>
            </w:r>
          </w:p>
        </w:tc>
        <w:tc>
          <w:tcPr>
            <w:tcW w:w="7857" w:type="dxa"/>
            <w:gridSpan w:val="5"/>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争和关联交易问题作</w:t>
            </w:r>
          </w:p>
        </w:tc>
        <w:tc>
          <w:tcPr>
            <w:tcW w:w="7857"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9" w:hRule="exact"/>
        </w:trPr>
        <w:tc>
          <w:tcPr>
            <w:tcW w:w="171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出承诺</w:t>
            </w:r>
          </w:p>
        </w:tc>
        <w:tc>
          <w:tcPr>
            <w:tcW w:w="7857" w:type="dxa"/>
            <w:gridSpan w:val="5"/>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8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按承诺内容履行</w:t>
            </w:r>
          </w:p>
        </w:tc>
      </w:tr>
    </w:tbl>
    <w:p>
      <w:pPr>
        <w:spacing w:after="0" w:line="240" w:lineRule="auto"/>
        <w:jc w:val="center"/>
        <w:rPr>
          <w:rFonts w:ascii="宋体" w:hAnsi="宋体" w:cs="宋体" w:eastAsia="宋体" w:hint="default"/>
          <w:sz w:val="18"/>
          <w:szCs w:val="18"/>
        </w:rPr>
        <w:sectPr>
          <w:headerReference w:type="default" r:id="rId28"/>
          <w:pgSz w:w="11910" w:h="16840"/>
          <w:pgMar w:header="1104" w:footer="999" w:top="1700" w:bottom="1180" w:left="980" w:right="102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712"/>
        <w:gridCol w:w="7857"/>
      </w:tblGrid>
      <w:tr>
        <w:trPr>
          <w:trHeight w:val="401"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按承诺内容履行</w:t>
            </w:r>
          </w:p>
        </w:tc>
      </w:tr>
      <w:tr>
        <w:trPr>
          <w:trHeight w:val="403"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截至本报告期末，上述全体承诺人严格信守承诺，未出现违反上述承诺的情况。</w:t>
            </w:r>
          </w:p>
        </w:tc>
      </w:tr>
    </w:tbl>
    <w:p>
      <w:pPr>
        <w:spacing w:line="240" w:lineRule="auto" w:before="3"/>
        <w:rPr>
          <w:rFonts w:ascii="宋体" w:hAnsi="宋体" w:cs="宋体" w:eastAsia="宋体" w:hint="default"/>
          <w:b/>
          <w:bCs/>
          <w:sz w:val="19"/>
          <w:szCs w:val="19"/>
        </w:rPr>
      </w:pPr>
    </w:p>
    <w:p>
      <w:pPr>
        <w:pStyle w:val="Heading5"/>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Arial" w:hAnsi="Arial" w:cs="Arial" w:eastAsia="Arial" w:hint="default"/>
        </w:rPr>
        <w:t>√  </w:t>
      </w:r>
      <w:r>
        <w:rPr>
          <w:rFonts w:ascii="Arial" w:hAnsi="Arial" w:cs="Arial" w:eastAsia="Arial" w:hint="default"/>
          <w:spacing w:val="30"/>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5"/>
      </w:tblGrid>
      <w:tr>
        <w:trPr>
          <w:trHeight w:val="404"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刘宇科、李明</w:t>
            </w:r>
          </w:p>
        </w:tc>
      </w:tr>
    </w:tbl>
    <w:p>
      <w:pPr>
        <w:pStyle w:val="BodyText"/>
        <w:spacing w:line="240" w:lineRule="auto" w:before="49"/>
        <w:ind w:right="0"/>
        <w:jc w:val="left"/>
      </w:pPr>
      <w:r>
        <w:rPr/>
        <w:t>是否改聘会计师事务所</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26"/>
          <w:szCs w:val="26"/>
        </w:rPr>
      </w:pPr>
    </w:p>
    <w:p>
      <w:pPr>
        <w:pStyle w:val="Heading3"/>
        <w:spacing w:line="312" w:lineRule="exact"/>
        <w:ind w:right="95"/>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4"/>
          <w:szCs w:val="24"/>
        </w:rPr>
      </w:pPr>
    </w:p>
    <w:p>
      <w:pPr>
        <w:pStyle w:val="BodyText"/>
        <w:spacing w:line="340" w:lineRule="auto"/>
        <w:ind w:right="4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39"/>
        <w:ind w:right="55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38" w:lineRule="auto" w:before="41"/>
        <w:ind w:right="77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headerReference w:type="default" r:id="rId29"/>
          <w:pgSz w:w="11910" w:h="16840"/>
          <w:pgMar w:header="918" w:footer="999" w:top="110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0"/>
        <w:jc w:val="left"/>
        <w:rPr>
          <w:b w:val="0"/>
          <w:bCs w:val="0"/>
        </w:rPr>
      </w:pPr>
      <w:bookmarkStart w:name="_TOC_250004" w:id="5"/>
      <w:r>
        <w:rPr/>
        <w:t>第六节</w:t>
      </w:r>
      <w:r>
        <w:rPr>
          <w:spacing w:val="-6"/>
        </w:rPr>
        <w:t> </w:t>
      </w:r>
      <w:r>
        <w:rPr/>
        <w:t>股份变动及股东情况</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09"/>
        <w:gridCol w:w="1100"/>
        <w:gridCol w:w="850"/>
        <w:gridCol w:w="567"/>
        <w:gridCol w:w="427"/>
        <w:gridCol w:w="1133"/>
        <w:gridCol w:w="997"/>
        <w:gridCol w:w="989"/>
        <w:gridCol w:w="992"/>
        <w:gridCol w:w="852"/>
      </w:tblGrid>
      <w:tr>
        <w:trPr>
          <w:trHeight w:val="401"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1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67"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66.7%</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19,476,175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18,443,425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83,475,925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65.86%</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66.7%</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19,476,175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18,443,425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83,475,925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65.86%</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65.17%</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19,063,200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19,063,200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82,607,200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65.17%</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412,975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868,725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9,773,825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1,032,750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10,806,575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43,274,075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34.14%</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9,773,825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10,806,418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43,273,918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34.14%</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709"/>
        <w:gridCol w:w="1529"/>
        <w:gridCol w:w="1232"/>
        <w:gridCol w:w="1260"/>
        <w:gridCol w:w="144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0" w:right="45" w:hanging="180"/>
              <w:jc w:val="left"/>
              <w:rPr>
                <w:rFonts w:ascii="宋体" w:hAnsi="宋体" w:cs="宋体" w:eastAsia="宋体" w:hint="default"/>
                <w:sz w:val="18"/>
                <w:szCs w:val="18"/>
              </w:rPr>
            </w:pPr>
            <w:r>
              <w:rPr>
                <w:rFonts w:ascii="宋体" w:hAnsi="宋体" w:cs="宋体" w:eastAsia="宋体" w:hint="default"/>
                <w:sz w:val="18"/>
                <w:szCs w:val="18"/>
              </w:rPr>
              <w:t>湖南天鸿投资集 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63,544,000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19,063,200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82,607,200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2013.12.15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赵伟立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82,500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92,250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399,750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2013.01.01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王崇亿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273,000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354,900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81,900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2012.09.23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2012.08.17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陈晶德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97,500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14,625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24,862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107,737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2013.01.01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陈四清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97,500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24,375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21,937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95,062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2013.01.01</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999" w:top="1100" w:bottom="1180" w:left="980" w:right="72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709"/>
        <w:gridCol w:w="1529"/>
        <w:gridCol w:w="1232"/>
        <w:gridCol w:w="1260"/>
        <w:gridCol w:w="144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喻宇汉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97,500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24,375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21,938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95,063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2013.01.01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周学明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130,000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6" w:right="0"/>
              <w:jc w:val="left"/>
              <w:rPr>
                <w:rFonts w:ascii="Times New Roman" w:hAnsi="Times New Roman" w:cs="Times New Roman" w:eastAsia="Times New Roman" w:hint="default"/>
                <w:sz w:val="18"/>
                <w:szCs w:val="18"/>
              </w:rPr>
            </w:pPr>
            <w:r>
              <w:rPr>
                <w:rFonts w:ascii="Times New Roman"/>
                <w:sz w:val="18"/>
              </w:rPr>
              <w:t>169,000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39,000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2012.09.23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戴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97,500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136,938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39,438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97,500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2" w:right="0"/>
              <w:jc w:val="left"/>
              <w:rPr>
                <w:rFonts w:ascii="Times New Roman" w:hAnsi="Times New Roman" w:cs="Times New Roman" w:eastAsia="Times New Roman" w:hint="default"/>
                <w:sz w:val="18"/>
                <w:szCs w:val="18"/>
              </w:rPr>
            </w:pPr>
            <w:r>
              <w:rPr>
                <w:rFonts w:ascii="Times New Roman"/>
                <w:sz w:val="18"/>
              </w:rPr>
              <w:t>31,687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29,250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95,063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2012.12.15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48,750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15,844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14,625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47,531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2012.12.15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张艺耀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29,250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9,506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8,775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28,519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2012.12.15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65,032,500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1,032,750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19,476,175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83,475,925</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3"/>
        <w:gridCol w:w="1365"/>
        <w:gridCol w:w="1378"/>
        <w:gridCol w:w="1362"/>
        <w:gridCol w:w="1369"/>
        <w:gridCol w:w="1364"/>
        <w:gridCol w:w="1372"/>
      </w:tblGrid>
      <w:tr>
        <w:trPr>
          <w:trHeight w:val="406"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34" w:right="0"/>
              <w:jc w:val="left"/>
              <w:rPr>
                <w:rFonts w:ascii="Times New Roman" w:hAnsi="Times New Roman" w:cs="Times New Roman" w:eastAsia="Times New Roman" w:hint="default"/>
                <w:sz w:val="18"/>
                <w:szCs w:val="18"/>
              </w:rPr>
            </w:pPr>
            <w:r>
              <w:rPr>
                <w:rFonts w:ascii="Times New Roman"/>
                <w:sz w:val="18"/>
              </w:rPr>
              <w:t>13,180</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4" w:right="0"/>
              <w:jc w:val="left"/>
              <w:rPr>
                <w:rFonts w:ascii="Times New Roman" w:hAnsi="Times New Roman" w:cs="Times New Roman" w:eastAsia="Times New Roman" w:hint="default"/>
                <w:sz w:val="18"/>
                <w:szCs w:val="18"/>
              </w:rPr>
            </w:pPr>
            <w:r>
              <w:rPr>
                <w:rFonts w:ascii="Times New Roman"/>
                <w:sz w:val="18"/>
              </w:rPr>
              <w:t>15,400</w:t>
            </w:r>
          </w:p>
        </w:tc>
      </w:tr>
      <w:tr>
        <w:trPr>
          <w:trHeight w:val="39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211" w:hRule="exact"/>
        </w:trPr>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30" w:right="46"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9" w:type="dxa"/>
            <w:vMerge/>
            <w:tcBorders>
              <w:left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3"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5" w:right="45" w:hanging="180"/>
              <w:jc w:val="left"/>
              <w:rPr>
                <w:rFonts w:ascii="宋体" w:hAnsi="宋体" w:cs="宋体" w:eastAsia="宋体" w:hint="default"/>
                <w:sz w:val="18"/>
                <w:szCs w:val="18"/>
              </w:rPr>
            </w:pPr>
            <w:r>
              <w:rPr>
                <w:rFonts w:ascii="宋体" w:hAnsi="宋体" w:cs="宋体" w:eastAsia="宋体" w:hint="default"/>
                <w:sz w:val="18"/>
                <w:szCs w:val="18"/>
              </w:rPr>
              <w:t>湖南天鸿投资集 团有限公司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65.17%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82,607,200</w:t>
            </w:r>
          </w:p>
        </w:tc>
        <w:tc>
          <w:tcPr>
            <w:tcW w:w="1369"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82,607,200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李亚辉</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1.25%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1,585,959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周谋敏</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0.42%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535,581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赵伟立</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0.41%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523,000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399,750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李薇红</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0.29%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372,399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李平</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0.28%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354,900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王崇亿</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0.28%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354,900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5" w:right="45"/>
              <w:jc w:val="center"/>
              <w:rPr>
                <w:rFonts w:ascii="宋体" w:hAnsi="宋体" w:cs="宋体" w:eastAsia="宋体" w:hint="default"/>
                <w:sz w:val="18"/>
                <w:szCs w:val="18"/>
              </w:rPr>
            </w:pPr>
            <w:r>
              <w:rPr>
                <w:rFonts w:ascii="宋体" w:hAnsi="宋体" w:cs="宋体" w:eastAsia="宋体" w:hint="default"/>
                <w:sz w:val="18"/>
                <w:szCs w:val="18"/>
              </w:rPr>
              <w:t>广发证券股份有 限公司客户信用 交易担保证券账 户</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0.24%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309,233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1" w:hanging="3"/>
              <w:jc w:val="center"/>
              <w:rPr>
                <w:rFonts w:ascii="宋体" w:hAnsi="宋体" w:cs="宋体" w:eastAsia="宋体" w:hint="default"/>
                <w:sz w:val="18"/>
                <w:szCs w:val="18"/>
              </w:rPr>
            </w:pPr>
            <w:r>
              <w:rPr>
                <w:rFonts w:ascii="宋体" w:hAnsi="宋体" w:cs="宋体" w:eastAsia="宋体" w:hint="default"/>
                <w:sz w:val="18"/>
                <w:szCs w:val="18"/>
              </w:rPr>
              <w:t>云南国际信托有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中国龙 证券投资</w:t>
            </w:r>
            <w:r>
              <w:rPr>
                <w:rFonts w:ascii="Times New Roman" w:hAnsi="Times New Roman" w:cs="Times New Roman" w:eastAsia="Times New Roman" w:hint="default"/>
                <w:sz w:val="18"/>
                <w:szCs w:val="18"/>
              </w:rPr>
              <w:t>.</w:t>
            </w:r>
            <w:r>
              <w:rPr>
                <w:rFonts w:ascii="宋体" w:hAnsi="宋体" w:cs="宋体" w:eastAsia="宋体" w:hint="default"/>
                <w:sz w:val="18"/>
                <w:szCs w:val="18"/>
              </w:rPr>
              <w:t>瑞明集 合资金信托</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0.19%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238,700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任志军</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0.18%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228,905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3" w:hRule="exact"/>
        </w:trPr>
        <w:tc>
          <w:tcPr>
            <w:tcW w:w="27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62"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28" w:type="dxa"/>
            <w:gridSpan w:val="2"/>
            <w:vMerge/>
            <w:tcBorders>
              <w:left w:val="single" w:sz="4" w:space="0" w:color="000000"/>
              <w:bottom w:val="single" w:sz="4" w:space="0" w:color="000000"/>
              <w:right w:val="single" w:sz="4" w:space="0" w:color="000000"/>
            </w:tcBorders>
            <w:shd w:val="clear" w:color="auto" w:fill="D2D2D2"/>
          </w:tcPr>
          <w:p>
            <w:pPr/>
          </w:p>
        </w:tc>
        <w:tc>
          <w:tcPr>
            <w:tcW w:w="4109" w:type="dxa"/>
            <w:gridSpan w:val="3"/>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李亚辉</w:t>
            </w:r>
          </w:p>
        </w:tc>
        <w:tc>
          <w:tcPr>
            <w:tcW w:w="4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1,585,959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999" w:top="1100" w:bottom="1180" w:left="980" w:right="7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732"/>
        <w:gridCol w:w="4105"/>
        <w:gridCol w:w="1368"/>
        <w:gridCol w:w="1368"/>
      </w:tblGrid>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周谋敏</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李薇红</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王崇亿</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广发证券股份有限公司客户信用 交易担保证券账户</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6"/>
              <w:jc w:val="left"/>
              <w:rPr>
                <w:rFonts w:ascii="宋体" w:hAnsi="宋体" w:cs="宋体" w:eastAsia="宋体" w:hint="default"/>
                <w:sz w:val="18"/>
                <w:szCs w:val="18"/>
              </w:rPr>
            </w:pPr>
            <w:r>
              <w:rPr>
                <w:rFonts w:ascii="宋体" w:hAnsi="宋体" w:cs="宋体" w:eastAsia="宋体" w:hint="default"/>
                <w:sz w:val="18"/>
                <w:szCs w:val="18"/>
              </w:rPr>
              <w:t>云南国际信托有限公司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中国龙证 券投资</w:t>
            </w:r>
            <w:r>
              <w:rPr>
                <w:rFonts w:ascii="Times New Roman" w:hAnsi="Times New Roman" w:cs="Times New Roman" w:eastAsia="Times New Roman" w:hint="default"/>
                <w:sz w:val="18"/>
                <w:szCs w:val="18"/>
              </w:rPr>
              <w:t>.</w:t>
            </w:r>
            <w:r>
              <w:rPr>
                <w:rFonts w:ascii="宋体" w:hAnsi="宋体" w:cs="宋体" w:eastAsia="宋体" w:hint="default"/>
                <w:sz w:val="18"/>
                <w:szCs w:val="18"/>
              </w:rPr>
              <w:t>瑞明集合资金信托</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任志军</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李敏志</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田龙</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湖南天鸿投资集团有限公司为本公司控股股东，赵伟立为本公司监事会召集人；王崇亿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为本公司员工；湖南天鸿投资集团有限公司与公司其他股东之间不存在关联关系和一致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行动关系。除此之外，公司未知其他股东之间是否存在关联关系或一致行动关系。</w:t>
            </w:r>
          </w:p>
        </w:tc>
      </w:tr>
    </w:tbl>
    <w:p>
      <w:pPr>
        <w:spacing w:line="240" w:lineRule="auto" w:before="3"/>
        <w:rPr>
          <w:rFonts w:ascii="宋体" w:hAnsi="宋体" w:cs="宋体" w:eastAsia="宋体" w:hint="default"/>
          <w:b/>
          <w:bCs/>
          <w:sz w:val="19"/>
          <w:szCs w:val="19"/>
        </w:rPr>
      </w:pPr>
    </w:p>
    <w:p>
      <w:pPr>
        <w:pStyle w:val="Heading5"/>
        <w:spacing w:line="240" w:lineRule="auto" w:before="36"/>
        <w:ind w:right="2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8"/>
          <w:szCs w:val="28"/>
        </w:rPr>
      </w:pPr>
    </w:p>
    <w:p>
      <w:pPr>
        <w:pStyle w:val="Heading4"/>
        <w:spacing w:line="338" w:lineRule="auto" w:before="0"/>
        <w:ind w:right="229" w:firstLine="384"/>
        <w:jc w:val="both"/>
      </w:pPr>
      <w:r>
        <w:rPr>
          <w:spacing w:val="-8"/>
          <w:w w:val="100"/>
        </w:rPr>
        <w:t>本公司的控股股东为湖南天鸿投资集团有限公司（简称</w:t>
      </w:r>
      <w:r>
        <w:rPr>
          <w:rFonts w:ascii="Times New Roman" w:hAnsi="Times New Roman" w:cs="Times New Roman" w:eastAsia="Times New Roman" w:hint="default"/>
          <w:spacing w:val="-8"/>
          <w:w w:val="100"/>
        </w:rPr>
        <w:t>“</w:t>
      </w:r>
      <w:r>
        <w:rPr>
          <w:spacing w:val="-8"/>
          <w:w w:val="100"/>
        </w:rPr>
        <w:t>天鸿投资</w:t>
      </w:r>
      <w:r>
        <w:rPr>
          <w:rFonts w:ascii="Times New Roman" w:hAnsi="Times New Roman" w:cs="Times New Roman" w:eastAsia="Times New Roman" w:hint="default"/>
          <w:spacing w:val="-8"/>
          <w:w w:val="100"/>
        </w:rPr>
        <w:t>”</w:t>
      </w:r>
      <w:r>
        <w:rPr>
          <w:spacing w:val="-8"/>
          <w:w w:val="100"/>
        </w:rPr>
        <w:t>）。天鸿投资成立于</w:t>
      </w:r>
      <w:r>
        <w:rPr>
          <w:rFonts w:ascii="Times New Roman" w:hAnsi="Times New Roman" w:cs="Times New Roman" w:eastAsia="Times New Roman" w:hint="default"/>
          <w:spacing w:val="-8"/>
          <w:w w:val="100"/>
        </w:rPr>
        <w:t>2002</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日，注册资本</w:t>
      </w:r>
      <w:r>
        <w:rPr>
          <w:rFonts w:ascii="Times New Roman" w:hAnsi="Times New Roman" w:cs="Times New Roman" w:eastAsia="Times New Roman" w:hint="default"/>
          <w:spacing w:val="-2"/>
        </w:rPr>
        <w:t>4,720</w:t>
      </w:r>
      <w:r>
        <w:rPr>
          <w:spacing w:val="-2"/>
        </w:rPr>
        <w:t>万元，实收资本</w:t>
      </w:r>
      <w:r>
        <w:rPr>
          <w:rFonts w:ascii="Times New Roman" w:hAnsi="Times New Roman" w:cs="Times New Roman" w:eastAsia="Times New Roman" w:hint="default"/>
          <w:spacing w:val="-2"/>
        </w:rPr>
        <w:t>4,720</w:t>
      </w:r>
      <w:r>
        <w:rPr>
          <w:spacing w:val="-2"/>
        </w:rPr>
        <w:t>万元，注册地址为长沙县星沙镇茶叶市场办公</w:t>
      </w:r>
      <w:r>
        <w:rPr>
          <w:spacing w:val="-108"/>
        </w:rPr>
        <w:t> </w:t>
      </w:r>
      <w:r>
        <w:rPr>
          <w:spacing w:val="-108"/>
        </w:rPr>
      </w:r>
      <w:r>
        <w:rPr>
          <w:spacing w:val="-1"/>
        </w:rPr>
        <w:t>楼</w:t>
      </w:r>
      <w:r>
        <w:rPr>
          <w:rFonts w:ascii="Times New Roman" w:hAnsi="Times New Roman" w:cs="Times New Roman" w:eastAsia="Times New Roman" w:hint="default"/>
          <w:spacing w:val="-1"/>
        </w:rPr>
        <w:t>A1</w:t>
      </w:r>
      <w:r>
        <w:rPr>
          <w:spacing w:val="-1"/>
        </w:rPr>
        <w:t>栋</w:t>
      </w:r>
      <w:r>
        <w:rPr>
          <w:rFonts w:ascii="Times New Roman" w:hAnsi="Times New Roman" w:cs="Times New Roman" w:eastAsia="Times New Roman" w:hint="default"/>
          <w:spacing w:val="-1"/>
        </w:rPr>
        <w:t>401</w:t>
      </w:r>
      <w:r>
        <w:rPr>
          <w:spacing w:val="-1"/>
        </w:rPr>
        <w:t>、</w:t>
      </w:r>
      <w:r>
        <w:rPr>
          <w:rFonts w:ascii="Times New Roman" w:hAnsi="Times New Roman" w:cs="Times New Roman" w:eastAsia="Times New Roman" w:hint="default"/>
          <w:spacing w:val="-1"/>
        </w:rPr>
        <w:t>402</w:t>
      </w:r>
      <w:r>
        <w:rPr>
          <w:spacing w:val="-1"/>
        </w:rPr>
        <w:t>号，法定代表人为肖志鸿，经营范围为：投资高新技术产业、农业、文化与</w:t>
      </w:r>
      <w:r>
        <w:rPr>
          <w:spacing w:val="-96"/>
        </w:rPr>
        <w:t> </w:t>
      </w:r>
      <w:r>
        <w:rPr>
          <w:spacing w:val="-96"/>
        </w:rPr>
      </w:r>
      <w:r>
        <w:rPr/>
        <w:t>教育产业，提供企业管理咨询服务。完成首次公开发行</w:t>
      </w:r>
      <w:r>
        <w:rPr>
          <w:rFonts w:ascii="Times New Roman" w:hAnsi="Times New Roman" w:cs="Times New Roman" w:eastAsia="Times New Roman" w:hint="default"/>
        </w:rPr>
        <w:t>1900</w:t>
      </w:r>
      <w:r>
        <w:rPr/>
        <w:t>万股普通股股票后，天鸿投资持 有本公司</w:t>
      </w:r>
      <w:r>
        <w:rPr>
          <w:rFonts w:ascii="Times New Roman" w:hAnsi="Times New Roman" w:cs="Times New Roman" w:eastAsia="Times New Roman" w:hint="default"/>
        </w:rPr>
        <w:t>65.17%</w:t>
      </w:r>
      <w:r>
        <w:rPr/>
        <w:t>的股权。</w:t>
      </w:r>
    </w:p>
    <w:p>
      <w:pPr>
        <w:spacing w:line="240" w:lineRule="auto" w:before="1"/>
        <w:rPr>
          <w:rFonts w:ascii="宋体" w:hAnsi="宋体" w:cs="宋体" w:eastAsia="宋体" w:hint="default"/>
          <w:sz w:val="21"/>
          <w:szCs w:val="21"/>
        </w:rPr>
      </w:pPr>
    </w:p>
    <w:p>
      <w:pPr>
        <w:pStyle w:val="Heading5"/>
        <w:spacing w:line="240" w:lineRule="auto"/>
        <w:ind w:right="2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28"/>
          <w:szCs w:val="28"/>
        </w:rPr>
      </w:pPr>
    </w:p>
    <w:p>
      <w:pPr>
        <w:pStyle w:val="Heading4"/>
        <w:spacing w:line="343" w:lineRule="auto" w:before="0"/>
        <w:ind w:right="95" w:firstLine="480"/>
        <w:jc w:val="left"/>
      </w:pPr>
      <w:r>
        <w:rPr/>
        <w:t>本公司的实际控制人为肖志鸿，肖志鸿持有天鸿投资</w:t>
      </w:r>
      <w:r>
        <w:rPr>
          <w:rFonts w:ascii="Times New Roman" w:hAnsi="Times New Roman" w:cs="Times New Roman" w:eastAsia="Times New Roman" w:hint="default"/>
        </w:rPr>
        <w:t>85.17%</w:t>
      </w:r>
      <w:r>
        <w:rPr/>
        <w:t>的股权。肖志鸿现任公司董 </w:t>
      </w:r>
      <w:r>
        <w:rPr>
          <w:spacing w:val="-3"/>
        </w:rPr>
        <w:t>事长，高级图书发行员，湖南省第九、十、十一届人大代表，中国出版工作者协会常务理事，</w:t>
      </w:r>
      <w:r>
        <w:rPr>
          <w:spacing w:val="-80"/>
        </w:rPr>
        <w:t> </w:t>
      </w:r>
      <w:r>
        <w:rPr>
          <w:spacing w:val="-80"/>
        </w:rPr>
      </w:r>
      <w:r>
        <w:rPr/>
        <w:t>湖南省出版协会副主席，曾获得</w:t>
      </w:r>
      <w:r>
        <w:rPr>
          <w:rFonts w:ascii="Times New Roman" w:hAnsi="Times New Roman" w:cs="Times New Roman" w:eastAsia="Times New Roman" w:hint="default"/>
        </w:rPr>
        <w:t>“</w:t>
      </w:r>
      <w:r>
        <w:rPr/>
        <w:t>湖南省劳动模范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湖南省十大杰出经济人物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新中国</w:t>
      </w:r>
      <w:r>
        <w:rPr>
          <w:rFonts w:ascii="Times New Roman" w:hAnsi="Times New Roman" w:cs="Times New Roman" w:eastAsia="Times New Roman" w:hint="default"/>
        </w:rPr>
        <w:t>60 </w:t>
      </w:r>
      <w:r>
        <w:rPr/>
        <w:t>年百名优秀出版人物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中国出版政府奖（优秀出版人物奖）</w:t>
      </w:r>
      <w:r>
        <w:rPr>
          <w:rFonts w:ascii="Times New Roman" w:hAnsi="Times New Roman" w:cs="Times New Roman" w:eastAsia="Times New Roman" w:hint="default"/>
        </w:rPr>
        <w:t>”</w:t>
      </w:r>
      <w:r>
        <w:rPr/>
        <w:t>等荣誉和称号。截至本报告期 内，肖志鸿直接持有天鸿投资</w:t>
      </w:r>
      <w:r>
        <w:rPr>
          <w:rFonts w:ascii="Times New Roman" w:hAnsi="Times New Roman" w:cs="Times New Roman" w:eastAsia="Times New Roman" w:hint="default"/>
        </w:rPr>
        <w:t>85.17%</w:t>
      </w:r>
      <w:r>
        <w:rPr/>
        <w:t>的股权。</w:t>
      </w:r>
    </w:p>
    <w:p>
      <w:pPr>
        <w:spacing w:after="0" w:line="343" w:lineRule="auto"/>
        <w:jc w:val="left"/>
        <w:sectPr>
          <w:headerReference w:type="default" r:id="rId30"/>
          <w:pgSz w:w="11910" w:h="16840"/>
          <w:pgMar w:header="918" w:footer="999" w:top="1100" w:bottom="1180" w:left="980" w:right="900"/>
        </w:sectPr>
      </w:pPr>
    </w:p>
    <w:p>
      <w:pPr>
        <w:spacing w:line="240" w:lineRule="auto" w:before="7"/>
        <w:rPr>
          <w:rFonts w:ascii="宋体" w:hAnsi="宋体" w:cs="宋体" w:eastAsia="宋体" w:hint="default"/>
          <w:sz w:val="25"/>
          <w:szCs w:val="25"/>
        </w:rPr>
      </w:pPr>
    </w:p>
    <w:p>
      <w:pPr>
        <w:pStyle w:val="Heading4"/>
        <w:spacing w:line="240" w:lineRule="auto" w:before="26"/>
        <w:ind w:right="0"/>
        <w:jc w:val="left"/>
      </w:pPr>
      <w:r>
        <w:rPr/>
        <w:t>公司与实际控制人之间的产权及控制关系的方框图</w:t>
      </w:r>
    </w:p>
    <w:p>
      <w:pPr>
        <w:spacing w:line="240" w:lineRule="auto" w:before="11"/>
        <w:rPr>
          <w:rFonts w:ascii="宋体" w:hAnsi="宋体" w:cs="宋体" w:eastAsia="宋体" w:hint="default"/>
          <w:sz w:val="12"/>
          <w:szCs w:val="12"/>
        </w:rPr>
      </w:pPr>
    </w:p>
    <w:p>
      <w:pPr>
        <w:spacing w:line="4892" w:lineRule="exact"/>
        <w:ind w:left="249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3522196" cy="3106959"/>
            <wp:effectExtent l="0" t="0" r="0" b="0"/>
            <wp:docPr id="23" name="image6.jpeg" descr=""/>
            <wp:cNvGraphicFramePr>
              <a:graphicFrameLocks noChangeAspect="1"/>
            </wp:cNvGraphicFramePr>
            <a:graphic>
              <a:graphicData uri="http://schemas.openxmlformats.org/drawingml/2006/picture">
                <pic:pic>
                  <pic:nvPicPr>
                    <pic:cNvPr id="24" name="image6.jpeg"/>
                    <pic:cNvPicPr/>
                  </pic:nvPicPr>
                  <pic:blipFill>
                    <a:blip r:embed="rId31" cstate="print"/>
                    <a:stretch>
                      <a:fillRect/>
                    </a:stretch>
                  </pic:blipFill>
                  <pic:spPr>
                    <a:xfrm>
                      <a:off x="0" y="0"/>
                      <a:ext cx="3522196" cy="3106959"/>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4</w:t>
      </w:r>
      <w:r>
        <w:rPr/>
        <w:t>、前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772" w:right="48" w:hanging="720"/>
              <w:jc w:val="left"/>
              <w:rPr>
                <w:rFonts w:ascii="宋体" w:hAnsi="宋体" w:cs="宋体" w:eastAsia="宋体" w:hint="default"/>
                <w:sz w:val="18"/>
                <w:szCs w:val="18"/>
              </w:rPr>
            </w:pPr>
            <w:r>
              <w:rPr>
                <w:rFonts w:ascii="宋体" w:hAnsi="宋体" w:cs="宋体" w:eastAsia="宋体" w:hint="default"/>
                <w:sz w:val="18"/>
                <w:szCs w:val="18"/>
              </w:rPr>
              <w:t>湖南天鸿投资集团有限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82,607,200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赵伟立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399,750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陈晶德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107,737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陈四清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95,062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喻宇汉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95,063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张艺耀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center"/>
        <w:rPr>
          <w:rFonts w:ascii="宋体" w:hAnsi="宋体" w:cs="宋体" w:eastAsia="宋体" w:hint="default"/>
          <w:sz w:val="18"/>
          <w:szCs w:val="18"/>
        </w:rPr>
        <w:sectPr>
          <w:pgSz w:w="11910" w:h="16840"/>
          <w:pgMar w:header="918" w:footer="999" w:top="1100" w:bottom="1180" w:left="980" w:right="1020"/>
        </w:sectPr>
      </w:pPr>
    </w:p>
    <w:p>
      <w:pPr>
        <w:spacing w:line="240" w:lineRule="auto" w:before="7"/>
        <w:rPr>
          <w:rFonts w:ascii="宋体" w:hAnsi="宋体" w:cs="宋体" w:eastAsia="宋体" w:hint="default"/>
          <w:b/>
          <w:bCs/>
          <w:sz w:val="6"/>
          <w:szCs w:val="6"/>
        </w:rPr>
      </w:pPr>
    </w:p>
    <w:p>
      <w:pPr>
        <w:spacing w:line="20" w:lineRule="exact"/>
        <w:ind w:left="764" w:right="0" w:firstLine="0"/>
        <w:rPr>
          <w:rFonts w:ascii="宋体" w:hAnsi="宋体" w:cs="宋体" w:eastAsia="宋体" w:hint="default"/>
          <w:sz w:val="2"/>
          <w:szCs w:val="2"/>
        </w:rPr>
      </w:pPr>
      <w:r>
        <w:rPr>
          <w:rFonts w:ascii="宋体" w:hAnsi="宋体" w:cs="宋体" w:eastAsia="宋体" w:hint="default"/>
          <w:sz w:val="2"/>
          <w:szCs w:val="2"/>
        </w:rPr>
        <w:pict>
          <v:group style="width:437.05pt;height:.75pt;mso-position-horizontal-relative:char;mso-position-vertical-relative:line" coordorigin="0,0" coordsize="8741,15">
            <v:group style="position:absolute;left:7;top:7;width:8726;height:2" coordorigin="7,7" coordsize="8726,2">
              <v:shape style="position:absolute;left:7;top:7;width:8726;height:2" coordorigin="7,7" coordsize="8726,0" path="m7,7l873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61"/>
        <w:ind w:left="2019" w:right="0"/>
        <w:jc w:val="left"/>
        <w:rPr>
          <w:b w:val="0"/>
          <w:bCs w:val="0"/>
        </w:rPr>
      </w:pPr>
      <w:bookmarkStart w:name="_TOC_250003" w:id="6"/>
      <w:r>
        <w:rPr/>
        <w:t>第七节</w:t>
      </w:r>
      <w:r>
        <w:rPr>
          <w:spacing w:val="-8"/>
        </w:rPr>
        <w:t> </w:t>
      </w:r>
      <w:r>
        <w:rPr/>
        <w:t>董事、监事、高级管理人员和员工情况</w:t>
      </w:r>
      <w:bookmarkEnd w:id="6"/>
      <w:r>
        <w:rPr>
          <w:b w:val="0"/>
          <w:bCs w:val="0"/>
        </w:rPr>
      </w:r>
    </w:p>
    <w:p>
      <w:pPr>
        <w:spacing w:line="240" w:lineRule="auto" w:before="2"/>
        <w:rPr>
          <w:rFonts w:ascii="宋体" w:hAnsi="宋体" w:cs="宋体" w:eastAsia="宋体" w:hint="default"/>
          <w:b/>
          <w:bCs/>
          <w:sz w:val="39"/>
          <w:szCs w:val="39"/>
        </w:rPr>
      </w:pPr>
    </w:p>
    <w:p>
      <w:pPr>
        <w:pStyle w:val="Heading3"/>
        <w:spacing w:line="240" w:lineRule="auto"/>
        <w:ind w:left="800"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735"/>
        <w:gridCol w:w="1200"/>
        <w:gridCol w:w="540"/>
        <w:gridCol w:w="485"/>
        <w:gridCol w:w="1560"/>
        <w:gridCol w:w="1560"/>
        <w:gridCol w:w="850"/>
        <w:gridCol w:w="850"/>
        <w:gridCol w:w="994"/>
        <w:gridCol w:w="850"/>
        <w:gridCol w:w="1135"/>
      </w:tblGrid>
      <w:tr>
        <w:trPr>
          <w:trHeight w:val="102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姓名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57" w:right="60"/>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 w:right="6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2"/>
                <w:sz w:val="18"/>
                <w:szCs w:val="18"/>
              </w:rPr>
              <w:t>份数量（股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4"/>
              <w:ind w:left="-125" w:right="60"/>
              <w:jc w:val="center"/>
              <w:rPr>
                <w:rFonts w:ascii="宋体" w:hAnsi="宋体" w:cs="宋体" w:eastAsia="宋体" w:hint="default"/>
                <w:sz w:val="18"/>
                <w:szCs w:val="18"/>
              </w:rPr>
            </w:pPr>
            <w:r>
              <w:rPr>
                <w:rFonts w:ascii="宋体" w:hAnsi="宋体" w:cs="宋体" w:eastAsia="宋体" w:hint="default"/>
                <w:sz w:val="18"/>
                <w:szCs w:val="18"/>
              </w:rPr>
              <w:t>）数（股）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李文君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何红渠</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方加春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李巨龙</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赵伟立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监事会召集人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523,000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公积金转增 和减持</w:t>
            </w: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廖兰芳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张桂叶</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戴波</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前任职工监事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19,375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127,563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公积金转增 和减持</w:t>
            </w:r>
          </w:p>
        </w:tc>
      </w:tr>
      <w:tr>
        <w:trPr>
          <w:trHeight w:val="40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陈晶德</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110,500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33,150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143,650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r>
      <w:tr>
        <w:trPr>
          <w:trHeight w:val="75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陈四清</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5" w:right="233"/>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21,937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95,062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92" w:right="110" w:hanging="180"/>
              <w:jc w:val="left"/>
              <w:rPr>
                <w:rFonts w:ascii="宋体" w:hAnsi="宋体" w:cs="宋体" w:eastAsia="宋体" w:hint="default"/>
                <w:sz w:val="18"/>
                <w:szCs w:val="18"/>
              </w:rPr>
            </w:pPr>
            <w:r>
              <w:rPr>
                <w:rFonts w:ascii="宋体" w:hAnsi="宋体" w:cs="宋体" w:eastAsia="宋体" w:hint="default"/>
                <w:sz w:val="18"/>
                <w:szCs w:val="18"/>
              </w:rPr>
              <w:t>公积金转增 和减持</w:t>
            </w:r>
          </w:p>
        </w:tc>
      </w:tr>
      <w:tr>
        <w:trPr>
          <w:trHeight w:val="75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喻宇汉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46" w:right="141" w:firstLine="88"/>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95,063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92" w:right="110" w:hanging="180"/>
              <w:jc w:val="left"/>
              <w:rPr>
                <w:rFonts w:ascii="宋体" w:hAnsi="宋体" w:cs="宋体" w:eastAsia="宋体" w:hint="default"/>
                <w:sz w:val="18"/>
                <w:szCs w:val="18"/>
              </w:rPr>
            </w:pPr>
            <w:r>
              <w:rPr>
                <w:rFonts w:ascii="宋体" w:hAnsi="宋体" w:cs="宋体" w:eastAsia="宋体" w:hint="default"/>
                <w:sz w:val="18"/>
                <w:szCs w:val="18"/>
              </w:rPr>
              <w:t>公积金转增 和减持</w:t>
            </w: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833,000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229,463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984,338</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3"/>
        <w:spacing w:line="240" w:lineRule="auto" w:before="26"/>
        <w:ind w:left="800" w:right="0"/>
        <w:jc w:val="left"/>
        <w:rPr>
          <w:b w:val="0"/>
          <w:bCs w:val="0"/>
        </w:rPr>
      </w:pPr>
      <w:r>
        <w:rPr/>
        <w:t>二、任职情况</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before="0"/>
        <w:ind w:left="800" w:right="0"/>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321"/>
        <w:jc w:val="right"/>
      </w:pPr>
      <w:r>
        <w:rPr/>
        <w:pict>
          <v:shape style="position:absolute;margin-left:71.664001pt;margin-top:-49.718258pt;width:490.2pt;height:181.1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417"/>
                    <w:gridCol w:w="7264"/>
                  </w:tblGrid>
                  <w:tr>
                    <w:trPr>
                      <w:trHeight w:val="341" w:hRule="exact"/>
                    </w:trPr>
                    <w:tc>
                      <w:tcPr>
                        <w:tcW w:w="11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本公司职务</w:t>
                        </w:r>
                      </w:p>
                    </w:tc>
                    <w:tc>
                      <w:tcPr>
                        <w:tcW w:w="72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507"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Times New Roman" w:hAnsi="Times New Roman" w:cs="Times New Roman" w:eastAsia="Times New Roman" w:hint="default"/>
                            <w:b/>
                            <w:bCs/>
                            <w:sz w:val="18"/>
                            <w:szCs w:val="18"/>
                          </w:rPr>
                          <w:t>5</w:t>
                        </w:r>
                        <w:r>
                          <w:rPr>
                            <w:rFonts w:ascii="宋体" w:hAnsi="宋体" w:cs="宋体" w:eastAsia="宋体" w:hint="default"/>
                            <w:sz w:val="18"/>
                            <w:szCs w:val="18"/>
                          </w:rPr>
                          <w:t>年主要工作经历和在其他单位的任职或兼职情况</w:t>
                        </w:r>
                      </w:p>
                    </w:tc>
                  </w:tr>
                  <w:tr>
                    <w:trPr>
                      <w:trHeight w:val="665"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肖志鸿</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宋体" w:hAnsi="宋体" w:cs="宋体" w:eastAsia="宋体" w:hint="default"/>
                            <w:sz w:val="18"/>
                            <w:szCs w:val="18"/>
                          </w:rPr>
                          <w:t>年起任湖南天鸿投资集团有限公司董事长</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年至今任本公司董事长</w:t>
                        </w:r>
                      </w:p>
                    </w:tc>
                  </w:tr>
                  <w:tr>
                    <w:trPr>
                      <w:trHeight w:val="97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李文君</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29" w:right="430" w:firstLine="91"/>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月历任湖南省新教材有限责任公司市场总监、常务副总经理、董事、总经理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年起赴日本东京经济大学，任研究员。</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月起任本公司董事、总经理。</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李巨龙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月至今任湖南天鸿投资集团有限公司执行董事。</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年起任本公司董事。</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何红渠</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月至今任中南大学教授。</w:t>
                        </w:r>
                      </w:p>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年起任本公司独立董事。</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年起任唐人神集团股份有限公司独立董事。</w:t>
                        </w:r>
                      </w:p>
                    </w:tc>
                  </w:tr>
                </w:tbl>
                <w:p>
                  <w:pPr/>
                </w:p>
              </w:txbxContent>
            </v:textbox>
            <w10:wrap type="none"/>
          </v:shape>
        </w:pict>
      </w:r>
      <w:r>
        <w:rPr/>
        <w:t>。</w:t>
      </w:r>
    </w:p>
    <w:p>
      <w:pPr>
        <w:spacing w:after="0" w:line="240" w:lineRule="auto"/>
        <w:jc w:val="right"/>
        <w:sectPr>
          <w:headerReference w:type="default" r:id="rId32"/>
          <w:footerReference w:type="default" r:id="rId33"/>
          <w:pgSz w:w="11910" w:h="16840"/>
          <w:pgMar w:header="0" w:footer="999" w:top="1000" w:bottom="1180" w:left="640" w:right="280"/>
          <w:pgNumType w:start="40"/>
        </w:sectPr>
      </w:pPr>
    </w:p>
    <w:p>
      <w:pPr>
        <w:spacing w:line="240" w:lineRule="auto" w:before="7"/>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102"/>
        <w:gridCol w:w="1417"/>
        <w:gridCol w:w="7264"/>
      </w:tblGrid>
      <w:tr>
        <w:trPr>
          <w:trHeight w:val="987" w:hRule="exact"/>
        </w:trPr>
        <w:tc>
          <w:tcPr>
            <w:tcW w:w="110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141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26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月任德邦证券有限责任公司董事长。</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月起任本公司董事。</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年起任越秀房地产投资信托基金董事长。</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月任本公司总经理。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月任本公司董事。</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月起任本公司监事会主席。</w:t>
            </w:r>
          </w:p>
        </w:tc>
      </w:tr>
      <w:tr>
        <w:trPr>
          <w:trHeight w:val="65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月起任湖南天鸿投资集团有限公司综合管理部经理。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年起任本公司监事。</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年起任本公司总经理助理。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年起任本公司业务部副经理、衡阳分公司总经理至今。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月起任本公司监事。</w:t>
            </w:r>
          </w:p>
        </w:tc>
      </w:tr>
      <w:tr>
        <w:trPr>
          <w:trHeight w:val="65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月任湖南天鸿投资集团有限公司副总经理。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年起任本公司副总经理。</w:t>
            </w:r>
          </w:p>
        </w:tc>
      </w:tr>
      <w:tr>
        <w:trPr>
          <w:trHeight w:val="973"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40" w:right="339"/>
              <w:jc w:val="left"/>
              <w:rPr>
                <w:rFonts w:ascii="宋体" w:hAnsi="宋体" w:cs="宋体" w:eastAsia="宋体" w:hint="default"/>
                <w:sz w:val="18"/>
                <w:szCs w:val="18"/>
              </w:rPr>
            </w:pPr>
            <w:r>
              <w:rPr>
                <w:rFonts w:ascii="宋体" w:hAnsi="宋体" w:cs="宋体" w:eastAsia="宋体" w:hint="default"/>
                <w:sz w:val="18"/>
                <w:szCs w:val="18"/>
              </w:rPr>
              <w:t>财务总监 副总经理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月起任本公司财务部经理。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月起任本公司财务总监。</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年起任本公司财务总监、副总经理。</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40" w:right="250" w:hanging="92"/>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年起任本公司董事会秘书。</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年起任本公司董事会秘书、副总经理。</w:t>
            </w:r>
          </w:p>
        </w:tc>
      </w:tr>
    </w:tbl>
    <w:p>
      <w:pPr>
        <w:spacing w:line="240" w:lineRule="auto" w:before="12"/>
        <w:rPr>
          <w:rFonts w:ascii="宋体" w:hAnsi="宋体" w:cs="宋体" w:eastAsia="宋体" w:hint="default"/>
          <w:sz w:val="21"/>
          <w:szCs w:val="21"/>
        </w:rPr>
      </w:pPr>
    </w:p>
    <w:p>
      <w:pPr>
        <w:pStyle w:val="Heading4"/>
        <w:spacing w:line="240" w:lineRule="auto" w:before="26"/>
        <w:ind w:left="120" w:right="253"/>
        <w:jc w:val="left"/>
      </w:pPr>
      <w:r>
        <w:rPr/>
        <w:t>在股东单位任职情况</w:t>
      </w:r>
    </w:p>
    <w:p>
      <w:pPr>
        <w:spacing w:line="240" w:lineRule="auto" w:before="11"/>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200"/>
        <w:gridCol w:w="2293"/>
        <w:gridCol w:w="1366"/>
        <w:gridCol w:w="1606"/>
        <w:gridCol w:w="1517"/>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8" w:right="46"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李巨龙</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综合管理部经理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4"/>
          <w:szCs w:val="24"/>
        </w:rPr>
      </w:pPr>
    </w:p>
    <w:p>
      <w:pPr>
        <w:pStyle w:val="Heading4"/>
        <w:spacing w:line="240" w:lineRule="auto" w:before="26"/>
        <w:ind w:left="120" w:right="253"/>
        <w:jc w:val="left"/>
      </w:pPr>
      <w:r>
        <w:rPr/>
        <w:t>在其他单位任职情况</w:t>
      </w: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00"/>
        <w:gridCol w:w="2293"/>
        <w:gridCol w:w="1380"/>
        <w:gridCol w:w="1592"/>
        <w:gridCol w:w="1512"/>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0" w:right="72"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唐人神集团股份有限公司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广州越秀产业投资管理有限 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left="120" w:right="253"/>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3584"/>
        <w:gridCol w:w="5987"/>
      </w:tblGrid>
      <w:tr>
        <w:trPr>
          <w:trHeight w:val="324"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公司第二届董事会第三次会议审议通过</w:t>
            </w:r>
            <w:r>
              <w:rPr>
                <w:rFonts w:ascii="宋体" w:hAnsi="宋体" w:cs="宋体" w:eastAsia="宋体" w:hint="default"/>
                <w:spacing w:val="-92"/>
                <w:sz w:val="18"/>
                <w:szCs w:val="18"/>
              </w:rPr>
              <w:t>了</w:t>
            </w:r>
            <w:r>
              <w:rPr>
                <w:rFonts w:ascii="宋体" w:hAnsi="宋体" w:cs="宋体" w:eastAsia="宋体" w:hint="default"/>
                <w:spacing w:val="2"/>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tc>
      </w:tr>
    </w:tbl>
    <w:p>
      <w:pPr>
        <w:spacing w:after="0" w:line="240" w:lineRule="auto"/>
        <w:jc w:val="left"/>
        <w:rPr>
          <w:rFonts w:ascii="Times New Roman" w:hAnsi="Times New Roman" w:cs="Times New Roman" w:eastAsia="Times New Roman" w:hint="default"/>
          <w:sz w:val="18"/>
          <w:szCs w:val="18"/>
        </w:rPr>
        <w:sectPr>
          <w:headerReference w:type="default" r:id="rId34"/>
          <w:footerReference w:type="default" r:id="rId35"/>
          <w:pgSz w:w="11910" w:h="16840"/>
          <w:pgMar w:header="0" w:footer="999" w:top="1000" w:bottom="1180" w:left="1320" w:right="560"/>
          <w:pgNumType w:start="4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BodyText"/>
        <w:spacing w:line="240" w:lineRule="auto" w:before="44"/>
        <w:ind w:left="0" w:right="108"/>
        <w:jc w:val="right"/>
      </w:pPr>
      <w:r>
        <w:rPr/>
        <w:pict>
          <v:shape style="position:absolute;margin-left:71.783997pt;margin-top:-79.228249pt;width:479.3pt;height:128.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6"/>
                    <w:gridCol w:w="5975"/>
                  </w:tblGrid>
                  <w:tr>
                    <w:trPr>
                      <w:trHeight w:val="963" w:hRule="exact"/>
                    </w:trPr>
                    <w:tc>
                      <w:tcPr>
                        <w:tcW w:w="359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975"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3" w:right="19"/>
                          <w:jc w:val="both"/>
                          <w:rPr>
                            <w:rFonts w:ascii="宋体" w:hAnsi="宋体" w:cs="宋体" w:eastAsia="宋体" w:hint="default"/>
                            <w:sz w:val="18"/>
                            <w:szCs w:val="18"/>
                          </w:rPr>
                        </w:pPr>
                        <w:r>
                          <w:rPr>
                            <w:rFonts w:ascii="宋体" w:hAnsi="宋体" w:cs="宋体" w:eastAsia="宋体" w:hint="default"/>
                            <w:spacing w:val="-7"/>
                            <w:sz w:val="18"/>
                            <w:szCs w:val="18"/>
                          </w:rPr>
                          <w:t>年度高级管理人员薪酬管理方案的议案》、《关于调整公司独立董事年度津贴</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的方案的议案》，并独立董事年度津贴的方案经公司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年股东大会审议通</w:t>
                        </w:r>
                        <w:r>
                          <w:rPr>
                            <w:rFonts w:ascii="宋体" w:hAnsi="宋体" w:cs="宋体" w:eastAsia="宋体" w:hint="default"/>
                            <w:sz w:val="18"/>
                            <w:szCs w:val="18"/>
                          </w:rPr>
                          <w:t> 过。</w:t>
                        </w:r>
                      </w:p>
                    </w:tc>
                  </w:tr>
                  <w:tr>
                    <w:trPr>
                      <w:trHeight w:val="634"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董事、监事和高级管理人员的报酬按照公司《提名和薪酬委员议事规则》规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定，结合其职位、责任、能力、市场薪资行等因素确定并发放。</w:t>
                        </w:r>
                      </w:p>
                    </w:tc>
                  </w:tr>
                  <w:tr>
                    <w:trPr>
                      <w:trHeight w:val="946"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23"/>
                          <w:jc w:val="left"/>
                          <w:rPr>
                            <w:rFonts w:ascii="宋体" w:hAnsi="宋体" w:cs="宋体" w:eastAsia="宋体" w:hint="default"/>
                            <w:sz w:val="18"/>
                            <w:szCs w:val="18"/>
                          </w:rPr>
                        </w:pPr>
                        <w:r>
                          <w:rPr>
                            <w:rFonts w:ascii="宋体" w:hAnsi="宋体" w:cs="宋体" w:eastAsia="宋体" w:hint="default"/>
                            <w:spacing w:val="-6"/>
                            <w:sz w:val="18"/>
                            <w:szCs w:val="18"/>
                          </w:rPr>
                          <w:t>公司现有董事、监事、高级管理人员共</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人，</w:t>
                        </w:r>
                        <w:r>
                          <w:rPr>
                            <w:rFonts w:ascii="Times New Roman" w:hAnsi="Times New Roman" w:cs="Times New Roman" w:eastAsia="Times New Roman" w:hint="default"/>
                            <w:spacing w:val="-9"/>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高级管理人员的薪酬均已按月支付，其中独立董事津贴按半年度支付，其余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董事、监事均没有津贴。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spacing w:line="240" w:lineRule="auto" w:before="26"/>
        <w:ind w:left="120" w:right="0"/>
        <w:jc w:val="left"/>
      </w:pPr>
      <w:r>
        <w:rPr/>
        <w:t>公司报告期内董事、监事和高级管理人员报酬情况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3" w:right="53" w:hanging="181"/>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李文君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何红渠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方加春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李巨龙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赵伟立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监事会召集人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廖兰芳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张桂叶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1" w:right="0"/>
              <w:jc w:val="left"/>
              <w:rPr>
                <w:rFonts w:ascii="宋体" w:hAnsi="宋体" w:cs="宋体" w:eastAsia="宋体" w:hint="default"/>
                <w:sz w:val="18"/>
                <w:szCs w:val="18"/>
              </w:rPr>
            </w:pPr>
            <w:r>
              <w:rPr>
                <w:rFonts w:ascii="宋体"/>
                <w:sz w:val="18"/>
              </w:rPr>
              <w:t>21.6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3" w:right="0"/>
              <w:jc w:val="left"/>
              <w:rPr>
                <w:rFonts w:ascii="宋体" w:hAnsi="宋体" w:cs="宋体" w:eastAsia="宋体" w:hint="default"/>
                <w:sz w:val="18"/>
                <w:szCs w:val="18"/>
              </w:rPr>
            </w:pPr>
            <w:r>
              <w:rPr>
                <w:rFonts w:ascii="宋体"/>
                <w:sz w:val="18"/>
              </w:rPr>
              <w:t>21.6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陈晶德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5" w:right="0"/>
              <w:jc w:val="left"/>
              <w:rPr>
                <w:rFonts w:ascii="宋体" w:hAnsi="宋体" w:cs="宋体" w:eastAsia="宋体" w:hint="default"/>
                <w:sz w:val="18"/>
                <w:szCs w:val="18"/>
              </w:rPr>
            </w:pPr>
            <w:r>
              <w:rPr>
                <w:rFonts w:ascii="宋体"/>
                <w:sz w:val="18"/>
              </w:rPr>
              <w:t>28.05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28.05</w:t>
            </w:r>
          </w:p>
        </w:tc>
      </w:tr>
      <w:tr>
        <w:trPr>
          <w:trHeight w:val="7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陈四清</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0" w:right="233"/>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1" w:right="0"/>
              <w:jc w:val="left"/>
              <w:rPr>
                <w:rFonts w:ascii="宋体" w:hAnsi="宋体" w:cs="宋体" w:eastAsia="宋体" w:hint="default"/>
                <w:sz w:val="18"/>
                <w:szCs w:val="18"/>
              </w:rPr>
            </w:pPr>
            <w:r>
              <w:rPr>
                <w:rFonts w:ascii="宋体"/>
                <w:sz w:val="18"/>
              </w:rPr>
              <w:t>24.6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sz w:val="18"/>
              </w:rPr>
              <w:t>24.6</w:t>
            </w:r>
          </w:p>
        </w:tc>
      </w:tr>
      <w:tr>
        <w:trPr>
          <w:trHeight w:val="75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喻宇汉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41" w:right="142" w:firstLine="88"/>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1" w:right="0"/>
              <w:jc w:val="left"/>
              <w:rPr>
                <w:rFonts w:ascii="宋体" w:hAnsi="宋体" w:cs="宋体" w:eastAsia="宋体" w:hint="default"/>
                <w:sz w:val="18"/>
                <w:szCs w:val="18"/>
              </w:rPr>
            </w:pPr>
            <w:r>
              <w:rPr>
                <w:rFonts w:ascii="宋体"/>
                <w:sz w:val="18"/>
              </w:rPr>
              <w:t>24.4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sz w:val="18"/>
              </w:rPr>
              <w:t>24.4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3" w:right="0"/>
              <w:jc w:val="left"/>
              <w:rPr>
                <w:rFonts w:ascii="Times New Roman" w:hAnsi="Times New Roman" w:cs="Times New Roman" w:eastAsia="Times New Roman" w:hint="default"/>
                <w:sz w:val="18"/>
                <w:szCs w:val="18"/>
              </w:rPr>
            </w:pPr>
            <w:r>
              <w:rPr>
                <w:rFonts w:ascii="Times New Roman"/>
                <w:sz w:val="18"/>
              </w:rPr>
              <w:t>198.65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3" w:right="0"/>
              <w:jc w:val="lef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6" w:right="0"/>
              <w:jc w:val="left"/>
              <w:rPr>
                <w:rFonts w:ascii="Times New Roman" w:hAnsi="Times New Roman" w:cs="Times New Roman" w:eastAsia="Times New Roman" w:hint="default"/>
                <w:sz w:val="18"/>
                <w:szCs w:val="18"/>
              </w:rPr>
            </w:pPr>
            <w:r>
              <w:rPr>
                <w:rFonts w:ascii="Times New Roman"/>
                <w:sz w:val="18"/>
              </w:rPr>
              <w:t>235.65</w:t>
            </w:r>
          </w:p>
        </w:tc>
      </w:tr>
    </w:tbl>
    <w:p>
      <w:pPr>
        <w:spacing w:line="240" w:lineRule="auto" w:before="1"/>
        <w:rPr>
          <w:rFonts w:ascii="宋体" w:hAnsi="宋体" w:cs="宋体" w:eastAsia="宋体" w:hint="default"/>
          <w:sz w:val="18"/>
          <w:szCs w:val="18"/>
        </w:rPr>
      </w:pPr>
    </w:p>
    <w:p>
      <w:pPr>
        <w:pStyle w:val="Heading3"/>
        <w:spacing w:line="240" w:lineRule="auto" w:before="26"/>
        <w:ind w:left="120"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330"/>
        <w:gridCol w:w="1330"/>
        <w:gridCol w:w="1330"/>
        <w:gridCol w:w="1769"/>
        <w:gridCol w:w="381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变动情形</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3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戴波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after="0" w:line="240" w:lineRule="auto"/>
        <w:jc w:val="center"/>
        <w:rPr>
          <w:rFonts w:ascii="宋体" w:hAnsi="宋体" w:cs="宋体" w:eastAsia="宋体" w:hint="default"/>
          <w:sz w:val="18"/>
          <w:szCs w:val="18"/>
        </w:rPr>
        <w:sectPr>
          <w:headerReference w:type="default" r:id="rId36"/>
          <w:footerReference w:type="default" r:id="rId37"/>
          <w:pgSz w:w="11910" w:h="16840"/>
          <w:pgMar w:header="0" w:footer="999" w:top="1000" w:bottom="1180" w:left="1320" w:right="720"/>
          <w:pgNumType w:start="42"/>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3"/>
        <w:spacing w:line="240" w:lineRule="auto" w:before="26"/>
        <w:ind w:right="0"/>
        <w:jc w:val="left"/>
        <w:rPr>
          <w:b w:val="0"/>
          <w:bCs w:val="0"/>
        </w:rPr>
      </w:pPr>
      <w:r>
        <w:rPr/>
        <w:t>五、公司员工情况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635" w:right="0"/>
        <w:jc w:val="left"/>
        <w:rPr>
          <w:b w:val="0"/>
          <w:bCs w:val="0"/>
        </w:rPr>
      </w:pPr>
      <w:r>
        <w:rPr>
          <w:rFonts w:ascii="Times New Roman" w:hAnsi="Times New Roman" w:cs="Times New Roman" w:eastAsia="Times New Roman" w:hint="default"/>
        </w:rPr>
        <w:t>1</w:t>
      </w:r>
      <w:r>
        <w:rPr/>
        <w:t>、按专业结构划分</w:t>
      </w:r>
      <w:r>
        <w:rPr>
          <w:b w:val="0"/>
          <w:bCs w:val="0"/>
        </w:rPr>
      </w:r>
    </w:p>
    <w:p>
      <w:pPr>
        <w:spacing w:line="240" w:lineRule="auto" w:before="6"/>
        <w:rPr>
          <w:rFonts w:ascii="宋体" w:hAnsi="宋体" w:cs="宋体" w:eastAsia="宋体" w:hint="default"/>
          <w:b/>
          <w:bCs/>
          <w:sz w:val="13"/>
          <w:szCs w:val="13"/>
        </w:rPr>
      </w:pPr>
    </w:p>
    <w:tbl>
      <w:tblPr>
        <w:tblW w:w="0" w:type="auto"/>
        <w:jc w:val="left"/>
        <w:tblInd w:w="575" w:type="dxa"/>
        <w:tblLayout w:type="fixed"/>
        <w:tblCellMar>
          <w:top w:w="0" w:type="dxa"/>
          <w:left w:w="0" w:type="dxa"/>
          <w:bottom w:w="0" w:type="dxa"/>
          <w:right w:w="0" w:type="dxa"/>
        </w:tblCellMar>
        <w:tblLook w:val="01E0"/>
      </w:tblPr>
      <w:tblGrid>
        <w:gridCol w:w="2749"/>
        <w:gridCol w:w="2753"/>
        <w:gridCol w:w="2751"/>
      </w:tblGrid>
      <w:tr>
        <w:trPr>
          <w:trHeight w:val="3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专业</w:t>
            </w:r>
            <w:r>
              <w:rPr>
                <w:rFonts w:ascii="宋体" w:hAnsi="宋体" w:cs="宋体" w:eastAsia="宋体" w:hint="default"/>
                <w:sz w:val="18"/>
                <w:szCs w:val="18"/>
              </w:rPr>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占员工总人数的比例</w:t>
            </w:r>
            <w:r>
              <w:rPr>
                <w:rFonts w:ascii="宋体" w:hAnsi="宋体" w:cs="宋体" w:eastAsia="宋体" w:hint="default"/>
                <w:sz w:val="18"/>
                <w:szCs w:val="18"/>
              </w:rPr>
            </w:r>
          </w:p>
        </w:tc>
      </w:tr>
      <w:tr>
        <w:trPr>
          <w:trHeight w:val="3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综合管理人员</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69</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15%</w:t>
            </w:r>
          </w:p>
        </w:tc>
      </w:tr>
      <w:tr>
        <w:trPr>
          <w:trHeight w:val="348"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策划人员</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144</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31%</w:t>
            </w:r>
          </w:p>
        </w:tc>
      </w:tr>
      <w:tr>
        <w:trPr>
          <w:trHeight w:val="3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86</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18%</w:t>
            </w:r>
          </w:p>
        </w:tc>
      </w:tr>
      <w:tr>
        <w:trPr>
          <w:trHeight w:val="3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34</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w:t>
            </w:r>
          </w:p>
        </w:tc>
      </w:tr>
      <w:tr>
        <w:trPr>
          <w:trHeight w:val="3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行政后勤人员</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134</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29%</w:t>
            </w:r>
          </w:p>
        </w:tc>
      </w:tr>
      <w:tr>
        <w:trPr>
          <w:trHeight w:val="3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b/>
                <w:sz w:val="18"/>
              </w:rPr>
              <w:t>467</w:t>
            </w:r>
            <w:r>
              <w:rPr>
                <w:rFonts w:ascii="宋体"/>
                <w:sz w:val="18"/>
              </w:rPr>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b/>
                <w:sz w:val="18"/>
              </w:rPr>
              <w:t>100%</w:t>
            </w:r>
            <w:r>
              <w:rPr>
                <w:rFonts w:ascii="宋体"/>
                <w:sz w:val="18"/>
              </w:rPr>
            </w:r>
          </w:p>
        </w:tc>
      </w:tr>
    </w:tbl>
    <w:p>
      <w:pPr>
        <w:spacing w:line="240" w:lineRule="auto" w:before="12"/>
        <w:rPr>
          <w:rFonts w:ascii="宋体" w:hAnsi="宋体" w:cs="宋体" w:eastAsia="宋体" w:hint="default"/>
          <w:b/>
          <w:bCs/>
          <w:sz w:val="6"/>
          <w:szCs w:val="6"/>
        </w:rPr>
      </w:pPr>
    </w:p>
    <w:p>
      <w:pPr>
        <w:pStyle w:val="Heading3"/>
        <w:spacing w:line="240" w:lineRule="auto" w:before="26"/>
        <w:ind w:left="635" w:right="0"/>
        <w:jc w:val="left"/>
        <w:rPr>
          <w:b w:val="0"/>
          <w:bCs w:val="0"/>
        </w:rPr>
      </w:pPr>
      <w:r>
        <w:rPr>
          <w:rFonts w:ascii="宋体" w:hAnsi="宋体" w:cs="宋体" w:eastAsia="宋体" w:hint="default"/>
        </w:rPr>
        <w:t>2</w:t>
      </w:r>
      <w:r>
        <w:rPr/>
        <w:t>、按受教育程度划分</w:t>
      </w:r>
      <w:r>
        <w:rPr>
          <w:b w:val="0"/>
          <w:bCs w:val="0"/>
        </w:rPr>
      </w:r>
    </w:p>
    <w:p>
      <w:pPr>
        <w:spacing w:line="240" w:lineRule="auto" w:before="11"/>
        <w:rPr>
          <w:rFonts w:ascii="宋体" w:hAnsi="宋体" w:cs="宋体" w:eastAsia="宋体" w:hint="default"/>
          <w:b/>
          <w:bCs/>
          <w:sz w:val="14"/>
          <w:szCs w:val="14"/>
        </w:rPr>
      </w:pPr>
    </w:p>
    <w:tbl>
      <w:tblPr>
        <w:tblW w:w="0" w:type="auto"/>
        <w:jc w:val="left"/>
        <w:tblInd w:w="575" w:type="dxa"/>
        <w:tblLayout w:type="fixed"/>
        <w:tblCellMar>
          <w:top w:w="0" w:type="dxa"/>
          <w:left w:w="0" w:type="dxa"/>
          <w:bottom w:w="0" w:type="dxa"/>
          <w:right w:w="0" w:type="dxa"/>
        </w:tblCellMar>
        <w:tblLook w:val="01E0"/>
      </w:tblPr>
      <w:tblGrid>
        <w:gridCol w:w="2734"/>
        <w:gridCol w:w="2736"/>
        <w:gridCol w:w="2737"/>
      </w:tblGrid>
      <w:tr>
        <w:trPr>
          <w:trHeight w:val="350"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受教育程度</w:t>
            </w:r>
            <w:r>
              <w:rPr>
                <w:rFonts w:ascii="宋体" w:hAnsi="宋体" w:cs="宋体" w:eastAsia="宋体" w:hint="default"/>
                <w:sz w:val="18"/>
                <w:szCs w:val="18"/>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占员工总人数的比例</w:t>
            </w:r>
            <w:r>
              <w:rPr>
                <w:rFonts w:ascii="宋体" w:hAnsi="宋体" w:cs="宋体" w:eastAsia="宋体" w:hint="default"/>
                <w:sz w:val="18"/>
                <w:szCs w:val="18"/>
              </w:rPr>
            </w:r>
          </w:p>
        </w:tc>
      </w:tr>
      <w:tr>
        <w:trPr>
          <w:trHeight w:val="350"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247</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53%</w:t>
            </w:r>
          </w:p>
        </w:tc>
      </w:tr>
      <w:tr>
        <w:trPr>
          <w:trHeight w:val="348"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159</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34%</w:t>
            </w:r>
          </w:p>
        </w:tc>
      </w:tr>
      <w:tr>
        <w:trPr>
          <w:trHeight w:val="350"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10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2%</w:t>
            </w:r>
          </w:p>
        </w:tc>
      </w:tr>
      <w:tr>
        <w:trPr>
          <w:trHeight w:val="350"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51</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11%</w:t>
            </w:r>
          </w:p>
        </w:tc>
      </w:tr>
      <w:tr>
        <w:trPr>
          <w:trHeight w:val="350"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b/>
                <w:sz w:val="18"/>
              </w:rPr>
              <w:t>467</w:t>
            </w:r>
            <w:r>
              <w:rPr>
                <w:rFonts w:ascii="宋体"/>
                <w:sz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b/>
                <w:sz w:val="18"/>
              </w:rPr>
              <w:t>100%</w:t>
            </w:r>
            <w:r>
              <w:rPr>
                <w:rFonts w:ascii="宋体"/>
                <w:sz w:val="18"/>
              </w:rPr>
            </w:r>
          </w:p>
        </w:tc>
      </w:tr>
    </w:tbl>
    <w:p>
      <w:pPr>
        <w:spacing w:line="240" w:lineRule="auto" w:before="11"/>
        <w:rPr>
          <w:rFonts w:ascii="宋体" w:hAnsi="宋体" w:cs="宋体" w:eastAsia="宋体" w:hint="default"/>
          <w:b/>
          <w:bCs/>
          <w:sz w:val="6"/>
          <w:szCs w:val="6"/>
        </w:rPr>
      </w:pPr>
    </w:p>
    <w:p>
      <w:pPr>
        <w:pStyle w:val="Heading3"/>
        <w:spacing w:line="240" w:lineRule="auto" w:before="26"/>
        <w:ind w:left="635" w:right="0"/>
        <w:jc w:val="left"/>
        <w:rPr>
          <w:b w:val="0"/>
          <w:bCs w:val="0"/>
        </w:rPr>
      </w:pPr>
      <w:r>
        <w:rPr>
          <w:rFonts w:ascii="宋体" w:hAnsi="宋体" w:cs="宋体" w:eastAsia="宋体" w:hint="default"/>
        </w:rPr>
        <w:t>3</w:t>
      </w:r>
      <w:r>
        <w:rPr/>
        <w:t>、按年龄划分</w:t>
      </w:r>
      <w:r>
        <w:rPr>
          <w:b w:val="0"/>
          <w:bCs w:val="0"/>
        </w:rPr>
      </w:r>
    </w:p>
    <w:p>
      <w:pPr>
        <w:spacing w:line="240" w:lineRule="auto" w:before="11"/>
        <w:rPr>
          <w:rFonts w:ascii="宋体" w:hAnsi="宋体" w:cs="宋体" w:eastAsia="宋体" w:hint="default"/>
          <w:b/>
          <w:bCs/>
          <w:sz w:val="14"/>
          <w:szCs w:val="14"/>
        </w:rPr>
      </w:pPr>
    </w:p>
    <w:tbl>
      <w:tblPr>
        <w:tblW w:w="0" w:type="auto"/>
        <w:jc w:val="left"/>
        <w:tblInd w:w="575" w:type="dxa"/>
        <w:tblLayout w:type="fixed"/>
        <w:tblCellMar>
          <w:top w:w="0" w:type="dxa"/>
          <w:left w:w="0" w:type="dxa"/>
          <w:bottom w:w="0" w:type="dxa"/>
          <w:right w:w="0" w:type="dxa"/>
        </w:tblCellMar>
        <w:tblLook w:val="01E0"/>
      </w:tblPr>
      <w:tblGrid>
        <w:gridCol w:w="2725"/>
        <w:gridCol w:w="2727"/>
        <w:gridCol w:w="2727"/>
      </w:tblGrid>
      <w:tr>
        <w:trPr>
          <w:trHeight w:val="35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05"/>
              <w:jc w:val="right"/>
              <w:rPr>
                <w:rFonts w:ascii="宋体" w:hAnsi="宋体" w:cs="宋体" w:eastAsia="宋体" w:hint="default"/>
                <w:sz w:val="18"/>
                <w:szCs w:val="18"/>
              </w:rPr>
            </w:pPr>
            <w:r>
              <w:rPr>
                <w:rFonts w:ascii="宋体" w:hAnsi="宋体" w:cs="宋体" w:eastAsia="宋体" w:hint="default"/>
                <w:b/>
                <w:bCs/>
                <w:w w:val="95"/>
                <w:sz w:val="18"/>
                <w:szCs w:val="18"/>
              </w:rPr>
              <w:t>人数（人）</w:t>
            </w:r>
            <w:r>
              <w:rPr>
                <w:rFonts w:ascii="宋体" w:hAnsi="宋体" w:cs="宋体" w:eastAsia="宋体" w:hint="default"/>
                <w:sz w:val="18"/>
                <w:szCs w:val="18"/>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b/>
                <w:bCs/>
                <w:sz w:val="18"/>
                <w:szCs w:val="18"/>
              </w:rPr>
              <w:t>占员工总人数的比例</w:t>
            </w:r>
            <w:r>
              <w:rPr>
                <w:rFonts w:ascii="宋体" w:hAnsi="宋体" w:cs="宋体" w:eastAsia="宋体" w:hint="default"/>
                <w:sz w:val="18"/>
                <w:szCs w:val="18"/>
              </w:rPr>
            </w:r>
          </w:p>
        </w:tc>
      </w:tr>
      <w:tr>
        <w:trPr>
          <w:trHeight w:val="35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岁及以上</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0" w:right="0"/>
              <w:jc w:val="center"/>
              <w:rPr>
                <w:rFonts w:ascii="宋体" w:hAnsi="宋体" w:cs="宋体" w:eastAsia="宋体" w:hint="default"/>
                <w:sz w:val="18"/>
                <w:szCs w:val="18"/>
              </w:rPr>
            </w:pPr>
            <w:r>
              <w:rPr>
                <w:rFonts w:ascii="宋体"/>
                <w:sz w:val="18"/>
              </w:rPr>
              <w:t>28</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0" w:right="0"/>
              <w:jc w:val="center"/>
              <w:rPr>
                <w:rFonts w:ascii="宋体" w:hAnsi="宋体" w:cs="宋体" w:eastAsia="宋体" w:hint="default"/>
                <w:sz w:val="18"/>
                <w:szCs w:val="18"/>
              </w:rPr>
            </w:pPr>
            <w:r>
              <w:rPr>
                <w:rFonts w:ascii="宋体"/>
                <w:sz w:val="18"/>
              </w:rPr>
              <w:t>6%</w:t>
            </w:r>
          </w:p>
        </w:tc>
      </w:tr>
      <w:tr>
        <w:trPr>
          <w:trHeight w:val="35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40-49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0" w:right="0"/>
              <w:jc w:val="center"/>
              <w:rPr>
                <w:rFonts w:ascii="宋体" w:hAnsi="宋体" w:cs="宋体" w:eastAsia="宋体" w:hint="default"/>
                <w:sz w:val="18"/>
                <w:szCs w:val="18"/>
              </w:rPr>
            </w:pPr>
            <w:r>
              <w:rPr>
                <w:rFonts w:ascii="宋体"/>
                <w:sz w:val="18"/>
              </w:rPr>
              <w:t>46</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0" w:right="0"/>
              <w:jc w:val="center"/>
              <w:rPr>
                <w:rFonts w:ascii="宋体" w:hAnsi="宋体" w:cs="宋体" w:eastAsia="宋体" w:hint="default"/>
                <w:sz w:val="18"/>
                <w:szCs w:val="18"/>
              </w:rPr>
            </w:pPr>
            <w:r>
              <w:rPr>
                <w:rFonts w:ascii="宋体"/>
                <w:sz w:val="18"/>
              </w:rPr>
              <w:t>10%</w:t>
            </w:r>
          </w:p>
        </w:tc>
      </w:tr>
      <w:tr>
        <w:trPr>
          <w:trHeight w:val="348"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30-39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9"/>
              <w:jc w:val="right"/>
              <w:rPr>
                <w:rFonts w:ascii="宋体" w:hAnsi="宋体" w:cs="宋体" w:eastAsia="宋体" w:hint="default"/>
                <w:sz w:val="18"/>
                <w:szCs w:val="18"/>
              </w:rPr>
            </w:pPr>
            <w:r>
              <w:rPr>
                <w:rFonts w:ascii="宋体"/>
                <w:sz w:val="18"/>
              </w:rPr>
              <w:t>143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0" w:right="0"/>
              <w:jc w:val="center"/>
              <w:rPr>
                <w:rFonts w:ascii="宋体" w:hAnsi="宋体" w:cs="宋体" w:eastAsia="宋体" w:hint="default"/>
                <w:sz w:val="18"/>
                <w:szCs w:val="18"/>
              </w:rPr>
            </w:pPr>
            <w:r>
              <w:rPr>
                <w:rFonts w:ascii="宋体"/>
                <w:sz w:val="18"/>
              </w:rPr>
              <w:t>31%</w:t>
            </w:r>
          </w:p>
        </w:tc>
      </w:tr>
      <w:tr>
        <w:trPr>
          <w:trHeight w:val="35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18-29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9"/>
              <w:jc w:val="right"/>
              <w:rPr>
                <w:rFonts w:ascii="宋体" w:hAnsi="宋体" w:cs="宋体" w:eastAsia="宋体" w:hint="default"/>
                <w:sz w:val="18"/>
                <w:szCs w:val="18"/>
              </w:rPr>
            </w:pPr>
            <w:r>
              <w:rPr>
                <w:rFonts w:ascii="宋体"/>
                <w:sz w:val="18"/>
              </w:rPr>
              <w:t>250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0" w:right="0"/>
              <w:jc w:val="center"/>
              <w:rPr>
                <w:rFonts w:ascii="宋体" w:hAnsi="宋体" w:cs="宋体" w:eastAsia="宋体" w:hint="default"/>
                <w:sz w:val="18"/>
                <w:szCs w:val="18"/>
              </w:rPr>
            </w:pPr>
            <w:r>
              <w:rPr>
                <w:rFonts w:ascii="宋体"/>
                <w:sz w:val="18"/>
              </w:rPr>
              <w:t>54%</w:t>
            </w:r>
          </w:p>
        </w:tc>
      </w:tr>
      <w:tr>
        <w:trPr>
          <w:trHeight w:val="35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9"/>
              <w:jc w:val="right"/>
              <w:rPr>
                <w:rFonts w:ascii="宋体" w:hAnsi="宋体" w:cs="宋体" w:eastAsia="宋体" w:hint="default"/>
                <w:sz w:val="18"/>
                <w:szCs w:val="18"/>
              </w:rPr>
            </w:pPr>
            <w:r>
              <w:rPr>
                <w:rFonts w:ascii="宋体"/>
                <w:b/>
                <w:sz w:val="18"/>
              </w:rPr>
              <w:t>467</w:t>
            </w:r>
            <w:r>
              <w:rPr>
                <w:rFonts w:ascii="宋体"/>
                <w:sz w:val="18"/>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0" w:right="0"/>
              <w:jc w:val="center"/>
              <w:rPr>
                <w:rFonts w:ascii="宋体" w:hAnsi="宋体" w:cs="宋体" w:eastAsia="宋体" w:hint="default"/>
                <w:sz w:val="18"/>
                <w:szCs w:val="18"/>
              </w:rPr>
            </w:pPr>
            <w:r>
              <w:rPr>
                <w:rFonts w:ascii="宋体"/>
                <w:b/>
                <w:sz w:val="18"/>
              </w:rPr>
              <w:t>100%</w:t>
            </w:r>
            <w:r>
              <w:rPr>
                <w:rFonts w:ascii="宋体"/>
                <w:sz w:val="18"/>
              </w:rPr>
            </w:r>
          </w:p>
        </w:tc>
      </w:tr>
    </w:tbl>
    <w:p>
      <w:pPr>
        <w:pStyle w:val="BodyText"/>
        <w:spacing w:line="240" w:lineRule="auto" w:before="8"/>
        <w:ind w:left="513" w:right="0"/>
        <w:jc w:val="left"/>
      </w:pPr>
      <w:r>
        <w:rPr/>
        <w:t>注：截止报告期末，公司员工人数较上年度增加了东方天舟、云上森林、北京永载等控股子公司员工人数。</w:t>
      </w:r>
    </w:p>
    <w:p>
      <w:pPr>
        <w:spacing w:after="0" w:line="240" w:lineRule="auto"/>
        <w:jc w:val="left"/>
        <w:sectPr>
          <w:headerReference w:type="default" r:id="rId38"/>
          <w:footerReference w:type="default" r:id="rId39"/>
          <w:pgSz w:w="11910" w:h="16840"/>
          <w:pgMar w:header="918" w:footer="979" w:top="1100" w:bottom="1160" w:left="980" w:right="1020"/>
          <w:pgNumType w:start="4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3826"/>
        <w:jc w:val="center"/>
        <w:rPr>
          <w:b w:val="0"/>
          <w:bCs w:val="0"/>
        </w:rPr>
      </w:pPr>
      <w:bookmarkStart w:name="_TOC_250002" w:id="7"/>
      <w:r>
        <w:rPr/>
        <w:t>第八节</w:t>
      </w:r>
      <w:r>
        <w:rPr>
          <w:spacing w:val="-1"/>
        </w:rPr>
        <w:t> </w:t>
      </w:r>
      <w:r>
        <w:rPr/>
        <w:t>公司治理</w:t>
      </w:r>
      <w:bookmarkEnd w:id="7"/>
      <w:r>
        <w:rPr>
          <w:b w:val="0"/>
          <w:bCs w:val="0"/>
        </w:rPr>
      </w:r>
    </w:p>
    <w:p>
      <w:pPr>
        <w:spacing w:line="240" w:lineRule="auto" w:before="11"/>
        <w:rPr>
          <w:rFonts w:ascii="宋体" w:hAnsi="宋体" w:cs="宋体" w:eastAsia="宋体" w:hint="default"/>
          <w:b/>
          <w:bCs/>
          <w:sz w:val="44"/>
          <w:szCs w:val="44"/>
        </w:rPr>
      </w:pPr>
    </w:p>
    <w:p>
      <w:pPr>
        <w:pStyle w:val="Heading4"/>
        <w:spacing w:line="357" w:lineRule="auto" w:before="0"/>
        <w:ind w:left="633" w:right="230" w:hanging="480"/>
        <w:jc w:val="left"/>
      </w:pPr>
      <w:r>
        <w:rPr>
          <w:rFonts w:ascii="宋体" w:hAnsi="宋体" w:cs="宋体" w:eastAsia="宋体" w:hint="default"/>
          <w:b/>
          <w:bCs/>
        </w:rPr>
        <w:t>一、公司治理情况</w:t>
      </w:r>
      <w:r>
        <w:rPr>
          <w:rFonts w:ascii="宋体" w:hAnsi="宋体" w:cs="宋体" w:eastAsia="宋体" w:hint="default"/>
          <w:b/>
          <w:bCs/>
          <w:w w:val="99"/>
        </w:rPr>
        <w:t> </w:t>
      </w:r>
      <w:r>
        <w:rPr>
          <w:spacing w:val="-17"/>
        </w:rPr>
        <w:t>报告期内，公司严格按照《公司法》、《证券法》、《上市公司治理准则》、《深圳证券交易</w:t>
      </w:r>
    </w:p>
    <w:p>
      <w:pPr>
        <w:pStyle w:val="Heading4"/>
        <w:spacing w:line="357" w:lineRule="auto"/>
        <w:ind w:right="233"/>
        <w:jc w:val="both"/>
      </w:pPr>
      <w:r>
        <w:rPr>
          <w:spacing w:val="-6"/>
        </w:rPr>
        <w:t>所创业板股票上市规则》、《深圳证券交易所创业板上市公司规范运作指引》和其它的有关法</w:t>
      </w:r>
      <w:r>
        <w:rPr>
          <w:spacing w:val="-85"/>
        </w:rPr>
        <w:t> </w:t>
      </w:r>
      <w:r>
        <w:rPr>
          <w:spacing w:val="-85"/>
        </w:rPr>
      </w:r>
      <w:r>
        <w:rPr/>
        <w:t>律法规、规范性文件的要求，不断地完善公司治理结构，建立健全公司内部控制制度，以进</w:t>
      </w:r>
      <w:r>
        <w:rPr>
          <w:spacing w:val="-91"/>
        </w:rPr>
        <w:t> </w:t>
      </w:r>
      <w:r>
        <w:rPr>
          <w:spacing w:val="-91"/>
        </w:rPr>
      </w:r>
      <w:r>
        <w:rPr/>
        <w:t>一步提高公司治理水平。截至报告期末，公司治理的实际状况符合中国证监会、深圳证券交</w:t>
      </w:r>
      <w:r>
        <w:rPr>
          <w:spacing w:val="-86"/>
        </w:rPr>
        <w:t> </w:t>
      </w:r>
      <w:r>
        <w:rPr>
          <w:spacing w:val="-86"/>
        </w:rPr>
      </w:r>
      <w:r>
        <w:rPr/>
        <w:t>易所等发布的法律法规和规范性文件的要求。</w:t>
      </w:r>
    </w:p>
    <w:p>
      <w:pPr>
        <w:pStyle w:val="Heading4"/>
        <w:spacing w:line="357" w:lineRule="auto"/>
        <w:ind w:right="112" w:firstLine="480"/>
        <w:jc w:val="both"/>
      </w:pPr>
      <w:r>
        <w:rPr/>
        <w:t>根据监管部门的最新要求和公司实际情况的变化，公司制定及修订了《股东大会议事规 </w:t>
      </w:r>
      <w:r>
        <w:rPr>
          <w:spacing w:val="-22"/>
        </w:rPr>
        <w:t>则》、《董事会议事规则》、《总经理工作细则》、《独立董事工作制度》、《董事、监事和高级管</w:t>
      </w:r>
      <w:r>
        <w:rPr>
          <w:spacing w:val="-85"/>
        </w:rPr>
        <w:t> </w:t>
      </w:r>
      <w:r>
        <w:rPr>
          <w:spacing w:val="-85"/>
        </w:rPr>
      </w:r>
      <w:r>
        <w:rPr>
          <w:spacing w:val="-6"/>
        </w:rPr>
        <w:t>理人员薪酬管理制度》、《董事、监事和高级管理人员所持本公司股份及其变动管理制度》等</w:t>
      </w:r>
      <w:r>
        <w:rPr>
          <w:spacing w:val="-85"/>
        </w:rPr>
        <w:t> </w:t>
      </w:r>
      <w:r>
        <w:rPr>
          <w:spacing w:val="-85"/>
        </w:rPr>
      </w:r>
      <w:r>
        <w:rPr>
          <w:spacing w:val="-21"/>
        </w:rPr>
        <w:t>三会制度，《信息披露管理制度》、《投资者关系管理制度》、《重大信息内部报告制度》、《内幕</w:t>
      </w:r>
      <w:r>
        <w:rPr>
          <w:spacing w:val="-118"/>
        </w:rPr>
        <w:t> </w:t>
      </w:r>
      <w:r>
        <w:rPr>
          <w:spacing w:val="-118"/>
        </w:rPr>
      </w:r>
      <w:r>
        <w:rPr>
          <w:spacing w:val="-19"/>
        </w:rPr>
        <w:t>信息知情人登记制度》、《外部信息使用人管理制度》、《年报信息披露重大差错责任追究制度》、</w:t>
      </w:r>
    </w:p>
    <w:p>
      <w:pPr>
        <w:pStyle w:val="Heading4"/>
        <w:spacing w:line="240" w:lineRule="auto"/>
        <w:ind w:right="0"/>
        <w:jc w:val="both"/>
      </w:pPr>
      <w:r>
        <w:rPr>
          <w:spacing w:val="4"/>
        </w:rPr>
        <w:t>《年</w:t>
      </w:r>
      <w:r>
        <w:rPr>
          <w:spacing w:val="2"/>
        </w:rPr>
        <w:t>度</w:t>
      </w:r>
      <w:r>
        <w:rPr>
          <w:spacing w:val="4"/>
        </w:rPr>
        <w:t>报告</w:t>
      </w:r>
      <w:r>
        <w:rPr>
          <w:spacing w:val="2"/>
        </w:rPr>
        <w:t>工</w:t>
      </w:r>
      <w:r>
        <w:rPr>
          <w:spacing w:val="4"/>
        </w:rPr>
        <w:t>作制</w:t>
      </w:r>
      <w:r>
        <w:rPr>
          <w:spacing w:val="2"/>
        </w:rPr>
        <w:t>度》</w:t>
      </w:r>
      <w:r>
        <w:rPr>
          <w:spacing w:val="4"/>
        </w:rPr>
        <w:t>等信</w:t>
      </w:r>
      <w:r>
        <w:rPr>
          <w:spacing w:val="2"/>
        </w:rPr>
        <w:t>息</w:t>
      </w:r>
      <w:r>
        <w:rPr>
          <w:spacing w:val="4"/>
        </w:rPr>
        <w:t>管理</w:t>
      </w:r>
      <w:r>
        <w:rPr>
          <w:spacing w:val="2"/>
        </w:rPr>
        <w:t>及</w:t>
      </w:r>
      <w:r>
        <w:rPr>
          <w:spacing w:val="4"/>
        </w:rPr>
        <w:t>证券</w:t>
      </w:r>
      <w:r>
        <w:rPr>
          <w:spacing w:val="2"/>
        </w:rPr>
        <w:t>事务</w:t>
      </w:r>
      <w:r>
        <w:rPr>
          <w:spacing w:val="4"/>
        </w:rPr>
        <w:t>制度</w:t>
      </w:r>
      <w:r>
        <w:rPr>
          <w:spacing w:val="-112"/>
        </w:rPr>
        <w:t>，</w:t>
      </w:r>
      <w:r>
        <w:rPr>
          <w:spacing w:val="4"/>
        </w:rPr>
        <w:t>《子</w:t>
      </w:r>
      <w:r>
        <w:rPr>
          <w:spacing w:val="2"/>
        </w:rPr>
        <w:t>公</w:t>
      </w:r>
      <w:r>
        <w:rPr>
          <w:spacing w:val="4"/>
        </w:rPr>
        <w:t>司管</w:t>
      </w:r>
      <w:r>
        <w:rPr>
          <w:spacing w:val="2"/>
        </w:rPr>
        <w:t>理制</w:t>
      </w:r>
      <w:r>
        <w:rPr>
          <w:spacing w:val="4"/>
        </w:rPr>
        <w:t>度</w:t>
      </w:r>
      <w:r>
        <w:rPr>
          <w:spacing w:val="-116"/>
        </w:rPr>
        <w:t>》</w:t>
      </w:r>
      <w:r>
        <w:rPr>
          <w:spacing w:val="-118"/>
        </w:rPr>
        <w:t>、</w:t>
      </w:r>
      <w:r>
        <w:rPr>
          <w:spacing w:val="4"/>
        </w:rPr>
        <w:t>《内</w:t>
      </w:r>
      <w:r>
        <w:rPr>
          <w:spacing w:val="2"/>
        </w:rPr>
        <w:t>部</w:t>
      </w:r>
      <w:r>
        <w:rPr>
          <w:spacing w:val="4"/>
        </w:rPr>
        <w:t>审计</w:t>
      </w:r>
      <w:r>
        <w:rPr>
          <w:spacing w:val="2"/>
        </w:rPr>
        <w:t>制</w:t>
      </w:r>
      <w:r>
        <w:rPr>
          <w:spacing w:val="4"/>
        </w:rPr>
        <w:t>度</w:t>
      </w:r>
      <w:r>
        <w:rPr>
          <w:spacing w:val="-116"/>
        </w:rPr>
        <w:t>》</w:t>
      </w:r>
      <w:r>
        <w:rPr/>
        <w:t>、</w:t>
      </w:r>
    </w:p>
    <w:p>
      <w:pPr>
        <w:pStyle w:val="Heading4"/>
        <w:spacing w:line="357" w:lineRule="auto" w:before="154"/>
        <w:ind w:right="238"/>
        <w:jc w:val="both"/>
      </w:pPr>
      <w:r>
        <w:rPr/>
        <w:t>《募集资金管理制度》等内部管控制度，修订了《公司章程》等文件。通过一系列的制度建</w:t>
      </w:r>
      <w:r>
        <w:rPr>
          <w:spacing w:val="-91"/>
        </w:rPr>
        <w:t> </w:t>
      </w:r>
      <w:r>
        <w:rPr>
          <w:spacing w:val="-91"/>
        </w:rPr>
      </w:r>
      <w:r>
        <w:rPr/>
        <w:t>设工作初步搭建了公司法人治理结构的制度平台，从制度上明确了股东大会、董事会、监事</w:t>
      </w:r>
      <w:r>
        <w:rPr>
          <w:spacing w:val="-91"/>
        </w:rPr>
        <w:t> </w:t>
      </w:r>
      <w:r>
        <w:rPr>
          <w:spacing w:val="-91"/>
        </w:rPr>
      </w:r>
      <w:r>
        <w:rPr/>
        <w:t>会及管理层各自应履行的职责和议事规程，并为独立董事开展工作提供了进一步的保障，从</w:t>
      </w:r>
      <w:r>
        <w:rPr>
          <w:spacing w:val="-91"/>
        </w:rPr>
        <w:t> </w:t>
      </w:r>
      <w:r>
        <w:rPr>
          <w:spacing w:val="-91"/>
        </w:rPr>
      </w:r>
      <w:r>
        <w:rPr/>
        <w:t>而为公司的规范运作提供了更强有力的制度保障。</w:t>
      </w:r>
    </w:p>
    <w:p>
      <w:pPr>
        <w:pStyle w:val="Heading4"/>
        <w:spacing w:line="357" w:lineRule="auto"/>
        <w:ind w:left="633" w:right="95" w:hanging="120"/>
        <w:jc w:val="left"/>
      </w:pPr>
      <w:r>
        <w:rPr/>
        <w:t>（一）关于股东与股东大会 </w:t>
      </w:r>
      <w:r>
        <w:rPr>
          <w:spacing w:val="-12"/>
        </w:rPr>
        <w:t>公司严格按照《上市公司股东大会规则》、《公司章程》、《股东大会议事规则》等规定和</w:t>
      </w:r>
    </w:p>
    <w:p>
      <w:pPr>
        <w:pStyle w:val="Heading4"/>
        <w:spacing w:line="357" w:lineRule="auto"/>
        <w:ind w:right="233"/>
        <w:jc w:val="both"/>
      </w:pPr>
      <w:r>
        <w:rPr/>
        <w:t>要求，规范地召集、召开股东大会，平等对待所有股东，充分行使自己的权力。对公司的相</w:t>
      </w:r>
      <w:r>
        <w:rPr>
          <w:spacing w:val="-86"/>
        </w:rPr>
        <w:t> </w:t>
      </w:r>
      <w:r>
        <w:rPr>
          <w:spacing w:val="-86"/>
        </w:rPr>
      </w:r>
      <w:r>
        <w:rPr/>
        <w:t>关事项做出的决策程序规范，决策科学，效果良好。</w:t>
      </w:r>
    </w:p>
    <w:p>
      <w:pPr>
        <w:pStyle w:val="Heading4"/>
        <w:spacing w:line="357" w:lineRule="auto"/>
        <w:ind w:left="633" w:right="95" w:hanging="120"/>
        <w:jc w:val="left"/>
      </w:pPr>
      <w:r>
        <w:rPr/>
        <w:t>（二）关于公司与控股股东 公司控股股东严格规范自身行为，没有直接或间接干预公司的决策和经营活动情况。公</w:t>
      </w:r>
    </w:p>
    <w:p>
      <w:pPr>
        <w:pStyle w:val="Heading4"/>
        <w:spacing w:line="357" w:lineRule="auto"/>
        <w:ind w:right="95"/>
        <w:jc w:val="left"/>
      </w:pPr>
      <w:r>
        <w:rPr>
          <w:spacing w:val="-3"/>
        </w:rPr>
        <w:t>司在业务、人员、资产、机构、财务上独立于控股股东，有独立完整的业务和自主经营能力，</w:t>
      </w:r>
      <w:r>
        <w:rPr>
          <w:spacing w:val="-82"/>
        </w:rPr>
        <w:t> </w:t>
      </w:r>
      <w:r>
        <w:rPr>
          <w:spacing w:val="-82"/>
        </w:rPr>
      </w:r>
      <w:r>
        <w:rPr/>
        <w:t>公司董事会、监事会和内部机构独立运作。</w:t>
      </w:r>
    </w:p>
    <w:p>
      <w:pPr>
        <w:pStyle w:val="Heading4"/>
        <w:spacing w:line="357" w:lineRule="auto"/>
        <w:ind w:left="633" w:right="95" w:hanging="120"/>
        <w:jc w:val="left"/>
      </w:pPr>
      <w:r>
        <w:rPr/>
        <w:t>（三）关于董事和董事会 </w:t>
      </w:r>
      <w:r>
        <w:rPr>
          <w:spacing w:val="-6"/>
        </w:rPr>
        <w:t>公司已制定《董事会议事规则》、《独立董事工作制度》等制度确保董事会规范、高效运</w:t>
      </w:r>
    </w:p>
    <w:p>
      <w:pPr>
        <w:spacing w:after="0" w:line="357" w:lineRule="auto"/>
        <w:jc w:val="left"/>
        <w:sectPr>
          <w:pgSz w:w="11910" w:h="16840"/>
          <w:pgMar w:header="918" w:footer="979" w:top="1100" w:bottom="1180" w:left="980" w:right="900"/>
        </w:sectPr>
      </w:pPr>
    </w:p>
    <w:p>
      <w:pPr>
        <w:spacing w:line="240" w:lineRule="auto" w:before="7"/>
        <w:rPr>
          <w:rFonts w:ascii="宋体" w:hAnsi="宋体" w:cs="宋体" w:eastAsia="宋体" w:hint="default"/>
          <w:sz w:val="25"/>
          <w:szCs w:val="25"/>
        </w:rPr>
      </w:pPr>
    </w:p>
    <w:p>
      <w:pPr>
        <w:pStyle w:val="Heading4"/>
        <w:spacing w:line="357" w:lineRule="auto" w:before="26"/>
        <w:ind w:right="95"/>
        <w:jc w:val="left"/>
      </w:pPr>
      <w:r>
        <w:rPr>
          <w:spacing w:val="-2"/>
        </w:rPr>
        <w:t>作和审慎、科学决策。公司董事会由五名成员组成，其中独立董事二名，人员符合有关法律、</w:t>
      </w:r>
      <w:r>
        <w:rPr/>
        <w:t> 法规、章程等的要求，具有履行职务所必需的知识、技能和素质。董事会会议严格按照董事</w:t>
      </w:r>
      <w:r>
        <w:rPr>
          <w:spacing w:val="-90"/>
        </w:rPr>
        <w:t> </w:t>
      </w:r>
      <w:r>
        <w:rPr>
          <w:spacing w:val="-90"/>
        </w:rPr>
      </w:r>
      <w:r>
        <w:rPr/>
        <w:t>会议事规则召开，公司按照《深圳证券交易所创业板上市公司规范运作指引》的要求，下设</w:t>
      </w:r>
      <w:r>
        <w:rPr>
          <w:spacing w:val="-91"/>
        </w:rPr>
        <w:t> </w:t>
      </w:r>
      <w:r>
        <w:rPr>
          <w:spacing w:val="-91"/>
        </w:rPr>
      </w:r>
      <w:r>
        <w:rPr/>
        <w:t>有战略委员会、提名与薪酬考核委员会、审计委员会三个专门委员会。</w:t>
      </w:r>
    </w:p>
    <w:p>
      <w:pPr>
        <w:pStyle w:val="Heading4"/>
        <w:spacing w:line="357" w:lineRule="auto"/>
        <w:ind w:left="633" w:right="95" w:hanging="120"/>
        <w:jc w:val="left"/>
      </w:pPr>
      <w:r>
        <w:rPr/>
        <w:t>（四）关于监事和监事会 公司已制定《监事会议事规则》等制度确保监事会向全体股东负责，对公司财务以及公</w:t>
      </w:r>
    </w:p>
    <w:p>
      <w:pPr>
        <w:pStyle w:val="Heading4"/>
        <w:spacing w:line="357" w:lineRule="auto"/>
        <w:ind w:right="238"/>
        <w:jc w:val="both"/>
      </w:pPr>
      <w:r>
        <w:rPr/>
        <w:t>司董事、经理及其他高级管理人员履行职责的合法合规性进行有效监督，维护公司及股东的</w:t>
      </w:r>
      <w:r>
        <w:rPr>
          <w:spacing w:val="-91"/>
        </w:rPr>
        <w:t> </w:t>
      </w:r>
      <w:r>
        <w:rPr>
          <w:spacing w:val="-91"/>
        </w:rPr>
      </w:r>
      <w:r>
        <w:rPr/>
        <w:t>合法权益。本公司监事会由三名监事组成。公司也采取了有效措施保障监事的知情权，能够</w:t>
      </w:r>
      <w:r>
        <w:rPr>
          <w:spacing w:val="-91"/>
        </w:rPr>
        <w:t> </w:t>
      </w:r>
      <w:r>
        <w:rPr>
          <w:spacing w:val="-91"/>
        </w:rPr>
      </w:r>
      <w:r>
        <w:rPr/>
        <w:t>独立有效地行使对董事、经理和其他高级管理人员进行监督。</w:t>
      </w:r>
    </w:p>
    <w:p>
      <w:pPr>
        <w:pStyle w:val="Heading4"/>
        <w:spacing w:line="357" w:lineRule="auto"/>
        <w:ind w:left="633" w:right="95" w:hanging="120"/>
        <w:jc w:val="left"/>
      </w:pPr>
      <w:r>
        <w:rPr/>
        <w:t>（五）关于绩效评价与激励约束机制 公司正逐步建立和完善公正、透明的高级管理人员的绩效考核标准和激励约束机制。高</w:t>
      </w:r>
    </w:p>
    <w:p>
      <w:pPr>
        <w:pStyle w:val="Heading4"/>
        <w:spacing w:line="240" w:lineRule="auto"/>
        <w:ind w:right="0"/>
        <w:jc w:val="both"/>
      </w:pPr>
      <w:r>
        <w:rPr/>
        <w:t>级管理人员的聘任公开、透明，符合法律、法规的规定。</w:t>
      </w:r>
    </w:p>
    <w:p>
      <w:pPr>
        <w:pStyle w:val="Heading4"/>
        <w:spacing w:line="357" w:lineRule="auto" w:before="154"/>
        <w:ind w:left="633" w:right="95" w:hanging="120"/>
        <w:jc w:val="left"/>
      </w:pPr>
      <w:r>
        <w:rPr/>
        <w:t>（六）关于信息披露与透明度 </w:t>
      </w:r>
      <w:r>
        <w:rPr>
          <w:spacing w:val="-6"/>
        </w:rPr>
        <w:t>公司严格按照有关法律法规以及《信息披露管理制度》、《投资者关系管理制度》等的要</w:t>
      </w:r>
    </w:p>
    <w:p>
      <w:pPr>
        <w:pStyle w:val="Heading4"/>
        <w:spacing w:line="357" w:lineRule="auto"/>
        <w:ind w:right="229"/>
        <w:jc w:val="both"/>
      </w:pPr>
      <w:r>
        <w:rPr/>
        <w:t>求，真实、准确、及时、公平、完整地披露有关信息；并指定公司董事会秘书负责信息披露</w:t>
      </w:r>
      <w:r>
        <w:rPr>
          <w:spacing w:val="-91"/>
        </w:rPr>
        <w:t> </w:t>
      </w:r>
      <w:r>
        <w:rPr>
          <w:spacing w:val="-91"/>
        </w:rPr>
      </w:r>
      <w:r>
        <w:rPr/>
        <w:t>工作，协调公司与投资者的关系，接待股东来访，回答投资者咨询，向投资者提供公司已披</w:t>
      </w:r>
      <w:r>
        <w:rPr>
          <w:spacing w:val="-91"/>
        </w:rPr>
        <w:t> </w:t>
      </w:r>
      <w:r>
        <w:rPr>
          <w:spacing w:val="-91"/>
        </w:rPr>
      </w:r>
      <w:r>
        <w:rPr>
          <w:spacing w:val="-2"/>
        </w:rPr>
        <w:t>露的资料；并指定巨潮资讯网（</w:t>
      </w:r>
      <w:hyperlink r:id="rId10">
        <w:r>
          <w:rPr>
            <w:rFonts w:ascii="宋体" w:hAnsi="宋体" w:cs="宋体" w:eastAsia="宋体" w:hint="default"/>
            <w:spacing w:val="-2"/>
          </w:rPr>
          <w:t>www.cninfo.com.cn</w:t>
        </w:r>
      </w:hyperlink>
      <w:r>
        <w:rPr>
          <w:spacing w:val="-2"/>
        </w:rPr>
        <w:t>）为公司信息披露的指定网站，确保公司</w:t>
      </w:r>
      <w:r>
        <w:rPr>
          <w:spacing w:val="-104"/>
        </w:rPr>
        <w:t> </w:t>
      </w:r>
      <w:r>
        <w:rPr>
          <w:spacing w:val="-104"/>
        </w:rPr>
      </w:r>
      <w:r>
        <w:rPr/>
        <w:t>所有股东能够以平等的机会获得信息。</w:t>
      </w:r>
    </w:p>
    <w:p>
      <w:pPr>
        <w:pStyle w:val="Heading4"/>
        <w:spacing w:line="357" w:lineRule="auto"/>
        <w:ind w:left="633" w:right="95" w:hanging="120"/>
        <w:jc w:val="left"/>
      </w:pPr>
      <w:r>
        <w:rPr/>
        <w:t>（七）关于相关利益者 公司充分尊重和维护相关利益者的合法权益，积极与相关利益者合作，加强与各方的沟</w:t>
      </w:r>
    </w:p>
    <w:p>
      <w:pPr>
        <w:spacing w:line="357" w:lineRule="auto" w:before="36"/>
        <w:ind w:left="635" w:right="95" w:hanging="483"/>
        <w:jc w:val="left"/>
        <w:rPr>
          <w:rFonts w:ascii="宋体" w:hAnsi="宋体" w:cs="宋体" w:eastAsia="宋体" w:hint="default"/>
          <w:sz w:val="24"/>
          <w:szCs w:val="24"/>
        </w:rPr>
      </w:pPr>
      <w:r>
        <w:rPr>
          <w:rFonts w:ascii="宋体" w:hAnsi="宋体" w:cs="宋体" w:eastAsia="宋体" w:hint="default"/>
          <w:spacing w:val="-3"/>
          <w:sz w:val="24"/>
          <w:szCs w:val="24"/>
        </w:rPr>
        <w:t>通和交流，实现股东、员工、社会等各方利益的协调平衡，共同推动公司持续、健康的发展。</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b/>
          <w:bCs/>
          <w:sz w:val="24"/>
          <w:szCs w:val="24"/>
        </w:rPr>
        <w:t>二、董事的履行职责情况</w:t>
      </w:r>
      <w:r>
        <w:rPr>
          <w:rFonts w:ascii="宋体" w:hAnsi="宋体" w:cs="宋体" w:eastAsia="宋体" w:hint="default"/>
          <w:sz w:val="24"/>
          <w:szCs w:val="24"/>
        </w:rPr>
      </w:r>
    </w:p>
    <w:p>
      <w:pPr>
        <w:pStyle w:val="Heading4"/>
        <w:spacing w:line="357" w:lineRule="auto"/>
        <w:ind w:right="235" w:firstLine="360"/>
        <w:jc w:val="both"/>
      </w:pPr>
      <w:r>
        <w:rPr>
          <w:spacing w:val="-14"/>
        </w:rPr>
        <w:t>（一）报告期内，公司全体董事严格按照《公司法》、《证券法》、《深圳证券交易所创业板</w:t>
      </w:r>
      <w:r>
        <w:rPr/>
        <w:t> </w:t>
      </w:r>
      <w:r>
        <w:rPr>
          <w:spacing w:val="-6"/>
        </w:rPr>
        <w:t>上市公司规范运作指引》、《上市公司治理准则》及《公司章程》等法律、法规及规章制度的</w:t>
      </w:r>
      <w:r>
        <w:rPr>
          <w:spacing w:val="-114"/>
        </w:rPr>
        <w:t> </w:t>
      </w:r>
      <w:r>
        <w:rPr>
          <w:spacing w:val="-114"/>
        </w:rPr>
      </w:r>
      <w:r>
        <w:rPr/>
        <w:t>规定和要求，履行董事职责，遵守董事行为规范，积极参加相关培训，提高规范运作水平， 发挥各自的专业特长，积极的履行职责。董事在董事会会议投票表决重大事项或其他对公司 有重大影响的事项时，严格遵循公司董事会议事规则的有关审议事项，审慎决策，切实保护 公司和股东特别是社会公众股股东的利益。</w:t>
      </w:r>
    </w:p>
    <w:p>
      <w:pPr>
        <w:pStyle w:val="Heading4"/>
        <w:spacing w:line="240" w:lineRule="auto"/>
        <w:ind w:left="513" w:right="95"/>
        <w:jc w:val="left"/>
      </w:pPr>
      <w:r>
        <w:rPr/>
        <w:t>（二</w:t>
      </w:r>
      <w:r>
        <w:rPr>
          <w:spacing w:val="-17"/>
        </w:rPr>
        <w:t>）</w:t>
      </w:r>
      <w:r>
        <w:rPr/>
        <w:t>公司董事长在履行职责时</w:t>
      </w:r>
      <w:r>
        <w:rPr>
          <w:spacing w:val="-17"/>
        </w:rPr>
        <w:t>，</w:t>
      </w:r>
      <w:r>
        <w:rPr/>
        <w:t>严格按</w:t>
      </w:r>
      <w:r>
        <w:rPr>
          <w:spacing w:val="-17"/>
        </w:rPr>
        <w:t>照</w:t>
      </w:r>
      <w:r>
        <w:rPr/>
        <w:t>《公司法</w:t>
      </w:r>
      <w:r>
        <w:rPr>
          <w:spacing w:val="-120"/>
        </w:rPr>
        <w:t>》</w:t>
      </w:r>
      <w:r>
        <w:rPr>
          <w:spacing w:val="-137"/>
        </w:rPr>
        <w:t>、</w:t>
      </w:r>
      <w:r>
        <w:rPr/>
        <w:t>《证券法</w:t>
      </w:r>
      <w:r>
        <w:rPr>
          <w:spacing w:val="-120"/>
        </w:rPr>
        <w:t>》</w:t>
      </w:r>
      <w:r>
        <w:rPr>
          <w:spacing w:val="-137"/>
        </w:rPr>
        <w:t>、</w:t>
      </w:r>
      <w:r>
        <w:rPr/>
        <w:t>《深圳证券交易所创业</w:t>
      </w:r>
    </w:p>
    <w:p>
      <w:pPr>
        <w:spacing w:after="0" w:line="240" w:lineRule="auto"/>
        <w:jc w:val="left"/>
        <w:sectPr>
          <w:pgSz w:w="11910" w:h="16840"/>
          <w:pgMar w:header="918" w:footer="979" w:top="1100" w:bottom="1180" w:left="980" w:right="900"/>
        </w:sectPr>
      </w:pPr>
    </w:p>
    <w:p>
      <w:pPr>
        <w:spacing w:line="240" w:lineRule="auto" w:before="11"/>
        <w:rPr>
          <w:rFonts w:ascii="宋体" w:hAnsi="宋体" w:cs="宋体" w:eastAsia="宋体" w:hint="default"/>
          <w:sz w:val="9"/>
          <w:szCs w:val="9"/>
        </w:rPr>
      </w:pPr>
    </w:p>
    <w:p>
      <w:pPr>
        <w:pStyle w:val="Heading4"/>
        <w:spacing w:line="357" w:lineRule="auto" w:before="26"/>
        <w:ind w:left="213" w:right="271"/>
        <w:jc w:val="both"/>
      </w:pPr>
      <w:r>
        <w:rPr/>
        <w:t>持董事会会议时，带头执行董事会集体决策机制，积极推动公司治理工作和内部控制建设、 督促执行股东大会和董事会的各项决议，确保董事会依法正常运作。保证独立董事和董事会 秘书的知情权，及时将董事会工作运行情况通报其他董事。</w:t>
      </w:r>
    </w:p>
    <w:p>
      <w:pPr>
        <w:pStyle w:val="Heading4"/>
        <w:spacing w:line="357" w:lineRule="auto"/>
        <w:ind w:left="213" w:right="235" w:firstLine="360"/>
        <w:jc w:val="both"/>
      </w:pPr>
      <w:r>
        <w:rPr>
          <w:spacing w:val="-9"/>
        </w:rPr>
        <w:t>（三）公司独立董事何红渠先生、方加春先生，能够严格按照《公司章程》、《独立董事制</w:t>
      </w:r>
      <w:r>
        <w:rPr/>
        <w:t> 度》等的规定，本着对公司、股东负责的态度，勤勉尽责，忠实履行职责，积极出席相关会 议，认真审议各项议案，客观地发表自己的看法和观点，积极深入公司及控股子公司进行现 场调研，了解公司运营、研发经营状况、内部控制建设以及董事会决议和股东会决议的执行 情况，并利用自己的专业知识做出独立、公正的判断。报告期内，公司</w:t>
      </w:r>
      <w:r>
        <w:rPr>
          <w:spacing w:val="-59"/>
        </w:rPr>
        <w:t> </w:t>
      </w:r>
      <w:r>
        <w:rPr>
          <w:rFonts w:ascii="宋体" w:hAnsi="宋体" w:cs="宋体" w:eastAsia="宋体" w:hint="default"/>
        </w:rPr>
        <w:t>2</w:t>
      </w:r>
      <w:r>
        <w:rPr>
          <w:rFonts w:ascii="宋体" w:hAnsi="宋体" w:cs="宋体" w:eastAsia="宋体" w:hint="default"/>
          <w:spacing w:val="-60"/>
        </w:rPr>
        <w:t> </w:t>
      </w:r>
      <w:r>
        <w:rPr/>
        <w:t>名独立董事对公司 董事会的议案及公司其他事项均没有提出异议。</w:t>
      </w:r>
    </w:p>
    <w:p>
      <w:pPr>
        <w:pStyle w:val="Heading4"/>
        <w:spacing w:line="240" w:lineRule="auto"/>
        <w:ind w:left="573" w:right="0"/>
        <w:jc w:val="left"/>
      </w:pPr>
      <w:r>
        <w:rPr/>
        <w:t>（四）报告期内，公司召开</w:t>
      </w:r>
      <w:r>
        <w:rPr>
          <w:spacing w:val="-60"/>
        </w:rPr>
        <w:t> </w:t>
      </w:r>
      <w:r>
        <w:rPr>
          <w:rFonts w:ascii="宋体" w:hAnsi="宋体" w:cs="宋体" w:eastAsia="宋体" w:hint="default"/>
        </w:rPr>
        <w:t>5</w:t>
      </w:r>
      <w:r>
        <w:rPr>
          <w:rFonts w:ascii="宋体" w:hAnsi="宋体" w:cs="宋体" w:eastAsia="宋体" w:hint="default"/>
          <w:spacing w:val="-60"/>
        </w:rPr>
        <w:t> </w:t>
      </w:r>
      <w:r>
        <w:rPr/>
        <w:t>次董事会，董事出席董事会情况如下：</w:t>
      </w:r>
    </w:p>
    <w:p>
      <w:pPr>
        <w:spacing w:line="240" w:lineRule="auto" w:before="1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76"/>
        <w:gridCol w:w="1623"/>
        <w:gridCol w:w="991"/>
        <w:gridCol w:w="1020"/>
        <w:gridCol w:w="1238"/>
        <w:gridCol w:w="1186"/>
        <w:gridCol w:w="2055"/>
      </w:tblGrid>
      <w:tr>
        <w:trPr>
          <w:trHeight w:val="634" w:hRule="exact"/>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6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400" w:right="127" w:hanging="269"/>
              <w:jc w:val="left"/>
              <w:rPr>
                <w:rFonts w:ascii="宋体" w:hAnsi="宋体" w:cs="宋体" w:eastAsia="宋体" w:hint="default"/>
                <w:sz w:val="18"/>
                <w:szCs w:val="18"/>
              </w:rPr>
            </w:pPr>
            <w:r>
              <w:rPr>
                <w:rFonts w:ascii="宋体" w:hAnsi="宋体" w:cs="宋体" w:eastAsia="宋体" w:hint="default"/>
                <w:sz w:val="18"/>
                <w:szCs w:val="18"/>
              </w:rPr>
              <w:t>应出席次 数</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23" w:right="144" w:hanging="180"/>
              <w:jc w:val="left"/>
              <w:rPr>
                <w:rFonts w:ascii="宋体" w:hAnsi="宋体" w:cs="宋体" w:eastAsia="宋体" w:hint="default"/>
                <w:sz w:val="18"/>
                <w:szCs w:val="18"/>
              </w:rPr>
            </w:pPr>
            <w:r>
              <w:rPr>
                <w:rFonts w:ascii="宋体" w:hAnsi="宋体" w:cs="宋体" w:eastAsia="宋体" w:hint="default"/>
                <w:sz w:val="18"/>
                <w:szCs w:val="18"/>
              </w:rPr>
              <w:t>亲自出席 次数</w:t>
            </w:r>
          </w:p>
        </w:tc>
        <w:tc>
          <w:tcPr>
            <w:tcW w:w="1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523" w:right="163"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20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751" w:right="120" w:hanging="629"/>
              <w:jc w:val="left"/>
              <w:rPr>
                <w:rFonts w:ascii="宋体" w:hAnsi="宋体" w:cs="宋体" w:eastAsia="宋体" w:hint="default"/>
                <w:sz w:val="18"/>
                <w:szCs w:val="18"/>
              </w:rPr>
            </w:pPr>
            <w:r>
              <w:rPr>
                <w:rFonts w:ascii="宋体" w:hAnsi="宋体" w:cs="宋体" w:eastAsia="宋体" w:hint="default"/>
                <w:sz w:val="18"/>
                <w:szCs w:val="18"/>
              </w:rPr>
              <w:t>是否连续两次未亲自出 席会议</w:t>
            </w:r>
          </w:p>
        </w:tc>
      </w:tr>
      <w:tr>
        <w:trPr>
          <w:trHeight w:val="63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肖志鸿</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李文君</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李巨龙</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何红渠</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方加春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left="213" w:right="0"/>
        <w:jc w:val="left"/>
        <w:rPr>
          <w:b w:val="0"/>
          <w:bCs w:val="0"/>
        </w:rPr>
      </w:pPr>
      <w:r>
        <w:rPr/>
        <w:t>二、报告期内召开的年度股东大会的有关情况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3" w:right="0"/>
        <w:jc w:val="left"/>
        <w:rPr>
          <w:b w:val="0"/>
          <w:bCs w:val="0"/>
        </w:rPr>
      </w:pPr>
      <w:r>
        <w:rPr/>
        <w:t>本报告期年度股东大会情况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209" w:type="dxa"/>
        <w:tblLayout w:type="fixed"/>
        <w:tblCellMar>
          <w:top w:w="0" w:type="dxa"/>
          <w:left w:w="0" w:type="dxa"/>
          <w:bottom w:w="0" w:type="dxa"/>
          <w:right w:w="0" w:type="dxa"/>
        </w:tblCellMar>
        <w:tblLook w:val="01E0"/>
      </w:tblPr>
      <w:tblGrid>
        <w:gridCol w:w="2392"/>
        <w:gridCol w:w="2391"/>
        <w:gridCol w:w="2393"/>
        <w:gridCol w:w="247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5"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3"/>
        <w:spacing w:line="240" w:lineRule="auto" w:before="26"/>
        <w:ind w:left="213" w:right="0"/>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2392"/>
        <w:gridCol w:w="2391"/>
        <w:gridCol w:w="2393"/>
        <w:gridCol w:w="2460"/>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bl>
    <w:p>
      <w:pPr>
        <w:spacing w:after="0" w:line="240" w:lineRule="auto"/>
        <w:jc w:val="left"/>
        <w:rPr>
          <w:rFonts w:ascii="宋体" w:hAnsi="宋体" w:cs="宋体" w:eastAsia="宋体" w:hint="default"/>
          <w:sz w:val="18"/>
          <w:szCs w:val="18"/>
        </w:rPr>
        <w:sectPr>
          <w:headerReference w:type="default" r:id="rId40"/>
          <w:pgSz w:w="11910" w:h="16840"/>
          <w:pgMar w:header="1104" w:footer="979" w:top="1780" w:bottom="1180" w:left="920" w:right="90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458"/>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1"/>
              <w:jc w:val="righ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1"/>
              <w:jc w:val="righ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四、年度报告重大差错责任追究制度的建立与执行情况</w:t>
      </w:r>
      <w:r>
        <w:rPr>
          <w:b w:val="0"/>
          <w:bCs w:val="0"/>
        </w:rPr>
      </w:r>
    </w:p>
    <w:p>
      <w:pPr>
        <w:spacing w:line="240" w:lineRule="auto" w:before="8"/>
        <w:rPr>
          <w:rFonts w:ascii="宋体" w:hAnsi="宋体" w:cs="宋体" w:eastAsia="宋体" w:hint="default"/>
          <w:b/>
          <w:bCs/>
          <w:sz w:val="28"/>
          <w:szCs w:val="28"/>
        </w:rPr>
      </w:pPr>
    </w:p>
    <w:p>
      <w:pPr>
        <w:pStyle w:val="Heading4"/>
        <w:spacing w:line="357" w:lineRule="auto" w:before="0"/>
        <w:ind w:right="110" w:firstLine="480"/>
        <w:jc w:val="both"/>
      </w:pPr>
      <w:r>
        <w:rPr>
          <w:spacing w:val="-12"/>
        </w:rPr>
        <w:t>公司严格按照《公司法》、《上市公司信息披露管理办法》、《深圳证券交易所创业板股票</w:t>
      </w:r>
      <w:r>
        <w:rPr/>
        <w:t> 上市交易规则》等相关法律法规的规定，健全公司信息披露管理制度，提高规范运作水平， 增强信息披露的真实性、准确性、完整性和及时性。结合公司实际情况，经第二届董事会第 </w:t>
      </w:r>
      <w:r>
        <w:rPr>
          <w:spacing w:val="-5"/>
        </w:rPr>
        <w:t>二次会议审议，通过了《年报信息披露重大差错责任追究制度》。该制度的建立，进一步完善</w:t>
      </w:r>
      <w:r>
        <w:rPr>
          <w:spacing w:val="-117"/>
        </w:rPr>
        <w:t> </w:t>
      </w:r>
      <w:r>
        <w:rPr>
          <w:spacing w:val="-117"/>
        </w:rPr>
      </w:r>
      <w:r>
        <w:rPr/>
        <w:t>了公司的内部控制，加大了对年报信息披露责任人的问责力度，保障和提高了年报信息披露 的质量和透明度。截至报告期末，公司未发生重大会计差错更正、重大遗漏信息补充以及业 绩预告修正等情况，不存在董事会对有关责任人采取问责措施的情形。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监事会在报告期内的监督活动是否发现公司存在风险</w:t>
      </w:r>
    </w:p>
    <w:p>
      <w:pPr>
        <w:spacing w:line="240" w:lineRule="auto" w:before="10"/>
        <w:rPr>
          <w:rFonts w:ascii="宋体" w:hAnsi="宋体" w:cs="宋体" w:eastAsia="宋体" w:hint="default"/>
          <w:sz w:val="17"/>
          <w:szCs w:val="17"/>
        </w:rPr>
      </w:pPr>
    </w:p>
    <w:p>
      <w:pPr>
        <w:pStyle w:val="BodyText"/>
        <w:spacing w:line="451" w:lineRule="auto"/>
        <w:ind w:right="63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451" w:lineRule="auto"/>
        <w:jc w:val="left"/>
        <w:sectPr>
          <w:headerReference w:type="default" r:id="rId41"/>
          <w:pgSz w:w="11910" w:h="16840"/>
          <w:pgMar w:header="918" w:footer="979" w:top="110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786"/>
        <w:jc w:val="center"/>
        <w:rPr>
          <w:b w:val="0"/>
          <w:bCs w:val="0"/>
        </w:rPr>
      </w:pPr>
      <w:bookmarkStart w:name="_TOC_250001" w:id="8"/>
      <w:r>
        <w:rPr/>
        <w:t>第九节</w:t>
      </w:r>
      <w:r>
        <w:rPr>
          <w:spacing w:val="-1"/>
        </w:rPr>
        <w:t> </w:t>
      </w:r>
      <w:r>
        <w:rPr/>
        <w:t>财务报告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0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天职国际会计师事务所有限公司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SJ[2013]398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6"/>
        <w:rPr>
          <w:rFonts w:ascii="宋体" w:hAnsi="宋体" w:cs="宋体" w:eastAsia="宋体" w:hint="default"/>
          <w:b/>
          <w:bCs/>
          <w:sz w:val="5"/>
          <w:szCs w:val="5"/>
        </w:rPr>
      </w:pPr>
    </w:p>
    <w:p>
      <w:pPr>
        <w:pStyle w:val="BodyText"/>
        <w:spacing w:line="240" w:lineRule="auto" w:before="44"/>
        <w:ind w:right="109"/>
        <w:jc w:val="left"/>
      </w:pPr>
      <w:r>
        <w:rPr/>
        <w:t>审计报告</w:t>
      </w:r>
    </w:p>
    <w:p>
      <w:pPr>
        <w:spacing w:line="240" w:lineRule="auto" w:before="9"/>
        <w:rPr>
          <w:rFonts w:ascii="宋体" w:hAnsi="宋体" w:cs="宋体" w:eastAsia="宋体" w:hint="default"/>
          <w:sz w:val="21"/>
          <w:szCs w:val="21"/>
        </w:rPr>
      </w:pPr>
    </w:p>
    <w:p>
      <w:pPr>
        <w:pStyle w:val="BodyText"/>
        <w:spacing w:line="240" w:lineRule="auto"/>
        <w:ind w:right="109"/>
        <w:jc w:val="left"/>
      </w:pPr>
      <w:r>
        <w:rPr/>
        <w:t>天职湘</w:t>
      </w:r>
      <w:r>
        <w:rPr>
          <w:spacing w:val="-47"/>
        </w:rPr>
        <w:t> </w:t>
      </w:r>
      <w:r>
        <w:rPr>
          <w:rFonts w:ascii="Times New Roman" w:hAnsi="Times New Roman" w:cs="Times New Roman" w:eastAsia="Times New Roman" w:hint="default"/>
        </w:rPr>
        <w:t>SJ[2013]398</w:t>
      </w:r>
      <w:r>
        <w:rPr>
          <w:rFonts w:ascii="Times New Roman" w:hAnsi="Times New Roman" w:cs="Times New Roman" w:eastAsia="Times New Roman" w:hint="default"/>
          <w:spacing w:val="-1"/>
        </w:rPr>
        <w:t> </w:t>
      </w:r>
      <w:r>
        <w:rPr/>
        <w:t>号</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109"/>
        <w:jc w:val="left"/>
      </w:pPr>
      <w:r>
        <w:rPr/>
        <w:t>天舟文化股份有限公司全体股东：</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345" w:lineRule="auto"/>
        <w:ind w:right="188" w:firstLine="360"/>
        <w:jc w:val="both"/>
      </w:pPr>
      <w:r>
        <w:rPr>
          <w:spacing w:val="-5"/>
        </w:rPr>
        <w:t>我们审计了后附的天舟文化股份有限公司（以下简称“天舟文化公司”）财务报表，包括</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4"/>
        </w:rPr>
        <w:t> </w:t>
      </w:r>
      <w:r>
        <w:rPr/>
        <w:t>日的合并资产 负债表及资产负债表，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年度的合并利润表及利润表、合并现金流量表及现金流量表和合并所有者权益变动表及所有者 权益变动表以及财务报表附注。</w:t>
      </w:r>
    </w:p>
    <w:p>
      <w:pPr>
        <w:pStyle w:val="BodyText"/>
        <w:spacing w:line="672" w:lineRule="exact" w:before="30"/>
        <w:ind w:left="513" w:right="109" w:hanging="360"/>
        <w:jc w:val="left"/>
      </w:pPr>
      <w:r>
        <w:rPr/>
        <w:t>一、管理层对财务报表的责任 </w:t>
      </w:r>
      <w:r>
        <w:rPr>
          <w:spacing w:val="-2"/>
        </w:rPr>
        <w:t>编制和公允列报财务报表是天舟文化公司管理层的责任，这种责任包括：（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648" w:lineRule="auto" w:before="15"/>
        <w:ind w:right="469"/>
        <w:jc w:val="left"/>
      </w:pPr>
      <w:r>
        <w:rPr>
          <w:spacing w:val="-2"/>
        </w:rPr>
        <w:t>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r>
        <w:rPr>
          <w:spacing w:val="-76"/>
        </w:rPr>
        <w:t> </w:t>
      </w:r>
      <w:r>
        <w:rPr/>
        <w:t>二、注册会计师的责任</w:t>
      </w:r>
    </w:p>
    <w:p>
      <w:pPr>
        <w:pStyle w:val="BodyText"/>
        <w:spacing w:line="367" w:lineRule="auto" w:before="130"/>
        <w:ind w:right="192"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spacing w:line="240" w:lineRule="auto" w:before="2"/>
        <w:rPr>
          <w:rFonts w:ascii="宋体" w:hAnsi="宋体" w:cs="宋体" w:eastAsia="宋体" w:hint="default"/>
          <w:sz w:val="14"/>
          <w:szCs w:val="14"/>
        </w:rPr>
      </w:pPr>
    </w:p>
    <w:p>
      <w:pPr>
        <w:pStyle w:val="BodyText"/>
        <w:spacing w:line="367" w:lineRule="auto"/>
        <w:ind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spacing w:line="240" w:lineRule="auto" w:before="2"/>
        <w:rPr>
          <w:rFonts w:ascii="宋体" w:hAnsi="宋体" w:cs="宋体" w:eastAsia="宋体" w:hint="default"/>
          <w:sz w:val="14"/>
          <w:szCs w:val="14"/>
        </w:rPr>
      </w:pPr>
    </w:p>
    <w:p>
      <w:pPr>
        <w:pStyle w:val="BodyText"/>
        <w:spacing w:line="684" w:lineRule="auto"/>
        <w:ind w:right="3153" w:firstLine="360"/>
        <w:jc w:val="left"/>
      </w:pPr>
      <w:r>
        <w:rPr/>
        <w:t>我们相信，我们获取的审计证据是充分、适当的，为发表审计意见提供了基础。 三、审计意见</w:t>
      </w:r>
    </w:p>
    <w:p>
      <w:pPr>
        <w:pStyle w:val="BodyText"/>
        <w:spacing w:line="240" w:lineRule="auto" w:before="103"/>
        <w:ind w:left="513" w:right="109"/>
        <w:jc w:val="left"/>
        <w:rPr>
          <w:rFonts w:ascii="Times New Roman" w:hAnsi="Times New Roman" w:cs="Times New Roman" w:eastAsia="Times New Roman" w:hint="default"/>
        </w:rPr>
      </w:pPr>
      <w:r>
        <w:rPr/>
        <w:t>我们认为，天舟文化公司财务报表在所有重大方面按照企业会计准则的规定编制，公允反映了天舟文化公司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12</w:t>
      </w:r>
    </w:p>
    <w:p>
      <w:pPr>
        <w:spacing w:after="0" w:line="240" w:lineRule="auto"/>
        <w:jc w:val="left"/>
        <w:rPr>
          <w:rFonts w:ascii="Times New Roman" w:hAnsi="Times New Roman" w:cs="Times New Roman" w:eastAsia="Times New Roman" w:hint="default"/>
        </w:rPr>
        <w:sectPr>
          <w:pgSz w:w="11910" w:h="16840"/>
          <w:pgMar w:header="918" w:footer="979" w:top="110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0"/>
        <w:jc w:val="left"/>
      </w:pPr>
      <w:r>
        <w:rPr/>
        <w:pict>
          <v:group style="position:absolute;margin-left:413.73999pt;margin-top:109.891739pt;width:98.2pt;height:.1pt;mso-position-horizontal-relative:page;mso-position-vertical-relative:paragraph;z-index:-686488" coordorigin="8275,2198" coordsize="1964,2">
            <v:shape style="position:absolute;left:8275;top:2198;width:1964;height:2" coordorigin="8275,2198" coordsize="1964,0" path="m8275,2198l10238,2198e" filled="false" stroked="true" strokeweight=".48pt" strokecolor="#000000">
              <v:path arrowok="t"/>
            </v:shape>
            <w10:wrap type="none"/>
          </v:group>
        </w:pic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日的合并财务状况及财务状况以及</w:t>
      </w:r>
      <w:r>
        <w:rPr>
          <w:spacing w:val="-46"/>
        </w:rPr>
        <w:t> </w:t>
      </w:r>
      <w:r>
        <w:rPr>
          <w:rFonts w:ascii="Times New Roman" w:hAnsi="Times New Roman" w:cs="Times New Roman" w:eastAsia="Times New Roman" w:hint="default"/>
        </w:rPr>
        <w:t>2012 </w:t>
      </w:r>
      <w:r>
        <w:rPr/>
        <w:t>年度的合并经营成果和合并现金流量及经营成果和现金流量。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tbl>
      <w:tblPr>
        <w:tblW w:w="0" w:type="auto"/>
        <w:jc w:val="left"/>
        <w:tblInd w:w="1640" w:type="dxa"/>
        <w:tblLayout w:type="fixed"/>
        <w:tblCellMar>
          <w:top w:w="0" w:type="dxa"/>
          <w:left w:w="0" w:type="dxa"/>
          <w:bottom w:w="0" w:type="dxa"/>
          <w:right w:w="0" w:type="dxa"/>
        </w:tblCellMar>
        <w:tblLook w:val="01E0"/>
      </w:tblPr>
      <w:tblGrid>
        <w:gridCol w:w="5849"/>
        <w:gridCol w:w="1970"/>
      </w:tblGrid>
      <w:tr>
        <w:trPr>
          <w:trHeight w:val="300" w:hRule="exact"/>
        </w:trPr>
        <w:tc>
          <w:tcPr>
            <w:tcW w:w="5849" w:type="dxa"/>
            <w:tcBorders>
              <w:top w:val="nil" w:sz="6" w:space="0" w:color="auto"/>
              <w:left w:val="nil" w:sz="6" w:space="0" w:color="auto"/>
              <w:bottom w:val="nil" w:sz="6" w:space="0" w:color="auto"/>
              <w:right w:val="nil" w:sz="6" w:space="0" w:color="auto"/>
            </w:tcBorders>
          </w:tcPr>
          <w:p>
            <w:pPr>
              <w:pStyle w:val="TableParagraph"/>
              <w:spacing w:line="180" w:lineRule="exact"/>
              <w:ind w:right="543"/>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1970" w:type="dxa"/>
            <w:tcBorders>
              <w:top w:val="nil" w:sz="6" w:space="0" w:color="auto"/>
              <w:left w:val="nil" w:sz="6" w:space="0" w:color="auto"/>
              <w:bottom w:val="nil" w:sz="6" w:space="0" w:color="auto"/>
              <w:right w:val="nil" w:sz="6" w:space="0" w:color="auto"/>
            </w:tcBorders>
          </w:tcPr>
          <w:p>
            <w:pPr>
              <w:pStyle w:val="TableParagraph"/>
              <w:spacing w:line="180" w:lineRule="exact"/>
              <w:ind w:left="607" w:right="0"/>
              <w:jc w:val="left"/>
              <w:rPr>
                <w:rFonts w:ascii="宋体" w:hAnsi="宋体" w:cs="宋体" w:eastAsia="宋体" w:hint="default"/>
                <w:sz w:val="18"/>
                <w:szCs w:val="18"/>
              </w:rPr>
            </w:pPr>
            <w:r>
              <w:rPr>
                <w:rFonts w:ascii="宋体" w:hAnsi="宋体" w:cs="宋体" w:eastAsia="宋体" w:hint="default"/>
                <w:sz w:val="18"/>
                <w:szCs w:val="18"/>
              </w:rPr>
              <w:t>李明</w:t>
            </w:r>
          </w:p>
        </w:tc>
      </w:tr>
      <w:tr>
        <w:trPr>
          <w:trHeight w:val="985" w:hRule="exact"/>
        </w:trPr>
        <w:tc>
          <w:tcPr>
            <w:tcW w:w="58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66"/>
              <w:jc w:val="center"/>
              <w:rPr>
                <w:rFonts w:ascii="宋体" w:hAnsi="宋体" w:cs="宋体" w:eastAsia="宋体" w:hint="default"/>
                <w:sz w:val="18"/>
                <w:szCs w:val="18"/>
              </w:rPr>
            </w:pPr>
            <w:r>
              <w:rPr>
                <w:rFonts w:ascii="宋体" w:hAnsi="宋体" w:cs="宋体" w:eastAsia="宋体" w:hint="default"/>
                <w:sz w:val="18"/>
                <w:szCs w:val="18"/>
              </w:rPr>
              <w:t>中国·北京</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466"/>
              <w:jc w:val="center"/>
              <w:rPr>
                <w:rFonts w:ascii="宋体" w:hAnsi="宋体" w:cs="宋体" w:eastAsia="宋体" w:hint="default"/>
                <w:sz w:val="18"/>
                <w:szCs w:val="18"/>
              </w:rPr>
            </w:pPr>
            <w:r>
              <w:rPr>
                <w:rFonts w:ascii="宋体" w:hAnsi="宋体" w:cs="宋体" w:eastAsia="宋体" w:hint="default"/>
                <w:sz w:val="18"/>
                <w:szCs w:val="18"/>
              </w:rPr>
              <w:t>二○一三年三月二十八日</w:t>
            </w:r>
          </w:p>
        </w:tc>
        <w:tc>
          <w:tcPr>
            <w:tcW w:w="1970" w:type="dxa"/>
            <w:tcBorders>
              <w:top w:val="nil" w:sz="6" w:space="0" w:color="auto"/>
              <w:left w:val="nil" w:sz="6" w:space="0" w:color="auto"/>
              <w:bottom w:val="nil" w:sz="6" w:space="0" w:color="auto"/>
              <w:right w:val="nil" w:sz="6" w:space="0" w:color="auto"/>
            </w:tcBorders>
          </w:tcPr>
          <w:p>
            <w:pPr/>
          </w:p>
        </w:tc>
      </w:tr>
      <w:tr>
        <w:trPr>
          <w:trHeight w:val="325" w:hRule="exact"/>
        </w:trPr>
        <w:tc>
          <w:tcPr>
            <w:tcW w:w="58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43"/>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45" w:right="0"/>
              <w:jc w:val="left"/>
              <w:rPr>
                <w:rFonts w:ascii="宋体" w:hAnsi="宋体" w:cs="宋体" w:eastAsia="宋体" w:hint="default"/>
                <w:sz w:val="18"/>
                <w:szCs w:val="18"/>
              </w:rPr>
            </w:pPr>
            <w:r>
              <w:rPr>
                <w:rFonts w:ascii="宋体" w:hAnsi="宋体" w:cs="宋体" w:eastAsia="宋体" w:hint="default"/>
                <w:sz w:val="18"/>
                <w:szCs w:val="18"/>
              </w:rPr>
              <w:t>刘宇科</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20" w:lineRule="exact"/>
        <w:ind w:left="7290" w:right="0" w:firstLine="0"/>
        <w:rPr>
          <w:rFonts w:ascii="宋体" w:hAnsi="宋体" w:cs="宋体" w:eastAsia="宋体" w:hint="default"/>
          <w:sz w:val="2"/>
          <w:szCs w:val="2"/>
        </w:rPr>
      </w:pPr>
      <w:r>
        <w:rPr>
          <w:rFonts w:ascii="宋体" w:hAnsi="宋体" w:cs="宋体" w:eastAsia="宋体" w:hint="default"/>
          <w:sz w:val="2"/>
          <w:szCs w:val="2"/>
        </w:rPr>
        <w:pict>
          <v:group style="width:98.7pt;height:.5pt;mso-position-horizontal-relative:char;mso-position-vertical-relative:line" coordorigin="0,0" coordsize="1974,10">
            <v:group style="position:absolute;left:5;top:5;width:1964;height:2" coordorigin="5,5" coordsize="1964,2">
              <v:shape style="position:absolute;left:5;top:5;width:1964;height:2" coordorigin="5,5" coordsize="1964,0" path="m5,5l1968,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3"/>
        <w:spacing w:line="240" w:lineRule="auto" w:before="26"/>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编制单位：天舟文化股份有限公司</w:t>
      </w:r>
    </w:p>
    <w:p>
      <w:pPr>
        <w:pStyle w:val="BodyText"/>
        <w:spacing w:line="240" w:lineRule="auto" w:before="117"/>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387,539,934.69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403,483,216.42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158,892.10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46,876,167.89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38,271,842.81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17,596,413.00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21,012,363.73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7,383,358.20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2,102,035.73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52,715,228.75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29,073,230.12</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8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607,774.35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187,560.69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513,128,876.88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494,289,141.60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35,526,601.36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34,618,752.99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45,226,032.47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46,254,632.16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696,471.91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697,351.74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4,378,661.96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823,633.39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667,322.74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87,651,401.09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83,238,059.63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600,780,277.97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577,527,201.23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52,192,540.56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43,628,636.37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5,952,704.27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1,031,832.42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2"/>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373,769.92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127,639.27</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4,193,396.24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3,861,251.72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4,442,586.16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638,451.05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67,154,997.15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49,287,810.83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67,154,997.15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49,287,810.83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97,500,000.00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313,587,915.29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342,656,951.04</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11,390,406.08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8,989,821.58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74,753,401.46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72,777,996.08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526,481,722.83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521,924,768.70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7,143,557.99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6,314,621.70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533,625,280.82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528,239,390.40</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600,780,277.97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577,527,201.23</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编制单位：天舟文化股份有限公司</w:t>
      </w:r>
    </w:p>
    <w:p>
      <w:pPr>
        <w:pStyle w:val="BodyText"/>
        <w:spacing w:line="240" w:lineRule="auto" w:before="115"/>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8"/>
        <w:gridCol w:w="3317"/>
        <w:gridCol w:w="3303"/>
      </w:tblGrid>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351,390,849.72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366,002,648.15</w:t>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6,709,377.14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8,190,866.69</w:t>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10,034,923.89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12,953,753.51</w:t>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8,883,374.97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2,378,267.93</w:t>
            </w:r>
          </w:p>
        </w:tc>
      </w:tr>
      <w:tr>
        <w:trPr>
          <w:trHeight w:val="404"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23,903,359.81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16,997,944.16</w:t>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597,945.39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401,519,830.92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406,523,480.44</w:t>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116,327,369.15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93,016,384.90</w:t>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43,134,821.08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44,971,580.78</w:t>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670,627.48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697,351.74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384,044.18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382,202.97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161,516,861.89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140,067,520.39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563,036,692.81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546,591,000.83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36,145,614.15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34,092,049.64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3,466,723.00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22,960.17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34,039.27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1,763,213.00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3,049,339.93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3,250,238.85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408,473.38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44,648,749.17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37,583,902.22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44,648,749.17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37,583,902.22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97,500,000.00</w:t>
            </w:r>
          </w:p>
        </w:tc>
      </w:tr>
    </w:tbl>
    <w:p>
      <w:pPr>
        <w:spacing w:after="0" w:line="240" w:lineRule="auto"/>
        <w:jc w:val="right"/>
        <w:rPr>
          <w:rFonts w:ascii="Times New Roman" w:hAnsi="Times New Roman" w:cs="Times New Roman" w:eastAsia="Times New Roman" w:hint="default"/>
          <w:sz w:val="18"/>
          <w:szCs w:val="18"/>
        </w:rPr>
        <w:sectPr>
          <w:headerReference w:type="default" r:id="rId43"/>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52"/>
        <w:gridCol w:w="3314"/>
        <w:gridCol w:w="3303"/>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313,296,882.98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342,546,882.98</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11,390,406.08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8,989,821.58</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66,950,654.58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59,970,394.05</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518,387,943.64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509,007,098.61</w:t>
            </w: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563,036,692.81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546,591,000.83</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编制单位：天舟文化股份有限公司</w:t>
      </w:r>
    </w:p>
    <w:p>
      <w:pPr>
        <w:pStyle w:val="BodyText"/>
        <w:spacing w:line="240" w:lineRule="auto" w:before="117"/>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279,907,785.50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277,601,529.49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279,907,785.50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277,601,529.49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251,041,614.60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233,113,661.32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192,761,706.66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199,221,643.01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2,189,071.54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2,533,699.61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33,992,096.35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19,797,211.03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27,163,738.45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18,412,462.59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-7,524,037.57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-8,459,519.00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60" w:left="980" w:right="102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2,459,039.17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1,608,164.08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215,173.61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-305,048.10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899"/>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215,173.61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-305,048.10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29,081,344.51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44,182,820.07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1,207,314.29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1,405,576.13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225,998.23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258,848.72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8,474.20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30,062,660.57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45,329,547.48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9,795,370.15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12,131,300.56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20,267,290.42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33,198,246.92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19,000,989.88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33,182,234.30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1,266,300.54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16,012.62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20,267,290.42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33,198,246.92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19,000,989.88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33,182,234.30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1,266,300.54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16,012.62</w:t>
            </w: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7" w:val="left" w:leader="none"/>
          <w:tab w:pos="7899" w:val="left" w:leader="none"/>
        </w:tabs>
        <w:spacing w:line="360" w:lineRule="auto" w:before="138"/>
        <w:ind w:right="204"/>
        <w:jc w:val="left"/>
      </w:pPr>
      <w:r>
        <w:rPr/>
        <w:t>法定代表人：肖志鸿</w:t>
        <w:tab/>
      </w:r>
      <w:r>
        <w:rPr>
          <w:spacing w:val="-1"/>
        </w:rPr>
        <w:t>主管会计工作负责人：陈四清</w:t>
        <w:tab/>
      </w:r>
      <w:r>
        <w:rPr/>
        <w:t>会计机构负责人：周艳</w:t>
      </w:r>
      <w:r>
        <w:rPr/>
        <w:t> 注：财务费用涉及金融业务需单独列示汇兑收益项目。</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编制单位：天舟文化股份有限公司</w:t>
      </w:r>
    </w:p>
    <w:p>
      <w:pPr>
        <w:spacing w:after="0" w:line="240" w:lineRule="auto"/>
        <w:jc w:val="left"/>
        <w:sectPr>
          <w:pgSz w:w="11910" w:h="16840"/>
          <w:pgMar w:header="918" w:footer="979" w:top="1100" w:bottom="1160" w:left="980" w:right="1020"/>
        </w:sectPr>
      </w:pPr>
    </w:p>
    <w:p>
      <w:pPr>
        <w:spacing w:line="240" w:lineRule="auto" w:before="11"/>
        <w:rPr>
          <w:rFonts w:ascii="宋体" w:hAnsi="宋体" w:cs="宋体" w:eastAsia="宋体" w:hint="default"/>
          <w:sz w:val="21"/>
          <w:szCs w:val="21"/>
        </w:rPr>
      </w:pPr>
    </w:p>
    <w:p>
      <w:pPr>
        <w:pStyle w:val="BodyText"/>
        <w:spacing w:line="240" w:lineRule="auto" w:before="44"/>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178,691,072.39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203,463,330.08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122,297,703.15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144,813,112.92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746,910.82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1,053,024.14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16,485,276.92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11,744,710.69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15,345,264.13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10,954,337.17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-7,307,404.42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-8,333,812.92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725,737.99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658,739.53</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554,584.25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614.43</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554,584.25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30,952,168.05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42,573,832.98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1,402,708.48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183,579.72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202,348.11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8,474.20</w:t>
            </w:r>
          </w:p>
        </w:tc>
      </w:tr>
      <w:tr>
        <w:trPr>
          <w:trHeight w:val="71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31,971,588.33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43,774,193.35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7,965,743.30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10,818,409.90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24,005,845.03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32,955,783.45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24,005,845.03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32,955,783.45</w:t>
            </w:r>
          </w:p>
        </w:tc>
      </w:tr>
    </w:tbl>
    <w:p>
      <w:pPr>
        <w:spacing w:line="240" w:lineRule="auto" w:before="3"/>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编制单位：天舟文化股份有限公司</w:t>
      </w:r>
    </w:p>
    <w:p>
      <w:pPr>
        <w:pStyle w:val="BodyText"/>
        <w:spacing w:line="240" w:lineRule="auto" w:before="117"/>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308,066,452.53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300,961,183.91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12,658,903.52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10,341,767.57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320,725,356.05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311,302,951.48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228,233,783.00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223,014,499.35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27,726,177.54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13,426,193.43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23,140,273.08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29,693,374.76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38,688,237.17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22,569,199.10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317,788,470.79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288,703,266.64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2,936,885.26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22,599,684.84</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3,466,723.00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4"/>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3,466,723.00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7,465,489.99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30,845,434.02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7,465,489.99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60,245,434.02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-3,998,766.99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-60,227,434.02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15,781,400.00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-14,881,400.00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-15,943,281.73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-47,377,749.18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403,483,216.42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450,860,965.60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387,539,934.69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403,483,216.42</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after="0" w:line="240" w:lineRule="auto"/>
        <w:jc w:val="left"/>
        <w:sectPr>
          <w:pgSz w:w="11910" w:h="16840"/>
          <w:pgMar w:header="918" w:footer="979" w:top="1100" w:bottom="1160" w:left="980" w:right="102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编制单位：天舟文化股份有限公司</w:t>
      </w:r>
    </w:p>
    <w:p>
      <w:pPr>
        <w:pStyle w:val="BodyText"/>
        <w:spacing w:line="240" w:lineRule="auto" w:before="115"/>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203,302,192.53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226,760,505.63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11,418,521.78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13,943,156.86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214,720,714.31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240,703,662.49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141,168,739.10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157,027,244.99</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9,596,347.17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5,548,584.00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18,032,853.86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25,033,757.36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25,175,700.93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13,966,572.79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193,973,641.06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201,576,159.14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20,747,073.25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39,127,503.35</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3,466,723.00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3,466,723.00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1,444,194.68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29,977,237.71</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22,756,400.00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64,950,000.00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24,200,594.68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94,927,237.71</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-20,733,871.68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-94,909,237.71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60" w:left="980" w:right="10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11,350,000.00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13,700,000.00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-13,700,000.00</w:t>
            </w: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-14,611,798.43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-69,481,734.36</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366,002,648.15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435,484,382.51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351,390,849.72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366,002,648.15</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45"/>
          <w:pgSz w:w="11910" w:h="16840"/>
          <w:pgMar w:header="918" w:footer="979" w:top="1100" w:bottom="1160" w:left="980" w:right="1020"/>
        </w:sectPr>
      </w:pPr>
    </w:p>
    <w:p>
      <w:pPr>
        <w:pStyle w:val="BodyText"/>
        <w:spacing w:line="360" w:lineRule="auto" w:before="44"/>
        <w:ind w:right="-20"/>
        <w:jc w:val="left"/>
      </w:pPr>
      <w:r>
        <w:rPr/>
        <w:t>编制单位：天舟文化股份有限公司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80" w:left="980" w:right="1020"/>
          <w:cols w:num="2" w:equalWidth="0">
            <w:col w:w="2854" w:space="6067"/>
            <w:col w:w="98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7"/>
        <w:gridCol w:w="686"/>
        <w:gridCol w:w="687"/>
        <w:gridCol w:w="686"/>
        <w:gridCol w:w="684"/>
        <w:gridCol w:w="684"/>
        <w:gridCol w:w="687"/>
        <w:gridCol w:w="686"/>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3" w:right="8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1"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97,500,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342,656,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951.04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8,989,8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21.58</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72,777,9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96.08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528,239,39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0.40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2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2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97,500,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342,656,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951.04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8,989,8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21.58</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72,777,9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96.08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6,314,621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528,239,39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0.40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-29,069,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035.75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2,400,5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84.50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1,975,40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828,936.2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80" w:left="980" w:right="10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66"/>
        <w:gridCol w:w="686"/>
        <w:gridCol w:w="686"/>
        <w:gridCol w:w="687"/>
        <w:gridCol w:w="686"/>
        <w:gridCol w:w="684"/>
        <w:gridCol w:w="684"/>
        <w:gridCol w:w="687"/>
        <w:gridCol w:w="686"/>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19,000,9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89.88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20,267,290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19,000,9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89.88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20,267,290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-256,400.0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-1,156,40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2,400,5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84.50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-17,025,</w:t>
            </w:r>
          </w:p>
          <w:p>
            <w:pPr>
              <w:pStyle w:val="TableParagraph"/>
              <w:spacing w:line="240" w:lineRule="auto" w:before="102"/>
              <w:ind w:left="145" w:right="0"/>
              <w:jc w:val="center"/>
              <w:rPr>
                <w:rFonts w:ascii="Times New Roman" w:hAnsi="Times New Roman" w:cs="Times New Roman" w:eastAsia="Times New Roman" w:hint="default"/>
                <w:sz w:val="18"/>
                <w:szCs w:val="18"/>
              </w:rPr>
            </w:pPr>
            <w:r>
              <w:rPr>
                <w:rFonts w:ascii="Times New Roman"/>
                <w:sz w:val="18"/>
              </w:rPr>
              <w:t>584.50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-14,625,00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2,400,5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84.50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-2,400,5</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84.50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-14,625,</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-14,625,00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126,750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313,587,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915.29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11,390,4</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06.08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74,753,4</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01.46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7,143,557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533,625,28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0.82</w:t>
            </w:r>
          </w:p>
        </w:tc>
      </w:tr>
    </w:tbl>
    <w:p>
      <w:pPr>
        <w:pStyle w:val="BodyText"/>
        <w:spacing w:line="240" w:lineRule="auto" w:before="49"/>
        <w:ind w:right="0"/>
        <w:jc w:val="left"/>
      </w:pPr>
      <w:r>
        <w:rPr/>
        <w:t>上年金额</w:t>
      </w:r>
    </w:p>
    <w:p>
      <w:pPr>
        <w:pStyle w:val="BodyText"/>
        <w:spacing w:line="240" w:lineRule="auto" w:before="115"/>
        <w:ind w:left="0" w:right="110"/>
        <w:jc w:val="right"/>
      </w:pPr>
      <w:r>
        <w:rPr/>
        <w:t>单位：元</w:t>
      </w:r>
    </w:p>
    <w:p>
      <w:pPr>
        <w:spacing w:after="0" w:line="240" w:lineRule="auto"/>
        <w:jc w:val="right"/>
        <w:sectPr>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56"/>
        <w:gridCol w:w="697"/>
        <w:gridCol w:w="686"/>
        <w:gridCol w:w="687"/>
        <w:gridCol w:w="686"/>
        <w:gridCol w:w="684"/>
        <w:gridCol w:w="684"/>
        <w:gridCol w:w="687"/>
        <w:gridCol w:w="686"/>
        <w:gridCol w:w="818"/>
        <w:gridCol w:w="893"/>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6"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173" w:right="8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6"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1"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6"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56"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105"/>
              <w:ind w:left="74" w:right="0"/>
              <w:jc w:val="center"/>
              <w:rPr>
                <w:rFonts w:ascii="Times New Roman" w:hAnsi="Times New Roman" w:cs="Times New Roman" w:eastAsia="Times New Roman" w:hint="default"/>
                <w:sz w:val="16"/>
                <w:szCs w:val="16"/>
              </w:rPr>
            </w:pPr>
            <w:r>
              <w:rPr>
                <w:rFonts w:ascii="Times New Roman"/>
                <w:sz w:val="16"/>
              </w:rPr>
              <w:t>75,000,0</w:t>
            </w:r>
          </w:p>
          <w:p>
            <w:pPr>
              <w:pStyle w:val="TableParagraph"/>
              <w:spacing w:line="240" w:lineRule="auto" w:before="125"/>
              <w:ind w:left="273" w:right="0"/>
              <w:jc w:val="center"/>
              <w:rPr>
                <w:rFonts w:ascii="Times New Roman" w:hAnsi="Times New Roman" w:cs="Times New Roman" w:eastAsia="Times New Roman" w:hint="default"/>
                <w:sz w:val="16"/>
                <w:szCs w:val="16"/>
              </w:rPr>
            </w:pPr>
            <w:r>
              <w:rPr>
                <w:rFonts w:ascii="Times New Roman"/>
                <w:sz w:val="16"/>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5"/>
              <w:ind w:left="75" w:right="0"/>
              <w:jc w:val="center"/>
              <w:rPr>
                <w:rFonts w:ascii="Times New Roman" w:hAnsi="Times New Roman" w:cs="Times New Roman" w:eastAsia="Times New Roman" w:hint="default"/>
                <w:sz w:val="16"/>
                <w:szCs w:val="16"/>
              </w:rPr>
            </w:pPr>
            <w:r>
              <w:rPr>
                <w:rFonts w:ascii="Times New Roman"/>
                <w:sz w:val="16"/>
              </w:rPr>
              <w:t>365,156,</w:t>
            </w:r>
          </w:p>
          <w:p>
            <w:pPr>
              <w:pStyle w:val="TableParagraph"/>
              <w:spacing w:line="240" w:lineRule="auto" w:before="125"/>
              <w:ind w:left="195" w:right="0"/>
              <w:jc w:val="center"/>
              <w:rPr>
                <w:rFonts w:ascii="Times New Roman" w:hAnsi="Times New Roman" w:cs="Times New Roman" w:eastAsia="Times New Roman" w:hint="default"/>
                <w:sz w:val="16"/>
                <w:szCs w:val="16"/>
              </w:rPr>
            </w:pPr>
            <w:r>
              <w:rPr>
                <w:rFonts w:ascii="Times New Roman"/>
                <w:sz w:val="16"/>
              </w:rPr>
              <w:t>951.04</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05"/>
              <w:ind w:left="93" w:right="0"/>
              <w:jc w:val="left"/>
              <w:rPr>
                <w:rFonts w:ascii="Times New Roman" w:hAnsi="Times New Roman" w:cs="Times New Roman" w:eastAsia="Times New Roman" w:hint="default"/>
                <w:sz w:val="16"/>
                <w:szCs w:val="16"/>
              </w:rPr>
            </w:pPr>
            <w:r>
              <w:rPr>
                <w:rFonts w:ascii="Times New Roman"/>
                <w:sz w:val="16"/>
              </w:rPr>
              <w:t>5,694,24</w:t>
            </w:r>
          </w:p>
          <w:p>
            <w:pPr>
              <w:pStyle w:val="TableParagraph"/>
              <w:spacing w:line="240" w:lineRule="auto" w:before="125"/>
              <w:ind w:left="371" w:right="0"/>
              <w:jc w:val="left"/>
              <w:rPr>
                <w:rFonts w:ascii="Times New Roman" w:hAnsi="Times New Roman" w:cs="Times New Roman" w:eastAsia="Times New Roman" w:hint="default"/>
                <w:sz w:val="16"/>
                <w:szCs w:val="16"/>
              </w:rPr>
            </w:pPr>
            <w:r>
              <w:rPr>
                <w:rFonts w:ascii="Times New Roman"/>
                <w:sz w:val="16"/>
              </w:rPr>
              <w:t>3.23</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05"/>
              <w:ind w:left="80" w:right="0"/>
              <w:jc w:val="center"/>
              <w:rPr>
                <w:rFonts w:ascii="Times New Roman" w:hAnsi="Times New Roman" w:cs="Times New Roman" w:eastAsia="Times New Roman" w:hint="default"/>
                <w:sz w:val="16"/>
                <w:szCs w:val="16"/>
              </w:rPr>
            </w:pPr>
            <w:r>
              <w:rPr>
                <w:rFonts w:ascii="Times New Roman"/>
                <w:sz w:val="16"/>
              </w:rPr>
              <w:t>54,141,3</w:t>
            </w:r>
          </w:p>
          <w:p>
            <w:pPr>
              <w:pStyle w:val="TableParagraph"/>
              <w:spacing w:line="240" w:lineRule="auto" w:before="125"/>
              <w:ind w:left="279" w:right="0"/>
              <w:jc w:val="center"/>
              <w:rPr>
                <w:rFonts w:ascii="Times New Roman" w:hAnsi="Times New Roman" w:cs="Times New Roman" w:eastAsia="Times New Roman" w:hint="default"/>
                <w:sz w:val="16"/>
                <w:szCs w:val="16"/>
              </w:rPr>
            </w:pPr>
            <w:r>
              <w:rPr>
                <w:rFonts w:ascii="Times New Roman"/>
                <w:sz w:val="16"/>
              </w:rPr>
              <w:t>40.13</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spacing w:val="-1"/>
                <w:sz w:val="16"/>
              </w:rPr>
              <w:t>2,348,609.0</w:t>
            </w:r>
          </w:p>
          <w:p>
            <w:pPr>
              <w:pStyle w:val="TableParagraph"/>
              <w:spacing w:line="240" w:lineRule="auto" w:before="125"/>
              <w:ind w:right="20"/>
              <w:jc w:val="right"/>
              <w:rPr>
                <w:rFonts w:ascii="Times New Roman" w:hAnsi="Times New Roman" w:cs="Times New Roman" w:eastAsia="Times New Roman" w:hint="default"/>
                <w:sz w:val="16"/>
                <w:szCs w:val="16"/>
              </w:rPr>
            </w:pPr>
            <w:r>
              <w:rPr>
                <w:rFonts w:ascii="Times New Roman"/>
                <w:w w:val="100"/>
                <w:sz w:val="16"/>
              </w:rPr>
              <w:t>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6"/>
                <w:szCs w:val="16"/>
              </w:rPr>
            </w:pPr>
            <w:r>
              <w:rPr>
                <w:rFonts w:ascii="Times New Roman"/>
                <w:spacing w:val="-2"/>
                <w:sz w:val="16"/>
              </w:rPr>
              <w:t>502,341,143</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spacing w:val="-1"/>
                <w:sz w:val="16"/>
              </w:rPr>
              <w:t>.48</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102"/>
              <w:ind w:left="74" w:right="0"/>
              <w:jc w:val="center"/>
              <w:rPr>
                <w:rFonts w:ascii="Times New Roman" w:hAnsi="Times New Roman" w:cs="Times New Roman" w:eastAsia="Times New Roman" w:hint="default"/>
                <w:sz w:val="16"/>
                <w:szCs w:val="16"/>
              </w:rPr>
            </w:pPr>
            <w:r>
              <w:rPr>
                <w:rFonts w:ascii="Times New Roman"/>
                <w:sz w:val="16"/>
              </w:rPr>
              <w:t>75,000,0</w:t>
            </w:r>
          </w:p>
          <w:p>
            <w:pPr>
              <w:pStyle w:val="TableParagraph"/>
              <w:spacing w:line="240" w:lineRule="auto" w:before="128"/>
              <w:ind w:left="273" w:right="0"/>
              <w:jc w:val="center"/>
              <w:rPr>
                <w:rFonts w:ascii="Times New Roman" w:hAnsi="Times New Roman" w:cs="Times New Roman" w:eastAsia="Times New Roman" w:hint="default"/>
                <w:sz w:val="16"/>
                <w:szCs w:val="16"/>
              </w:rPr>
            </w:pPr>
            <w:r>
              <w:rPr>
                <w:rFonts w:ascii="Times New Roman"/>
                <w:sz w:val="16"/>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2"/>
              <w:ind w:left="75" w:right="0"/>
              <w:jc w:val="center"/>
              <w:rPr>
                <w:rFonts w:ascii="Times New Roman" w:hAnsi="Times New Roman" w:cs="Times New Roman" w:eastAsia="Times New Roman" w:hint="default"/>
                <w:sz w:val="16"/>
                <w:szCs w:val="16"/>
              </w:rPr>
            </w:pPr>
            <w:r>
              <w:rPr>
                <w:rFonts w:ascii="Times New Roman"/>
                <w:sz w:val="16"/>
              </w:rPr>
              <w:t>365,156,</w:t>
            </w:r>
          </w:p>
          <w:p>
            <w:pPr>
              <w:pStyle w:val="TableParagraph"/>
              <w:spacing w:line="240" w:lineRule="auto" w:before="128"/>
              <w:ind w:left="195" w:right="0"/>
              <w:jc w:val="center"/>
              <w:rPr>
                <w:rFonts w:ascii="Times New Roman" w:hAnsi="Times New Roman" w:cs="Times New Roman" w:eastAsia="Times New Roman" w:hint="default"/>
                <w:sz w:val="16"/>
                <w:szCs w:val="16"/>
              </w:rPr>
            </w:pPr>
            <w:r>
              <w:rPr>
                <w:rFonts w:ascii="Times New Roman"/>
                <w:sz w:val="16"/>
              </w:rPr>
              <w:t>951.04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02"/>
              <w:ind w:left="93" w:right="0"/>
              <w:jc w:val="left"/>
              <w:rPr>
                <w:rFonts w:ascii="Times New Roman" w:hAnsi="Times New Roman" w:cs="Times New Roman" w:eastAsia="Times New Roman" w:hint="default"/>
                <w:sz w:val="16"/>
                <w:szCs w:val="16"/>
              </w:rPr>
            </w:pPr>
            <w:r>
              <w:rPr>
                <w:rFonts w:ascii="Times New Roman"/>
                <w:sz w:val="16"/>
              </w:rPr>
              <w:t>5,694,24</w:t>
            </w:r>
          </w:p>
          <w:p>
            <w:pPr>
              <w:pStyle w:val="TableParagraph"/>
              <w:spacing w:line="240" w:lineRule="auto" w:before="128"/>
              <w:ind w:left="371" w:right="0"/>
              <w:jc w:val="left"/>
              <w:rPr>
                <w:rFonts w:ascii="Times New Roman" w:hAnsi="Times New Roman" w:cs="Times New Roman" w:eastAsia="Times New Roman" w:hint="default"/>
                <w:sz w:val="16"/>
                <w:szCs w:val="16"/>
              </w:rPr>
            </w:pPr>
            <w:r>
              <w:rPr>
                <w:rFonts w:ascii="Times New Roman"/>
                <w:sz w:val="16"/>
              </w:rPr>
              <w:t>3.23</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02"/>
              <w:ind w:left="80" w:right="0"/>
              <w:jc w:val="center"/>
              <w:rPr>
                <w:rFonts w:ascii="Times New Roman" w:hAnsi="Times New Roman" w:cs="Times New Roman" w:eastAsia="Times New Roman" w:hint="default"/>
                <w:sz w:val="16"/>
                <w:szCs w:val="16"/>
              </w:rPr>
            </w:pPr>
            <w:r>
              <w:rPr>
                <w:rFonts w:ascii="Times New Roman"/>
                <w:sz w:val="16"/>
              </w:rPr>
              <w:t>54,141,3</w:t>
            </w:r>
          </w:p>
          <w:p>
            <w:pPr>
              <w:pStyle w:val="TableParagraph"/>
              <w:spacing w:line="240" w:lineRule="auto" w:before="128"/>
              <w:ind w:left="279" w:right="0"/>
              <w:jc w:val="center"/>
              <w:rPr>
                <w:rFonts w:ascii="Times New Roman" w:hAnsi="Times New Roman" w:cs="Times New Roman" w:eastAsia="Times New Roman" w:hint="default"/>
                <w:sz w:val="16"/>
                <w:szCs w:val="16"/>
              </w:rPr>
            </w:pPr>
            <w:r>
              <w:rPr>
                <w:rFonts w:ascii="Times New Roman"/>
                <w:sz w:val="16"/>
              </w:rPr>
              <w:t>40.13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2,348,609.0</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2"/>
                <w:sz w:val="16"/>
              </w:rPr>
              <w:t>502,341,143</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spacing w:val="-1"/>
                <w:sz w:val="16"/>
              </w:rPr>
              <w:t>.48</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left="74" w:right="0"/>
              <w:jc w:val="center"/>
              <w:rPr>
                <w:rFonts w:ascii="Times New Roman" w:hAnsi="Times New Roman" w:cs="Times New Roman" w:eastAsia="Times New Roman" w:hint="default"/>
                <w:sz w:val="16"/>
                <w:szCs w:val="16"/>
              </w:rPr>
            </w:pPr>
            <w:r>
              <w:rPr>
                <w:rFonts w:ascii="Times New Roman"/>
                <w:sz w:val="16"/>
              </w:rPr>
              <w:t>22,500,0</w:t>
            </w:r>
          </w:p>
          <w:p>
            <w:pPr>
              <w:pStyle w:val="TableParagraph"/>
              <w:spacing w:line="240" w:lineRule="auto" w:before="125"/>
              <w:ind w:left="273" w:right="0"/>
              <w:jc w:val="center"/>
              <w:rPr>
                <w:rFonts w:ascii="Times New Roman" w:hAnsi="Times New Roman" w:cs="Times New Roman" w:eastAsia="Times New Roman" w:hint="default"/>
                <w:sz w:val="16"/>
                <w:szCs w:val="16"/>
              </w:rPr>
            </w:pPr>
            <w:r>
              <w:rPr>
                <w:rFonts w:ascii="Times New Roman"/>
                <w:sz w:val="16"/>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 w:right="0"/>
              <w:jc w:val="left"/>
              <w:rPr>
                <w:rFonts w:ascii="Times New Roman" w:hAnsi="Times New Roman" w:cs="Times New Roman" w:eastAsia="Times New Roman" w:hint="default"/>
                <w:sz w:val="16"/>
                <w:szCs w:val="16"/>
              </w:rPr>
            </w:pPr>
            <w:r>
              <w:rPr>
                <w:rFonts w:ascii="Times New Roman"/>
                <w:sz w:val="16"/>
              </w:rPr>
              <w:t>-22,500,0</w:t>
            </w:r>
          </w:p>
          <w:p>
            <w:pPr>
              <w:pStyle w:val="TableParagraph"/>
              <w:spacing w:line="240" w:lineRule="auto" w:before="125"/>
              <w:ind w:left="295" w:right="0"/>
              <w:jc w:val="left"/>
              <w:rPr>
                <w:rFonts w:ascii="Times New Roman" w:hAnsi="Times New Roman" w:cs="Times New Roman" w:eastAsia="Times New Roman" w:hint="default"/>
                <w:sz w:val="16"/>
                <w:szCs w:val="16"/>
              </w:rPr>
            </w:pPr>
            <w:r>
              <w:rPr>
                <w:rFonts w:ascii="Times New Roman"/>
                <w:sz w:val="16"/>
              </w:rPr>
              <w:t>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3" w:right="0"/>
              <w:jc w:val="left"/>
              <w:rPr>
                <w:rFonts w:ascii="Times New Roman" w:hAnsi="Times New Roman" w:cs="Times New Roman" w:eastAsia="Times New Roman" w:hint="default"/>
                <w:sz w:val="16"/>
                <w:szCs w:val="16"/>
              </w:rPr>
            </w:pPr>
            <w:r>
              <w:rPr>
                <w:rFonts w:ascii="Times New Roman"/>
                <w:sz w:val="16"/>
              </w:rPr>
              <w:t>3,295,57</w:t>
            </w:r>
          </w:p>
          <w:p>
            <w:pPr>
              <w:pStyle w:val="TableParagraph"/>
              <w:spacing w:line="240" w:lineRule="auto" w:before="125"/>
              <w:ind w:left="371" w:right="0"/>
              <w:jc w:val="left"/>
              <w:rPr>
                <w:rFonts w:ascii="Times New Roman" w:hAnsi="Times New Roman" w:cs="Times New Roman" w:eastAsia="Times New Roman" w:hint="default"/>
                <w:sz w:val="16"/>
                <w:szCs w:val="16"/>
              </w:rPr>
            </w:pPr>
            <w:r>
              <w:rPr>
                <w:rFonts w:ascii="Times New Roman"/>
                <w:sz w:val="16"/>
              </w:rPr>
              <w:t>8.35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0" w:right="0"/>
              <w:jc w:val="center"/>
              <w:rPr>
                <w:rFonts w:ascii="Times New Roman" w:hAnsi="Times New Roman" w:cs="Times New Roman" w:eastAsia="Times New Roman" w:hint="default"/>
                <w:sz w:val="16"/>
                <w:szCs w:val="16"/>
              </w:rPr>
            </w:pPr>
            <w:r>
              <w:rPr>
                <w:rFonts w:ascii="Times New Roman"/>
                <w:sz w:val="16"/>
              </w:rPr>
              <w:t>18,636,6</w:t>
            </w:r>
          </w:p>
          <w:p>
            <w:pPr>
              <w:pStyle w:val="TableParagraph"/>
              <w:spacing w:line="240" w:lineRule="auto" w:before="125"/>
              <w:ind w:left="279" w:right="0"/>
              <w:jc w:val="center"/>
              <w:rPr>
                <w:rFonts w:ascii="Times New Roman" w:hAnsi="Times New Roman" w:cs="Times New Roman" w:eastAsia="Times New Roman" w:hint="default"/>
                <w:sz w:val="16"/>
                <w:szCs w:val="16"/>
              </w:rPr>
            </w:pPr>
            <w:r>
              <w:rPr>
                <w:rFonts w:ascii="Times New Roman"/>
                <w:sz w:val="16"/>
              </w:rPr>
              <w:t>55.95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spacing w:val="-1"/>
                <w:sz w:val="16"/>
              </w:rPr>
              <w:t>3,966,012.6</w:t>
            </w:r>
          </w:p>
          <w:p>
            <w:pPr>
              <w:pStyle w:val="TableParagraph"/>
              <w:spacing w:line="240" w:lineRule="auto" w:before="125"/>
              <w:ind w:right="20"/>
              <w:jc w:val="right"/>
              <w:rPr>
                <w:rFonts w:ascii="Times New Roman" w:hAnsi="Times New Roman" w:cs="Times New Roman" w:eastAsia="Times New Roman" w:hint="default"/>
                <w:sz w:val="16"/>
                <w:szCs w:val="16"/>
              </w:rPr>
            </w:pPr>
            <w:r>
              <w:rPr>
                <w:rFonts w:ascii="Times New Roman"/>
                <w:w w:val="100"/>
                <w:sz w:val="16"/>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6"/>
                <w:szCs w:val="16"/>
              </w:rPr>
            </w:pPr>
            <w:r>
              <w:rPr>
                <w:rFonts w:ascii="Times New Roman"/>
                <w:spacing w:val="-1"/>
                <w:sz w:val="16"/>
              </w:rPr>
              <w:t>25,898,246.</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92</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02"/>
              <w:ind w:left="80" w:right="0"/>
              <w:jc w:val="center"/>
              <w:rPr>
                <w:rFonts w:ascii="Times New Roman" w:hAnsi="Times New Roman" w:cs="Times New Roman" w:eastAsia="Times New Roman" w:hint="default"/>
                <w:sz w:val="16"/>
                <w:szCs w:val="16"/>
              </w:rPr>
            </w:pPr>
            <w:r>
              <w:rPr>
                <w:rFonts w:ascii="Times New Roman"/>
                <w:sz w:val="16"/>
              </w:rPr>
              <w:t>33,182,2</w:t>
            </w:r>
          </w:p>
          <w:p>
            <w:pPr>
              <w:pStyle w:val="TableParagraph"/>
              <w:spacing w:line="240" w:lineRule="auto" w:before="128"/>
              <w:ind w:left="279" w:right="0"/>
              <w:jc w:val="center"/>
              <w:rPr>
                <w:rFonts w:ascii="Times New Roman" w:hAnsi="Times New Roman" w:cs="Times New Roman" w:eastAsia="Times New Roman" w:hint="default"/>
                <w:sz w:val="16"/>
                <w:szCs w:val="16"/>
              </w:rPr>
            </w:pPr>
            <w:r>
              <w:rPr>
                <w:rFonts w:ascii="Times New Roman"/>
                <w:sz w:val="16"/>
              </w:rPr>
              <w:t>34.30</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4" w:right="0"/>
              <w:jc w:val="left"/>
              <w:rPr>
                <w:rFonts w:ascii="Times New Roman" w:hAnsi="Times New Roman" w:cs="Times New Roman" w:eastAsia="Times New Roman" w:hint="default"/>
                <w:sz w:val="16"/>
                <w:szCs w:val="16"/>
              </w:rPr>
            </w:pPr>
            <w:r>
              <w:rPr>
                <w:rFonts w:ascii="Times New Roman"/>
                <w:sz w:val="16"/>
              </w:rPr>
              <w:t>16,012.62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33,198,246.</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92</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02"/>
              <w:ind w:left="80" w:right="0"/>
              <w:jc w:val="center"/>
              <w:rPr>
                <w:rFonts w:ascii="Times New Roman" w:hAnsi="Times New Roman" w:cs="Times New Roman" w:eastAsia="Times New Roman" w:hint="default"/>
                <w:sz w:val="16"/>
                <w:szCs w:val="16"/>
              </w:rPr>
            </w:pPr>
            <w:r>
              <w:rPr>
                <w:rFonts w:ascii="Times New Roman"/>
                <w:sz w:val="16"/>
              </w:rPr>
              <w:t>33,182,2</w:t>
            </w:r>
          </w:p>
          <w:p>
            <w:pPr>
              <w:pStyle w:val="TableParagraph"/>
              <w:spacing w:line="240" w:lineRule="auto" w:before="128"/>
              <w:ind w:left="279" w:right="0"/>
              <w:jc w:val="center"/>
              <w:rPr>
                <w:rFonts w:ascii="Times New Roman" w:hAnsi="Times New Roman" w:cs="Times New Roman" w:eastAsia="Times New Roman" w:hint="default"/>
                <w:sz w:val="16"/>
                <w:szCs w:val="16"/>
              </w:rPr>
            </w:pPr>
            <w:r>
              <w:rPr>
                <w:rFonts w:ascii="Times New Roman"/>
                <w:sz w:val="16"/>
              </w:rPr>
              <w:t>34.30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4" w:right="0"/>
              <w:jc w:val="left"/>
              <w:rPr>
                <w:rFonts w:ascii="Times New Roman" w:hAnsi="Times New Roman" w:cs="Times New Roman" w:eastAsia="Times New Roman" w:hint="default"/>
                <w:sz w:val="16"/>
                <w:szCs w:val="16"/>
              </w:rPr>
            </w:pPr>
            <w:r>
              <w:rPr>
                <w:rFonts w:ascii="Times New Roman"/>
                <w:sz w:val="16"/>
              </w:rPr>
              <w:t>16,012.62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33,198,246.</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92</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spacing w:val="-1"/>
                <w:sz w:val="16"/>
              </w:rPr>
              <w:t>3,950,000.0</w:t>
            </w:r>
          </w:p>
          <w:p>
            <w:pPr>
              <w:pStyle w:val="TableParagraph"/>
              <w:spacing w:line="240" w:lineRule="auto" w:before="125"/>
              <w:ind w:right="20"/>
              <w:jc w:val="right"/>
              <w:rPr>
                <w:rFonts w:ascii="Times New Roman" w:hAnsi="Times New Roman" w:cs="Times New Roman" w:eastAsia="Times New Roman" w:hint="default"/>
                <w:sz w:val="16"/>
                <w:szCs w:val="16"/>
              </w:rPr>
            </w:pPr>
            <w:r>
              <w:rPr>
                <w:rFonts w:ascii="Times New Roman"/>
                <w:w w:val="100"/>
                <w:sz w:val="16"/>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6"/>
                <w:szCs w:val="16"/>
              </w:rPr>
            </w:pPr>
            <w:r>
              <w:rPr>
                <w:rFonts w:ascii="Times New Roman"/>
                <w:spacing w:val="-1"/>
                <w:sz w:val="16"/>
              </w:rPr>
              <w:t>3,950,000.0</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w w:val="100"/>
                <w:sz w:val="16"/>
              </w:rPr>
              <w:t>0</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3,950,000.0</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3,950,000.0</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0</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163"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05"/>
              <w:ind w:left="93" w:right="0"/>
              <w:jc w:val="left"/>
              <w:rPr>
                <w:rFonts w:ascii="Times New Roman" w:hAnsi="Times New Roman" w:cs="Times New Roman" w:eastAsia="Times New Roman" w:hint="default"/>
                <w:sz w:val="16"/>
                <w:szCs w:val="16"/>
              </w:rPr>
            </w:pPr>
            <w:r>
              <w:rPr>
                <w:rFonts w:ascii="Times New Roman"/>
                <w:sz w:val="16"/>
              </w:rPr>
              <w:t>3,295,57</w:t>
            </w:r>
          </w:p>
          <w:p>
            <w:pPr>
              <w:pStyle w:val="TableParagraph"/>
              <w:spacing w:line="240" w:lineRule="auto" w:before="125"/>
              <w:ind w:left="371" w:right="0"/>
              <w:jc w:val="left"/>
              <w:rPr>
                <w:rFonts w:ascii="Times New Roman" w:hAnsi="Times New Roman" w:cs="Times New Roman" w:eastAsia="Times New Roman" w:hint="default"/>
                <w:sz w:val="16"/>
                <w:szCs w:val="16"/>
              </w:rPr>
            </w:pPr>
            <w:r>
              <w:rPr>
                <w:rFonts w:ascii="Times New Roman"/>
                <w:sz w:val="16"/>
              </w:rPr>
              <w:t>8.35</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05"/>
              <w:ind w:left="43" w:right="0"/>
              <w:jc w:val="left"/>
              <w:rPr>
                <w:rFonts w:ascii="Times New Roman" w:hAnsi="Times New Roman" w:cs="Times New Roman" w:eastAsia="Times New Roman" w:hint="default"/>
                <w:sz w:val="16"/>
                <w:szCs w:val="16"/>
              </w:rPr>
            </w:pPr>
            <w:r>
              <w:rPr>
                <w:rFonts w:ascii="Times New Roman"/>
                <w:sz w:val="16"/>
              </w:rPr>
              <w:t>-14,545,5</w:t>
            </w:r>
          </w:p>
          <w:p>
            <w:pPr>
              <w:pStyle w:val="TableParagraph"/>
              <w:spacing w:line="240" w:lineRule="auto" w:before="125"/>
              <w:ind w:left="298" w:right="0"/>
              <w:jc w:val="left"/>
              <w:rPr>
                <w:rFonts w:ascii="Times New Roman" w:hAnsi="Times New Roman" w:cs="Times New Roman" w:eastAsia="Times New Roman" w:hint="default"/>
                <w:sz w:val="16"/>
                <w:szCs w:val="16"/>
              </w:rPr>
            </w:pPr>
            <w:r>
              <w:rPr>
                <w:rFonts w:ascii="Times New Roman"/>
                <w:sz w:val="16"/>
              </w:rPr>
              <w:t>78.35</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2"/>
                <w:sz w:val="16"/>
              </w:rPr>
              <w:t>-11,250,000.</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00</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02"/>
              <w:ind w:left="93" w:right="0"/>
              <w:jc w:val="left"/>
              <w:rPr>
                <w:rFonts w:ascii="Times New Roman" w:hAnsi="Times New Roman" w:cs="Times New Roman" w:eastAsia="Times New Roman" w:hint="default"/>
                <w:sz w:val="16"/>
                <w:szCs w:val="16"/>
              </w:rPr>
            </w:pPr>
            <w:r>
              <w:rPr>
                <w:rFonts w:ascii="Times New Roman"/>
                <w:sz w:val="16"/>
              </w:rPr>
              <w:t>3,295,57</w:t>
            </w:r>
          </w:p>
          <w:p>
            <w:pPr>
              <w:pStyle w:val="TableParagraph"/>
              <w:spacing w:line="240" w:lineRule="auto" w:before="128"/>
              <w:ind w:left="371" w:right="0"/>
              <w:jc w:val="left"/>
              <w:rPr>
                <w:rFonts w:ascii="Times New Roman" w:hAnsi="Times New Roman" w:cs="Times New Roman" w:eastAsia="Times New Roman" w:hint="default"/>
                <w:sz w:val="16"/>
                <w:szCs w:val="16"/>
              </w:rPr>
            </w:pPr>
            <w:r>
              <w:rPr>
                <w:rFonts w:ascii="Times New Roman"/>
                <w:sz w:val="16"/>
              </w:rPr>
              <w:t>8.35</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02"/>
              <w:ind w:left="43" w:right="0"/>
              <w:jc w:val="left"/>
              <w:rPr>
                <w:rFonts w:ascii="Times New Roman" w:hAnsi="Times New Roman" w:cs="Times New Roman" w:eastAsia="Times New Roman" w:hint="default"/>
                <w:sz w:val="16"/>
                <w:szCs w:val="16"/>
              </w:rPr>
            </w:pPr>
            <w:r>
              <w:rPr>
                <w:rFonts w:ascii="Times New Roman"/>
                <w:sz w:val="16"/>
              </w:rPr>
              <w:t>-3,295,57</w:t>
            </w:r>
          </w:p>
          <w:p>
            <w:pPr>
              <w:pStyle w:val="TableParagraph"/>
              <w:spacing w:line="240" w:lineRule="auto" w:before="128"/>
              <w:ind w:left="377" w:right="0"/>
              <w:jc w:val="left"/>
              <w:rPr>
                <w:rFonts w:ascii="Times New Roman" w:hAnsi="Times New Roman" w:cs="Times New Roman" w:eastAsia="Times New Roman" w:hint="default"/>
                <w:sz w:val="16"/>
                <w:szCs w:val="16"/>
              </w:rPr>
            </w:pPr>
            <w:r>
              <w:rPr>
                <w:rFonts w:ascii="Times New Roman"/>
                <w:sz w:val="16"/>
              </w:rPr>
              <w:t>8.35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Times New Roman" w:hAnsi="Times New Roman" w:cs="Times New Roman" w:eastAsia="Times New Roman" w:hint="default"/>
                <w:sz w:val="16"/>
                <w:szCs w:val="16"/>
              </w:rPr>
            </w:pPr>
            <w:r>
              <w:rPr>
                <w:rFonts w:ascii="Times New Roman"/>
                <w:sz w:val="16"/>
              </w:rPr>
              <w:t>-11,250,0</w:t>
            </w:r>
          </w:p>
          <w:p>
            <w:pPr>
              <w:pStyle w:val="TableParagraph"/>
              <w:spacing w:line="240" w:lineRule="auto" w:before="128"/>
              <w:ind w:left="298" w:right="0"/>
              <w:jc w:val="left"/>
              <w:rPr>
                <w:rFonts w:ascii="Times New Roman" w:hAnsi="Times New Roman" w:cs="Times New Roman" w:eastAsia="Times New Roman" w:hint="default"/>
                <w:sz w:val="16"/>
                <w:szCs w:val="16"/>
              </w:rPr>
            </w:pPr>
            <w:r>
              <w:rPr>
                <w:rFonts w:ascii="Times New Roman"/>
                <w:sz w:val="16"/>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2"/>
                <w:sz w:val="16"/>
              </w:rPr>
              <w:t>-11,250,000.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10" w:space="0" w:color="D2D2D2"/>
              <w:right w:val="single" w:sz="4" w:space="0" w:color="000000"/>
            </w:tcBorders>
          </w:tcPr>
          <w:p>
            <w:pPr>
              <w:pStyle w:val="TableParagraph"/>
              <w:spacing w:line="240" w:lineRule="auto" w:before="102"/>
              <w:ind w:left="74" w:right="0"/>
              <w:jc w:val="center"/>
              <w:rPr>
                <w:rFonts w:ascii="Times New Roman" w:hAnsi="Times New Roman" w:cs="Times New Roman" w:eastAsia="Times New Roman" w:hint="default"/>
                <w:sz w:val="16"/>
                <w:szCs w:val="16"/>
              </w:rPr>
            </w:pPr>
            <w:r>
              <w:rPr>
                <w:rFonts w:ascii="Times New Roman"/>
                <w:sz w:val="16"/>
              </w:rPr>
              <w:t>22,500,0</w:t>
            </w:r>
          </w:p>
          <w:p>
            <w:pPr>
              <w:pStyle w:val="TableParagraph"/>
              <w:spacing w:line="240" w:lineRule="auto" w:before="128"/>
              <w:ind w:left="273" w:right="0"/>
              <w:jc w:val="center"/>
              <w:rPr>
                <w:rFonts w:ascii="Times New Roman" w:hAnsi="Times New Roman" w:cs="Times New Roman" w:eastAsia="Times New Roman" w:hint="default"/>
                <w:sz w:val="16"/>
                <w:szCs w:val="16"/>
              </w:rPr>
            </w:pPr>
            <w:r>
              <w:rPr>
                <w:rFonts w:ascii="Times New Roman"/>
                <w:sz w:val="16"/>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2"/>
              <w:ind w:left="40" w:right="0"/>
              <w:jc w:val="left"/>
              <w:rPr>
                <w:rFonts w:ascii="Times New Roman" w:hAnsi="Times New Roman" w:cs="Times New Roman" w:eastAsia="Times New Roman" w:hint="default"/>
                <w:sz w:val="16"/>
                <w:szCs w:val="16"/>
              </w:rPr>
            </w:pPr>
            <w:r>
              <w:rPr>
                <w:rFonts w:ascii="Times New Roman"/>
                <w:sz w:val="16"/>
              </w:rPr>
              <w:t>-22,500,0</w:t>
            </w:r>
          </w:p>
          <w:p>
            <w:pPr>
              <w:pStyle w:val="TableParagraph"/>
              <w:spacing w:line="240" w:lineRule="auto" w:before="128"/>
              <w:ind w:left="295" w:right="0"/>
              <w:jc w:val="left"/>
              <w:rPr>
                <w:rFonts w:ascii="Times New Roman" w:hAnsi="Times New Roman" w:cs="Times New Roman" w:eastAsia="Times New Roman" w:hint="default"/>
                <w:sz w:val="16"/>
                <w:szCs w:val="16"/>
              </w:rPr>
            </w:pPr>
            <w:r>
              <w:rPr>
                <w:rFonts w:ascii="Times New Roman"/>
                <w:sz w:val="16"/>
              </w:rPr>
              <w:t>00.00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9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979" w:top="1100" w:bottom="1160" w:left="98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66"/>
        <w:gridCol w:w="686"/>
        <w:gridCol w:w="686"/>
        <w:gridCol w:w="687"/>
        <w:gridCol w:w="686"/>
        <w:gridCol w:w="684"/>
        <w:gridCol w:w="684"/>
        <w:gridCol w:w="687"/>
        <w:gridCol w:w="686"/>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 w:right="0"/>
              <w:jc w:val="center"/>
              <w:rPr>
                <w:rFonts w:ascii="Times New Roman" w:hAnsi="Times New Roman" w:cs="Times New Roman" w:eastAsia="Times New Roman" w:hint="default"/>
                <w:sz w:val="16"/>
                <w:szCs w:val="16"/>
              </w:rPr>
            </w:pPr>
            <w:r>
              <w:rPr>
                <w:rFonts w:ascii="Times New Roman"/>
                <w:sz w:val="16"/>
              </w:rPr>
              <w:t>22,500,0</w:t>
            </w:r>
          </w:p>
          <w:p>
            <w:pPr>
              <w:pStyle w:val="TableParagraph"/>
              <w:spacing w:line="240" w:lineRule="auto" w:before="128"/>
              <w:ind w:left="269" w:right="0"/>
              <w:jc w:val="center"/>
              <w:rPr>
                <w:rFonts w:ascii="Times New Roman" w:hAnsi="Times New Roman" w:cs="Times New Roman" w:eastAsia="Times New Roman" w:hint="default"/>
                <w:sz w:val="16"/>
                <w:szCs w:val="16"/>
              </w:rPr>
            </w:pPr>
            <w:r>
              <w:rPr>
                <w:rFonts w:ascii="Times New Roman"/>
                <w:sz w:val="16"/>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left"/>
              <w:rPr>
                <w:rFonts w:ascii="Times New Roman" w:hAnsi="Times New Roman" w:cs="Times New Roman" w:eastAsia="Times New Roman" w:hint="default"/>
                <w:sz w:val="16"/>
                <w:szCs w:val="16"/>
              </w:rPr>
            </w:pPr>
            <w:r>
              <w:rPr>
                <w:rFonts w:ascii="Times New Roman"/>
                <w:sz w:val="16"/>
              </w:rPr>
              <w:t>-22,500,0</w:t>
            </w:r>
          </w:p>
          <w:p>
            <w:pPr>
              <w:pStyle w:val="TableParagraph"/>
              <w:spacing w:line="240" w:lineRule="auto" w:before="128"/>
              <w:ind w:left="295" w:right="0"/>
              <w:jc w:val="left"/>
              <w:rPr>
                <w:rFonts w:ascii="Times New Roman" w:hAnsi="Times New Roman" w:cs="Times New Roman" w:eastAsia="Times New Roman" w:hint="default"/>
                <w:sz w:val="16"/>
                <w:szCs w:val="16"/>
              </w:rPr>
            </w:pPr>
            <w:r>
              <w:rPr>
                <w:rFonts w:ascii="Times New Roman"/>
                <w:sz w:val="16"/>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0" w:right="0"/>
              <w:jc w:val="center"/>
              <w:rPr>
                <w:rFonts w:ascii="Times New Roman" w:hAnsi="Times New Roman" w:cs="Times New Roman" w:eastAsia="Times New Roman" w:hint="default"/>
                <w:sz w:val="16"/>
                <w:szCs w:val="16"/>
              </w:rPr>
            </w:pPr>
            <w:r>
              <w:rPr>
                <w:rFonts w:ascii="Times New Roman"/>
                <w:sz w:val="16"/>
              </w:rPr>
              <w:t>97,500,0</w:t>
            </w:r>
          </w:p>
          <w:p>
            <w:pPr>
              <w:pStyle w:val="TableParagraph"/>
              <w:spacing w:line="240" w:lineRule="auto" w:before="128"/>
              <w:ind w:left="269" w:right="0"/>
              <w:jc w:val="center"/>
              <w:rPr>
                <w:rFonts w:ascii="Times New Roman" w:hAnsi="Times New Roman" w:cs="Times New Roman" w:eastAsia="Times New Roman" w:hint="default"/>
                <w:sz w:val="16"/>
                <w:szCs w:val="16"/>
              </w:rPr>
            </w:pPr>
            <w:r>
              <w:rPr>
                <w:rFonts w:ascii="Times New Roman"/>
                <w:sz w:val="16"/>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5" w:right="0"/>
              <w:jc w:val="center"/>
              <w:rPr>
                <w:rFonts w:ascii="Times New Roman" w:hAnsi="Times New Roman" w:cs="Times New Roman" w:eastAsia="Times New Roman" w:hint="default"/>
                <w:sz w:val="16"/>
                <w:szCs w:val="16"/>
              </w:rPr>
            </w:pPr>
            <w:r>
              <w:rPr>
                <w:rFonts w:ascii="Times New Roman"/>
                <w:sz w:val="16"/>
              </w:rPr>
              <w:t>342,656,</w:t>
            </w:r>
          </w:p>
          <w:p>
            <w:pPr>
              <w:pStyle w:val="TableParagraph"/>
              <w:spacing w:line="240" w:lineRule="auto" w:before="128"/>
              <w:ind w:left="195" w:right="0"/>
              <w:jc w:val="center"/>
              <w:rPr>
                <w:rFonts w:ascii="Times New Roman" w:hAnsi="Times New Roman" w:cs="Times New Roman" w:eastAsia="Times New Roman" w:hint="default"/>
                <w:sz w:val="16"/>
                <w:szCs w:val="16"/>
              </w:rPr>
            </w:pPr>
            <w:r>
              <w:rPr>
                <w:rFonts w:ascii="Times New Roman"/>
                <w:sz w:val="16"/>
              </w:rPr>
              <w:t>951.04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100"/>
                <w:sz w:val="16"/>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3" w:right="0"/>
              <w:jc w:val="left"/>
              <w:rPr>
                <w:rFonts w:ascii="Times New Roman" w:hAnsi="Times New Roman" w:cs="Times New Roman" w:eastAsia="Times New Roman" w:hint="default"/>
                <w:sz w:val="16"/>
                <w:szCs w:val="16"/>
              </w:rPr>
            </w:pPr>
            <w:r>
              <w:rPr>
                <w:rFonts w:ascii="Times New Roman"/>
                <w:sz w:val="16"/>
              </w:rPr>
              <w:t>8,989,82</w:t>
            </w:r>
          </w:p>
          <w:p>
            <w:pPr>
              <w:pStyle w:val="TableParagraph"/>
              <w:spacing w:line="240" w:lineRule="auto" w:before="128"/>
              <w:ind w:left="371" w:right="0"/>
              <w:jc w:val="left"/>
              <w:rPr>
                <w:rFonts w:ascii="Times New Roman" w:hAnsi="Times New Roman" w:cs="Times New Roman" w:eastAsia="Times New Roman" w:hint="default"/>
                <w:sz w:val="16"/>
                <w:szCs w:val="16"/>
              </w:rPr>
            </w:pPr>
            <w:r>
              <w:rPr>
                <w:rFonts w:ascii="Times New Roman"/>
                <w:sz w:val="16"/>
              </w:rPr>
              <w:t>1.58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0"/>
                <w:sz w:val="16"/>
              </w:rPr>
              <w: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0" w:right="0"/>
              <w:jc w:val="center"/>
              <w:rPr>
                <w:rFonts w:ascii="Times New Roman" w:hAnsi="Times New Roman" w:cs="Times New Roman" w:eastAsia="Times New Roman" w:hint="default"/>
                <w:sz w:val="16"/>
                <w:szCs w:val="16"/>
              </w:rPr>
            </w:pPr>
            <w:r>
              <w:rPr>
                <w:rFonts w:ascii="Times New Roman"/>
                <w:sz w:val="16"/>
              </w:rPr>
              <w:t>72,777,9</w:t>
            </w:r>
          </w:p>
          <w:p>
            <w:pPr>
              <w:pStyle w:val="TableParagraph"/>
              <w:spacing w:line="240" w:lineRule="auto" w:before="128"/>
              <w:ind w:left="279" w:right="0"/>
              <w:jc w:val="center"/>
              <w:rPr>
                <w:rFonts w:ascii="Times New Roman" w:hAnsi="Times New Roman" w:cs="Times New Roman" w:eastAsia="Times New Roman" w:hint="default"/>
                <w:sz w:val="16"/>
                <w:szCs w:val="16"/>
              </w:rPr>
            </w:pPr>
            <w:r>
              <w:rPr>
                <w:rFonts w:ascii="Times New Roman"/>
                <w:sz w:val="16"/>
              </w:rPr>
              <w:t>96.08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6"/>
                <w:szCs w:val="16"/>
              </w:rPr>
            </w:pPr>
            <w:r>
              <w:rPr>
                <w:rFonts w:ascii="Times New Roman"/>
                <w:spacing w:val="-1"/>
                <w:sz w:val="16"/>
              </w:rPr>
              <w:t>6,314,621.7</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6"/>
                <w:szCs w:val="16"/>
              </w:rPr>
            </w:pPr>
            <w:r>
              <w:rPr>
                <w:rFonts w:ascii="Times New Roman"/>
                <w:spacing w:val="-2"/>
                <w:sz w:val="16"/>
              </w:rPr>
              <w:t>528,239,390</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spacing w:val="-1"/>
                <w:sz w:val="16"/>
              </w:rPr>
              <w:t>.40</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8" w:footer="979" w:top="1100" w:bottom="1160" w:left="980" w:right="1020"/>
        </w:sectPr>
      </w:pPr>
    </w:p>
    <w:p>
      <w:pPr>
        <w:pStyle w:val="BodyText"/>
        <w:spacing w:line="360" w:lineRule="auto" w:before="44"/>
        <w:ind w:right="-20"/>
        <w:jc w:val="left"/>
      </w:pPr>
      <w:r>
        <w:rPr/>
        <w:t>编制单位：天舟文化股份有限公司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80" w:left="980" w:right="1020"/>
          <w:cols w:num="2" w:equalWidth="0">
            <w:col w:w="2854" w:space="6067"/>
            <w:col w:w="98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5"/>
        <w:gridCol w:w="886"/>
        <w:gridCol w:w="886"/>
        <w:gridCol w:w="886"/>
        <w:gridCol w:w="886"/>
        <w:gridCol w:w="886"/>
        <w:gridCol w:w="888"/>
        <w:gridCol w:w="891"/>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59"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70" w:right="77"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97,500,000.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2"/>
                <w:sz w:val="16"/>
              </w:rPr>
              <w:t>342,546,882</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spacing w:val="-1"/>
                <w:sz w:val="16"/>
              </w:rPr>
              <w:t>.98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8,989,821.5</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59,970,394.</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05</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2"/>
                <w:sz w:val="16"/>
              </w:rPr>
              <w:t>509,007,098</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spacing w:val="-1"/>
                <w:sz w:val="16"/>
              </w:rPr>
              <w:t>.61</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97,500,000.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2"/>
                <w:sz w:val="16"/>
              </w:rPr>
              <w:t>342,546,882</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spacing w:val="-1"/>
                <w:sz w:val="16"/>
              </w:rPr>
              <w:t>.98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8,989,821.5</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59,970,394.</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05</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2"/>
                <w:sz w:val="16"/>
              </w:rPr>
              <w:t>509,007,098</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spacing w:val="-1"/>
                <w:sz w:val="16"/>
              </w:rPr>
              <w:t>.61</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29,250,000.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-29,250,000.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6,980,260.5</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9,380,845.0</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3</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03</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03</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100" w:bottom="1180" w:left="980" w:right="1020"/>
        </w:sectPr>
      </w:pPr>
    </w:p>
    <w:p>
      <w:pPr>
        <w:spacing w:line="240" w:lineRule="auto" w:before="8"/>
        <w:rPr>
          <w:rFonts w:ascii="宋体" w:hAnsi="宋体" w:cs="宋体" w:eastAsia="宋体" w:hint="default"/>
          <w:sz w:val="24"/>
          <w:szCs w:val="24"/>
        </w:rPr>
      </w:pPr>
      <w:r>
        <w:rPr/>
        <w:pict>
          <v:group style="position:absolute;margin-left:174.624008pt;margin-top:330.889984pt;width:48.75pt;height:56.4pt;mso-position-horizontal-relative:page;mso-position-vertical-relative:page;z-index:-686440" coordorigin="3492,6618" coordsize="975,1128">
            <v:group style="position:absolute;left:3627;top:6630;width:2;height:704" coordorigin="3627,6630" coordsize="2,704">
              <v:shape style="position:absolute;left:3627;top:6630;width:2;height:704" coordorigin="3627,6630" coordsize="0,704" path="m3627,6630l3627,7333e" filled="false" stroked="true" strokeweight="1.2pt" strokecolor="#ffffff">
                <v:path arrowok="t"/>
              </v:shape>
            </v:group>
            <v:group style="position:absolute;left:3639;top:6630;width:828;height:351" coordorigin="3639,6630" coordsize="828,351">
              <v:shape style="position:absolute;left:3639;top:6630;width:828;height:351" coordorigin="3639,6630" coordsize="828,351" path="m3639,6980l4467,6980,4467,6630,3639,6630,3639,6980xe" filled="true" fillcolor="#ffffff" stroked="false">
                <v:path arrowok="t"/>
                <v:fill type="solid"/>
              </v:shape>
            </v:group>
            <v:group style="position:absolute;left:3639;top:6980;width:828;height:353" coordorigin="3639,6980" coordsize="828,353">
              <v:shape style="position:absolute;left:3639;top:6980;width:828;height:353" coordorigin="3639,6980" coordsize="828,353" path="m3639,7333l4467,7333,4467,6980,3639,6980,3639,7333xe" filled="true" fillcolor="#ffffff" stroked="false">
                <v:path arrowok="t"/>
                <v:fill type="solid"/>
              </v:shape>
            </v:group>
            <v:group style="position:absolute;left:3627;top:7343;width:2;height:392" coordorigin="3627,7343" coordsize="2,392">
              <v:shape style="position:absolute;left:3627;top:7343;width:2;height:392" coordorigin="3627,7343" coordsize="0,392" path="m3627,7343l3627,7734e" filled="false" stroked="true" strokeweight="1.2pt" strokecolor="#ffffff">
                <v:path arrowok="t"/>
              </v:shape>
            </v:group>
            <v:group style="position:absolute;left:3639;top:7343;width:828;height:392" coordorigin="3639,7343" coordsize="828,392">
              <v:shape style="position:absolute;left:3639;top:7343;width:828;height:392" coordorigin="3639,7343" coordsize="828,392" path="m3639,7734l4467,7734,4467,7343,3639,7343,3639,7734xe" filled="true" fillcolor="#ffffff" stroked="false">
                <v:path arrowok="t"/>
                <v:fill type="solid"/>
              </v:shape>
              <v:shape style="position:absolute;left:3492;top:689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79"/>
        <w:gridCol w:w="804"/>
        <w:gridCol w:w="886"/>
        <w:gridCol w:w="886"/>
        <w:gridCol w:w="886"/>
        <w:gridCol w:w="886"/>
        <w:gridCol w:w="886"/>
        <w:gridCol w:w="888"/>
        <w:gridCol w:w="891"/>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w w:val="100"/>
                <w:sz w:val="16"/>
              </w:rPr>
              <w:t>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-17,025,584.</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50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-14,625,000.</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-2,400,584.5</w:t>
            </w:r>
          </w:p>
          <w:p>
            <w:pPr>
              <w:pStyle w:val="TableParagraph"/>
              <w:spacing w:line="240" w:lineRule="auto" w:before="128"/>
              <w:ind w:right="18"/>
              <w:jc w:val="right"/>
              <w:rPr>
                <w:rFonts w:ascii="Times New Roman" w:hAnsi="Times New Roman" w:cs="Times New Roman" w:eastAsia="Times New Roman" w:hint="default"/>
                <w:sz w:val="16"/>
                <w:szCs w:val="16"/>
              </w:rPr>
            </w:pPr>
            <w:r>
              <w:rPr>
                <w:rFonts w:ascii="Times New Roman"/>
                <w:w w:val="100"/>
                <w:sz w:val="16"/>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-14,625,000.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-14,625,000.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29,250,000.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-29,250,000.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79" w:type="dxa"/>
            <w:tcBorders>
              <w:top w:val="single" w:sz="4" w:space="0" w:color="000000"/>
              <w:left w:val="single" w:sz="4" w:space="0" w:color="000000"/>
              <w:bottom w:val="single" w:sz="4" w:space="0" w:color="000000"/>
              <w:right w:val="nil" w:sz="6" w:space="0" w:color="auto"/>
            </w:tcBorders>
          </w:tcPr>
          <w:p>
            <w:pPr/>
          </w:p>
        </w:tc>
        <w:tc>
          <w:tcPr>
            <w:tcW w:w="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29,250,000.</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-29,250,000.</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2"/>
                <w:sz w:val="16"/>
              </w:rPr>
              <w:t>126,750,000</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spacing w:val="-1"/>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2"/>
                <w:sz w:val="16"/>
              </w:rPr>
              <w:t>313,296,882</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spacing w:val="-1"/>
                <w:sz w:val="16"/>
              </w:rPr>
              <w:t>.98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6"/>
                <w:szCs w:val="16"/>
              </w:rPr>
            </w:pPr>
            <w:r>
              <w:rPr>
                <w:rFonts w:ascii="Times New Roman"/>
                <w:spacing w:val="-2"/>
                <w:sz w:val="16"/>
              </w:rPr>
              <w:t>11,390,406.</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66,950,654.</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58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518,387,943</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spacing w:val="-1"/>
                <w:sz w:val="16"/>
              </w:rPr>
              <w:t>.64</w:t>
            </w:r>
          </w:p>
        </w:tc>
      </w:tr>
    </w:tbl>
    <w:p>
      <w:pPr>
        <w:pStyle w:val="BodyText"/>
        <w:spacing w:line="240" w:lineRule="auto" w:before="49"/>
        <w:ind w:right="0"/>
        <w:jc w:val="left"/>
      </w:pPr>
      <w:r>
        <w:rPr/>
        <w:t>上年金额</w:t>
      </w:r>
    </w:p>
    <w:p>
      <w:pPr>
        <w:pStyle w:val="BodyText"/>
        <w:spacing w:line="240" w:lineRule="auto" w:before="115"/>
        <w:ind w:left="0" w:right="11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3"/>
        <w:gridCol w:w="895"/>
        <w:gridCol w:w="886"/>
        <w:gridCol w:w="886"/>
        <w:gridCol w:w="883"/>
        <w:gridCol w:w="886"/>
        <w:gridCol w:w="883"/>
        <w:gridCol w:w="883"/>
        <w:gridCol w:w="884"/>
      </w:tblGrid>
      <w:tr>
        <w:trPr>
          <w:trHeight w:val="398"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r>
      <w:tr>
        <w:trPr>
          <w:trHeight w:val="202" w:hRule="exact"/>
        </w:trPr>
        <w:tc>
          <w:tcPr>
            <w:tcW w:w="2473"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r>
      <w:tr>
        <w:trPr>
          <w:trHeight w:val="161" w:hRule="exact"/>
        </w:trPr>
        <w:tc>
          <w:tcPr>
            <w:tcW w:w="247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pacing w:val="-1"/>
                <w:sz w:val="16"/>
              </w:rPr>
              <w:t>75,000,000.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6"/>
                <w:szCs w:val="16"/>
              </w:rPr>
            </w:pPr>
            <w:r>
              <w:rPr>
                <w:rFonts w:ascii="Times New Roman"/>
                <w:spacing w:val="-2"/>
                <w:sz w:val="16"/>
              </w:rPr>
              <w:t>365,046,882</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spacing w:val="-1"/>
                <w:sz w:val="16"/>
              </w:rPr>
              <w:t>.98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6"/>
                <w:szCs w:val="16"/>
              </w:rPr>
            </w:pPr>
            <w:r>
              <w:rPr>
                <w:rFonts w:ascii="Times New Roman"/>
                <w:spacing w:val="-1"/>
                <w:sz w:val="16"/>
              </w:rPr>
              <w:t>5,694,243.2</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3</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pacing w:val="-1"/>
                <w:sz w:val="16"/>
              </w:rPr>
              <w:t>41,560,188.</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95</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6"/>
                <w:szCs w:val="16"/>
              </w:rPr>
            </w:pPr>
            <w:r>
              <w:rPr>
                <w:rFonts w:ascii="Times New Roman"/>
                <w:spacing w:val="-2"/>
                <w:sz w:val="16"/>
              </w:rPr>
              <w:t>487,301,315</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spacing w:val="-1"/>
                <w:sz w:val="16"/>
              </w:rPr>
              <w:t>.16</w:t>
            </w:r>
          </w:p>
        </w:tc>
      </w:tr>
      <w:tr>
        <w:trPr>
          <w:trHeight w:val="394"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75,000,000.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6"/>
                <w:szCs w:val="16"/>
              </w:rPr>
            </w:pPr>
            <w:r>
              <w:rPr>
                <w:rFonts w:ascii="Times New Roman"/>
                <w:spacing w:val="-2"/>
                <w:sz w:val="16"/>
              </w:rPr>
              <w:t>365,046,882</w:t>
            </w:r>
            <w:r>
              <w:rPr>
                <w:rFonts w:ascii="Times New Roman"/>
                <w:sz w:val="16"/>
              </w:rPr>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spacing w:val="-1"/>
                <w:sz w:val="16"/>
              </w:rPr>
              <w:t>.98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5,694,243.2</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3</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41,560,188.</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95</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487,301,315</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spacing w:val="-1"/>
                <w:sz w:val="16"/>
              </w:rPr>
              <w:t>.16</w:t>
            </w:r>
          </w:p>
        </w:tc>
      </w:tr>
      <w:tr>
        <w:trPr>
          <w:trHeight w:val="394"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979" w:top="1100" w:bottom="1160" w:left="980" w:right="1020"/>
        </w:sectPr>
      </w:pPr>
    </w:p>
    <w:p>
      <w:pPr>
        <w:spacing w:line="240" w:lineRule="auto" w:before="8"/>
        <w:rPr>
          <w:rFonts w:ascii="宋体" w:hAnsi="宋体" w:cs="宋体" w:eastAsia="宋体" w:hint="default"/>
          <w:sz w:val="24"/>
          <w:szCs w:val="24"/>
        </w:rPr>
      </w:pPr>
      <w:r>
        <w:rPr/>
        <w:pict>
          <v:group style="position:absolute;margin-left:175.578003pt;margin-top:478.749969pt;width:48.8pt;height:55.35pt;mso-position-horizontal-relative:page;mso-position-vertical-relative:page;z-index:-686392" coordorigin="3512,9575" coordsize="976,1107">
            <v:group style="position:absolute;left:3659;top:9575;width:828;height:353" coordorigin="3659,9575" coordsize="828,353">
              <v:shape style="position:absolute;left:3659;top:9575;width:828;height:353" coordorigin="3659,9575" coordsize="828,353" path="m3659,9928l4487,9928,4487,9575,3659,9575,3659,9928xe" filled="true" fillcolor="#ffffff" stroked="false">
                <v:path arrowok="t"/>
                <v:fill type="solid"/>
              </v:shape>
            </v:group>
            <v:group style="position:absolute;left:3659;top:9928;width:828;height:351" coordorigin="3659,9928" coordsize="828,351">
              <v:shape style="position:absolute;left:3659;top:9928;width:828;height:351" coordorigin="3659,9928" coordsize="828,351" path="m3659,10278l4487,10278,4487,9928,3659,9928,3659,10278xe" filled="true" fillcolor="#ffffff" stroked="false">
                <v:path arrowok="t"/>
                <v:fill type="solid"/>
              </v:shape>
            </v:group>
            <v:group style="position:absolute;left:3659;top:10290;width:828;height:392" coordorigin="3659,10290" coordsize="828,392">
              <v:shape style="position:absolute;left:3659;top:10290;width:828;height:392" coordorigin="3659,10290" coordsize="828,392" path="m3659,10681l4487,10681,4487,10290,3659,10290,3659,10681xe" filled="true" fillcolor="#ffffff" stroked="false">
                <v:path arrowok="t"/>
                <v:fill type="solid"/>
              </v:shape>
              <v:shape style="position:absolute;left:3512;top:983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79"/>
        <w:gridCol w:w="804"/>
        <w:gridCol w:w="886"/>
        <w:gridCol w:w="886"/>
        <w:gridCol w:w="883"/>
        <w:gridCol w:w="886"/>
        <w:gridCol w:w="883"/>
        <w:gridCol w:w="883"/>
        <w:gridCol w:w="884"/>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22,500,000.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-22,500,000.</w:t>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18,410,205.</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10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21,705,783.</w:t>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sz w:val="16"/>
              </w:rPr>
              <w:t>45</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45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5"/>
              <w:ind w:right="19"/>
              <w:jc w:val="right"/>
              <w:rPr>
                <w:rFonts w:ascii="Times New Roman" w:hAnsi="Times New Roman" w:cs="Times New Roman" w:eastAsia="Times New Roman" w:hint="default"/>
                <w:sz w:val="16"/>
                <w:szCs w:val="16"/>
              </w:rPr>
            </w:pPr>
            <w:r>
              <w:rPr>
                <w:rFonts w:ascii="Times New Roman"/>
                <w:sz w:val="16"/>
              </w:rPr>
              <w:t>45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45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5"/>
              <w:ind w:right="19"/>
              <w:jc w:val="right"/>
              <w:rPr>
                <w:rFonts w:ascii="Times New Roman" w:hAnsi="Times New Roman" w:cs="Times New Roman" w:eastAsia="Times New Roman" w:hint="default"/>
                <w:sz w:val="16"/>
                <w:szCs w:val="16"/>
              </w:rPr>
            </w:pPr>
            <w:r>
              <w:rPr>
                <w:rFonts w:ascii="Times New Roman"/>
                <w:sz w:val="16"/>
              </w:rPr>
              <w:t>45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-14,545,578.</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35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2"/>
                <w:sz w:val="16"/>
              </w:rPr>
              <w:t>-11,250,000.</w:t>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sz w:val="16"/>
              </w:rPr>
              <w:t>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5"/>
              <w:ind w:right="20"/>
              <w:jc w:val="right"/>
              <w:rPr>
                <w:rFonts w:ascii="Times New Roman" w:hAnsi="Times New Roman" w:cs="Times New Roman" w:eastAsia="Times New Roman" w:hint="default"/>
                <w:sz w:val="16"/>
                <w:szCs w:val="16"/>
              </w:rPr>
            </w:pPr>
            <w:r>
              <w:rPr>
                <w:rFonts w:ascii="Times New Roman"/>
                <w:w w:val="100"/>
                <w:sz w:val="16"/>
              </w:rPr>
              <w:t>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6"/>
                <w:szCs w:val="16"/>
              </w:rPr>
            </w:pPr>
            <w:r>
              <w:rPr>
                <w:rFonts w:ascii="Times New Roman"/>
                <w:spacing w:val="-1"/>
                <w:sz w:val="16"/>
              </w:rPr>
              <w:t>-3,295,578.3</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w w:val="100"/>
                <w:sz w:val="16"/>
              </w:rPr>
              <w:t>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2"/>
                <w:sz w:val="16"/>
              </w:rPr>
              <w:t>-11,250,000.</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6"/>
                <w:szCs w:val="16"/>
              </w:rPr>
            </w:pPr>
            <w:r>
              <w:rPr>
                <w:rFonts w:ascii="Times New Roman"/>
                <w:spacing w:val="-2"/>
                <w:sz w:val="16"/>
              </w:rPr>
              <w:t>-11,250,000.</w:t>
            </w:r>
          </w:p>
          <w:p>
            <w:pPr>
              <w:pStyle w:val="TableParagraph"/>
              <w:spacing w:line="240" w:lineRule="auto" w:before="125"/>
              <w:ind w:right="19"/>
              <w:jc w:val="right"/>
              <w:rPr>
                <w:rFonts w:ascii="Times New Roman" w:hAnsi="Times New Roman" w:cs="Times New Roman" w:eastAsia="Times New Roman" w:hint="default"/>
                <w:sz w:val="16"/>
                <w:szCs w:val="16"/>
              </w:rPr>
            </w:pPr>
            <w:r>
              <w:rPr>
                <w:rFonts w:ascii="Times New Roman"/>
                <w:sz w:val="16"/>
              </w:rPr>
              <w:t>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6"/>
                <w:szCs w:val="16"/>
              </w:rPr>
            </w:pPr>
            <w:r>
              <w:rPr>
                <w:rFonts w:ascii="Times New Roman"/>
                <w:spacing w:val="-1"/>
                <w:sz w:val="16"/>
              </w:rPr>
              <w:t>22,500,000.</w:t>
            </w:r>
          </w:p>
          <w:p>
            <w:pPr>
              <w:pStyle w:val="TableParagraph"/>
              <w:spacing w:line="240" w:lineRule="auto" w:before="125"/>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6"/>
                <w:szCs w:val="16"/>
              </w:rPr>
            </w:pPr>
            <w:r>
              <w:rPr>
                <w:rFonts w:ascii="Times New Roman"/>
                <w:spacing w:val="-1"/>
                <w:sz w:val="16"/>
              </w:rPr>
              <w:t>-22,500,000.</w:t>
            </w:r>
          </w:p>
          <w:p>
            <w:pPr>
              <w:pStyle w:val="TableParagraph"/>
              <w:spacing w:line="240" w:lineRule="auto" w:before="125"/>
              <w:ind w:right="19"/>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3" w:hRule="exact"/>
        </w:trPr>
        <w:tc>
          <w:tcPr>
            <w:tcW w:w="249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79" w:type="dxa"/>
            <w:tcBorders>
              <w:top w:val="single" w:sz="4" w:space="0" w:color="000000"/>
              <w:left w:val="single" w:sz="10" w:space="0" w:color="FFFFFF"/>
              <w:bottom w:val="single" w:sz="4" w:space="0" w:color="000000"/>
              <w:right w:val="nil" w:sz="6" w:space="0" w:color="auto"/>
            </w:tcBorders>
          </w:tcPr>
          <w:p>
            <w:pPr/>
          </w:p>
        </w:tc>
        <w:tc>
          <w:tcPr>
            <w:tcW w:w="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22,500,000.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-22,500,000.</w:t>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9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gridSpan w:val="2"/>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97,500,000.</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342,546,882</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spacing w:val="-1"/>
                <w:sz w:val="16"/>
              </w:rPr>
              <w:t>.98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8,989,821.5</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w w:val="100"/>
                <w:sz w:val="16"/>
              </w:rPr>
              <w:t>8</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59,970,394.</w:t>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509,007,098</w:t>
            </w:r>
          </w:p>
          <w:p>
            <w:pPr>
              <w:pStyle w:val="TableParagraph"/>
              <w:spacing w:line="240" w:lineRule="auto" w:before="128"/>
              <w:ind w:right="20"/>
              <w:jc w:val="right"/>
              <w:rPr>
                <w:rFonts w:ascii="Times New Roman" w:hAnsi="Times New Roman" w:cs="Times New Roman" w:eastAsia="Times New Roman" w:hint="default"/>
                <w:sz w:val="16"/>
                <w:szCs w:val="16"/>
              </w:rPr>
            </w:pPr>
            <w:r>
              <w:rPr>
                <w:rFonts w:ascii="Times New Roman"/>
                <w:spacing w:val="-1"/>
                <w:sz w:val="16"/>
              </w:rPr>
              <w:t>.61</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法定代表人：肖志鸿</w:t>
        <w:tab/>
      </w:r>
      <w:r>
        <w:rPr>
          <w:spacing w:val="-1"/>
        </w:rPr>
        <w:t>主管会计工作负责人：陈四清</w:t>
        <w:tab/>
      </w:r>
      <w:r>
        <w:rPr/>
        <w:t>会计机构负责人：周艳</w:t>
      </w:r>
    </w:p>
    <w:p>
      <w:pPr>
        <w:spacing w:after="0" w:line="240" w:lineRule="auto"/>
        <w:jc w:val="left"/>
        <w:sectPr>
          <w:pgSz w:w="11910" w:h="16840"/>
          <w:pgMar w:header="918" w:footer="979" w:top="1100" w:bottom="1160" w:left="980" w:right="1020"/>
        </w:sectPr>
      </w:pPr>
    </w:p>
    <w:p>
      <w:pPr>
        <w:spacing w:line="240" w:lineRule="auto" w:before="9"/>
        <w:rPr>
          <w:rFonts w:ascii="宋体" w:hAnsi="宋体" w:cs="宋体" w:eastAsia="宋体" w:hint="default"/>
          <w:sz w:val="19"/>
          <w:szCs w:val="19"/>
        </w:rPr>
      </w:pPr>
    </w:p>
    <w:p>
      <w:pPr>
        <w:pStyle w:val="Heading3"/>
        <w:spacing w:line="240" w:lineRule="auto" w:before="26"/>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、历史沿革</w:t>
      </w:r>
      <w:r>
        <w:rPr>
          <w:b w:val="0"/>
          <w:bCs w:val="0"/>
        </w:rPr>
      </w:r>
    </w:p>
    <w:p>
      <w:pPr>
        <w:spacing w:line="240" w:lineRule="auto" w:before="6"/>
        <w:rPr>
          <w:rFonts w:ascii="宋体" w:hAnsi="宋体" w:cs="宋体" w:eastAsia="宋体" w:hint="default"/>
          <w:b/>
          <w:bCs/>
          <w:sz w:val="31"/>
          <w:szCs w:val="31"/>
        </w:rPr>
      </w:pPr>
    </w:p>
    <w:p>
      <w:pPr>
        <w:pStyle w:val="BodyText"/>
        <w:spacing w:line="367" w:lineRule="auto"/>
        <w:ind w:right="97" w:firstLine="360"/>
        <w:jc w:val="left"/>
      </w:pPr>
      <w:r>
        <w:rPr/>
        <w:t>天舟文化股份有限公</w:t>
      </w:r>
      <w:r>
        <w:rPr>
          <w:spacing w:val="-1"/>
        </w:rPr>
        <w:t>司</w:t>
      </w:r>
      <w:r>
        <w:rPr/>
        <w:t>（以</w:t>
      </w:r>
      <w:r>
        <w:rPr>
          <w:spacing w:val="2"/>
        </w:rPr>
        <w:t>下</w:t>
      </w:r>
      <w:r>
        <w:rPr/>
        <w:t>简称“公司”或“本公司</w:t>
      </w:r>
      <w:r>
        <w:rPr>
          <w:spacing w:val="-89"/>
        </w:rPr>
        <w:t>”</w:t>
      </w:r>
      <w:r>
        <w:rPr/>
        <w:t>）原名湖南天舟科教文化股份有</w:t>
      </w:r>
      <w:r>
        <w:rPr>
          <w:spacing w:val="2"/>
        </w:rPr>
        <w:t>限</w:t>
      </w:r>
      <w:r>
        <w:rPr/>
        <w:t>公司，是由原湖南天舟科教</w:t>
      </w:r>
      <w:r>
        <w:rPr/>
        <w:t> 文化拓展有限公司整体变更的股份有限公司</w:t>
      </w:r>
      <w:r>
        <w:rPr>
          <w:spacing w:val="-82"/>
        </w:rPr>
        <w:t>。</w:t>
      </w:r>
      <w:r>
        <w:rPr/>
        <w:t>湖南天舟科教文化拓展有限公司于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3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日在湖南省工商行政管</w:t>
      </w:r>
      <w:r>
        <w:rPr>
          <w:spacing w:val="-3"/>
        </w:rPr>
        <w:t>理</w:t>
      </w:r>
      <w:r>
        <w:rPr/>
        <w:t>局</w:t>
      </w:r>
    </w:p>
    <w:p>
      <w:pPr>
        <w:pStyle w:val="BodyText"/>
        <w:spacing w:line="240" w:lineRule="auto" w:before="5"/>
        <w:ind w:right="0"/>
        <w:jc w:val="both"/>
        <w:rPr>
          <w:rFonts w:ascii="Times New Roman" w:hAnsi="Times New Roman" w:cs="Times New Roman" w:eastAsia="Times New Roman" w:hint="default"/>
        </w:rPr>
      </w:pPr>
      <w:r>
        <w:rPr/>
        <w:t>登记成立，公司成立时注册资本人民币</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万元，其中湖南天鸿投资有限公司出资</w:t>
      </w:r>
      <w:r>
        <w:rPr>
          <w:spacing w:val="-53"/>
        </w:rPr>
        <w:t> </w:t>
      </w:r>
      <w:r>
        <w:rPr>
          <w:rFonts w:ascii="Times New Roman" w:hAnsi="Times New Roman" w:cs="Times New Roman" w:eastAsia="Times New Roman" w:hint="default"/>
        </w:rPr>
        <w:t>195</w:t>
      </w:r>
      <w:r>
        <w:rPr>
          <w:rFonts w:ascii="Times New Roman" w:hAnsi="Times New Roman" w:cs="Times New Roman" w:eastAsia="Times New Roman" w:hint="default"/>
          <w:spacing w:val="-7"/>
        </w:rPr>
        <w:t> </w:t>
      </w:r>
      <w:r>
        <w:rPr/>
        <w:t>万元，湖南教育出版社工会出资</w:t>
      </w:r>
      <w:r>
        <w:rPr>
          <w:spacing w:val="-53"/>
        </w:rPr>
        <w:t> </w:t>
      </w:r>
      <w:r>
        <w:rPr>
          <w:rFonts w:ascii="Times New Roman" w:hAnsi="Times New Roman" w:cs="Times New Roman" w:eastAsia="Times New Roman" w:hint="default"/>
        </w:rPr>
        <w:t>105</w:t>
      </w:r>
    </w:p>
    <w:p>
      <w:pPr>
        <w:pStyle w:val="BodyText"/>
        <w:spacing w:line="240" w:lineRule="auto" w:before="111"/>
        <w:ind w:right="0"/>
        <w:jc w:val="both"/>
      </w:pPr>
      <w:r>
        <w:rPr/>
        <w:t>万元，成立时企业法人营业执照注册号为</w:t>
      </w:r>
      <w:r>
        <w:rPr>
          <w:spacing w:val="-48"/>
        </w:rPr>
        <w:t> </w:t>
      </w:r>
      <w:r>
        <w:rPr>
          <w:rFonts w:ascii="Times New Roman" w:hAnsi="Times New Roman" w:cs="Times New Roman" w:eastAsia="Times New Roman" w:hint="default"/>
        </w:rPr>
        <w:t>4300002004810</w:t>
      </w:r>
      <w:r>
        <w:rPr/>
        <w:t>。</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月，公司增资</w:t>
      </w:r>
      <w:r>
        <w:rPr>
          <w:spacing w:val="-48"/>
        </w:rPr>
        <w:t> </w:t>
      </w:r>
      <w:r>
        <w:rPr>
          <w:rFonts w:ascii="Times New Roman" w:hAnsi="Times New Roman" w:cs="Times New Roman" w:eastAsia="Times New Roman" w:hint="default"/>
        </w:rPr>
        <w:t>4,700</w:t>
      </w:r>
      <w:r>
        <w:rPr>
          <w:rFonts w:ascii="Times New Roman" w:hAnsi="Times New Roman" w:cs="Times New Roman" w:eastAsia="Times New Roman" w:hint="default"/>
          <w:spacing w:val="-2"/>
        </w:rPr>
        <w:t> </w:t>
      </w:r>
      <w:r>
        <w:rPr/>
        <w:t>万元，增资后注册资本变更为人民币</w:t>
      </w:r>
      <w:r>
        <w:rPr>
          <w:spacing w:val="-4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21 </w:t>
      </w:r>
      <w:r>
        <w:rPr/>
        <w:t>日，湖南天舟科教文化拓展有限公司以</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30 </w:t>
      </w:r>
      <w:r>
        <w:rPr/>
        <w:t>日经审计后的净资产</w:t>
      </w:r>
      <w:r>
        <w:rPr>
          <w:spacing w:val="-45"/>
        </w:rPr>
        <w:t> </w:t>
      </w:r>
      <w:r>
        <w:rPr>
          <w:rFonts w:ascii="Times New Roman" w:hAnsi="Times New Roman" w:cs="Times New Roman" w:eastAsia="Times New Roman" w:hint="default"/>
        </w:rPr>
        <w:t>53,357,644.43</w:t>
      </w:r>
      <w:r>
        <w:rPr>
          <w:rFonts w:ascii="Times New Roman" w:hAnsi="Times New Roman" w:cs="Times New Roman" w:eastAsia="Times New Roman" w:hint="default"/>
          <w:spacing w:val="2"/>
        </w:rPr>
        <w:t> </w:t>
      </w:r>
      <w:r>
        <w:rPr/>
        <w:t>元按净资产</w:t>
      </w:r>
    </w:p>
    <w:p>
      <w:pPr>
        <w:pStyle w:val="BodyText"/>
        <w:spacing w:line="240" w:lineRule="auto" w:before="111"/>
        <w:ind w:right="0"/>
        <w:jc w:val="both"/>
      </w:pPr>
      <w:r>
        <w:rPr>
          <w:rFonts w:ascii="Times New Roman" w:hAnsi="Times New Roman" w:cs="Times New Roman" w:eastAsia="Times New Roman" w:hint="default"/>
        </w:rPr>
        <w:t>1.067</w:t>
      </w:r>
      <w:r>
        <w:rPr/>
        <w:t>：</w:t>
      </w:r>
      <w:r>
        <w:rPr>
          <w:rFonts w:ascii="Times New Roman" w:hAnsi="Times New Roman" w:cs="Times New Roman" w:eastAsia="Times New Roman" w:hint="default"/>
        </w:rPr>
        <w:t>1 </w:t>
      </w:r>
      <w:r>
        <w:rPr/>
        <w:t>折股，整体变更为湖南天舟科教文化股份有限公司。整体变更后，公司股本为</w:t>
      </w:r>
      <w:r>
        <w:rPr>
          <w:spacing w:val="-45"/>
        </w:rPr>
        <w:t> </w:t>
      </w:r>
      <w:r>
        <w:rPr>
          <w:rFonts w:ascii="Times New Roman" w:hAnsi="Times New Roman" w:cs="Times New Roman" w:eastAsia="Times New Roman" w:hint="default"/>
        </w:rPr>
        <w:t>5,000 </w:t>
      </w:r>
      <w:r>
        <w:rPr/>
        <w:t>万元，计</w:t>
      </w:r>
      <w:r>
        <w:rPr>
          <w:spacing w:val="-46"/>
        </w:rPr>
        <w:t> </w:t>
      </w:r>
      <w:r>
        <w:rPr>
          <w:rFonts w:ascii="Times New Roman" w:hAnsi="Times New Roman" w:cs="Times New Roman" w:eastAsia="Times New Roman" w:hint="default"/>
        </w:rPr>
        <w:t>5,000 </w:t>
      </w:r>
      <w:r>
        <w:rPr/>
        <w:t>万股，其中湖</w:t>
      </w:r>
    </w:p>
    <w:p>
      <w:pPr>
        <w:pStyle w:val="BodyText"/>
        <w:spacing w:line="240" w:lineRule="auto" w:before="111"/>
        <w:ind w:right="0"/>
        <w:jc w:val="both"/>
      </w:pPr>
      <w:r>
        <w:rPr>
          <w:spacing w:val="2"/>
        </w:rPr>
        <w:t>南天鸿投资集团有限公司出资 </w:t>
      </w:r>
      <w:r>
        <w:rPr>
          <w:rFonts w:ascii="Times New Roman" w:hAnsi="Times New Roman" w:cs="Times New Roman" w:eastAsia="Times New Roman" w:hint="default"/>
        </w:rPr>
        <w:t>4,898  </w:t>
      </w:r>
      <w:r>
        <w:rPr/>
        <w:t>万元，</w:t>
      </w:r>
      <w:r>
        <w:rPr>
          <w:rFonts w:ascii="Times New Roman" w:hAnsi="Times New Roman" w:cs="Times New Roman" w:eastAsia="Times New Roman" w:hint="default"/>
        </w:rPr>
        <w:t>102  </w:t>
      </w:r>
      <w:r>
        <w:rPr/>
        <w:t>名自然人股东出资 </w:t>
      </w:r>
      <w:r>
        <w:rPr>
          <w:rFonts w:ascii="Times New Roman" w:hAnsi="Times New Roman" w:cs="Times New Roman" w:eastAsia="Times New Roman" w:hint="default"/>
        </w:rPr>
        <w:t>102  </w:t>
      </w:r>
      <w:r>
        <w:rPr>
          <w:rFonts w:ascii="Times New Roman" w:hAnsi="Times New Roman" w:cs="Times New Roman" w:eastAsia="Times New Roman" w:hint="default"/>
          <w:spacing w:val="8"/>
        </w:rPr>
        <w:t> </w:t>
      </w:r>
      <w:r>
        <w:rPr>
          <w:spacing w:val="2"/>
        </w:rPr>
        <w:t>万元。整体变更后的企业法人营业执照注册号为</w:t>
      </w:r>
    </w:p>
    <w:p>
      <w:pPr>
        <w:pStyle w:val="BodyText"/>
        <w:spacing w:line="240" w:lineRule="auto" w:before="111"/>
        <w:ind w:right="0"/>
        <w:jc w:val="both"/>
      </w:pPr>
      <w:r>
        <w:rPr>
          <w:rFonts w:ascii="Times New Roman" w:hAnsi="Times New Roman" w:cs="Times New Roman" w:eastAsia="Times New Roman" w:hint="default"/>
        </w:rPr>
        <w:t>430121000002025</w:t>
      </w:r>
      <w:r>
        <w:rPr/>
        <w:t>。</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月，公司增资</w:t>
      </w:r>
      <w:r>
        <w:rPr>
          <w:spacing w:val="-48"/>
        </w:rPr>
        <w:t> </w:t>
      </w:r>
      <w:r>
        <w:rPr>
          <w:rFonts w:ascii="Times New Roman" w:hAnsi="Times New Roman" w:cs="Times New Roman" w:eastAsia="Times New Roman" w:hint="default"/>
        </w:rPr>
        <w:t>600 </w:t>
      </w:r>
      <w:r>
        <w:rPr/>
        <w:t>万元，增资后公司股本增加至</w:t>
      </w:r>
      <w:r>
        <w:rPr>
          <w:spacing w:val="-46"/>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日，公司经中国证监会《证监许可</w:t>
      </w:r>
      <w:r>
        <w:rPr>
          <w:rFonts w:ascii="Times New Roman" w:hAnsi="Times New Roman" w:cs="Times New Roman" w:eastAsia="Times New Roman" w:hint="default"/>
        </w:rPr>
        <w:t>[2010]1697</w:t>
      </w:r>
      <w:r>
        <w:rPr>
          <w:rFonts w:ascii="Times New Roman" w:hAnsi="Times New Roman" w:cs="Times New Roman" w:eastAsia="Times New Roman" w:hint="default"/>
          <w:spacing w:val="-7"/>
        </w:rPr>
        <w:t> </w:t>
      </w:r>
      <w:r>
        <w:rPr/>
        <w:t>号》文批准，向社会公开发行社会公众股</w:t>
      </w:r>
      <w:r>
        <w:rPr>
          <w:spacing w:val="-52"/>
        </w:rPr>
        <w:t> </w:t>
      </w:r>
      <w:r>
        <w:rPr>
          <w:rFonts w:ascii="Times New Roman" w:hAnsi="Times New Roman" w:cs="Times New Roman" w:eastAsia="Times New Roman" w:hint="default"/>
        </w:rPr>
        <w:t>1,900</w:t>
      </w:r>
      <w:r>
        <w:rPr>
          <w:rFonts w:ascii="Times New Roman" w:hAnsi="Times New Roman" w:cs="Times New Roman" w:eastAsia="Times New Roman" w:hint="default"/>
          <w:spacing w:val="-7"/>
        </w:rPr>
        <w:t> </w:t>
      </w:r>
      <w:r>
        <w:rPr>
          <w:spacing w:val="-4"/>
        </w:rPr>
        <w:t>万股；经</w:t>
      </w:r>
    </w:p>
    <w:p>
      <w:pPr>
        <w:pStyle w:val="BodyText"/>
        <w:spacing w:line="345" w:lineRule="auto" w:before="111"/>
        <w:ind w:right="0"/>
        <w:jc w:val="left"/>
      </w:pPr>
      <w:r>
        <w:rPr/>
        <w:t>深圳证券交易所《深证上</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rFonts w:ascii="Times New Roman" w:hAnsi="Times New Roman" w:cs="Times New Roman" w:eastAsia="Times New Roman" w:hint="default"/>
        </w:rPr>
        <w:t>412</w:t>
      </w:r>
      <w:r>
        <w:rPr>
          <w:rFonts w:ascii="Times New Roman" w:hAnsi="Times New Roman" w:cs="Times New Roman" w:eastAsia="Times New Roman" w:hint="default"/>
          <w:spacing w:val="-2"/>
        </w:rPr>
        <w:t> </w:t>
      </w:r>
      <w:r>
        <w:rPr>
          <w:spacing w:val="-5"/>
        </w:rPr>
        <w:t>号》文同意，于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日在深交所创业板上市交易。公司股本增加至</w:t>
      </w:r>
      <w:r>
        <w:rPr>
          <w:spacing w:val="-50"/>
        </w:rPr>
        <w:t> </w:t>
      </w:r>
      <w:r>
        <w:rPr>
          <w:rFonts w:ascii="Times New Roman" w:hAnsi="Times New Roman" w:cs="Times New Roman" w:eastAsia="Times New Roman" w:hint="default"/>
        </w:rPr>
        <w:t>7,500</w:t>
      </w:r>
      <w:r>
        <w:rPr>
          <w:rFonts w:ascii="Times New Roman" w:hAnsi="Times New Roman" w:cs="Times New Roman" w:eastAsia="Times New Roman" w:hint="default"/>
          <w:spacing w:val="-6"/>
        </w:rPr>
        <w:t> </w:t>
      </w:r>
      <w:r>
        <w:rPr/>
        <w:t>万 元，其中湖南天鸿投资集团有限公司出资</w:t>
      </w:r>
      <w:r>
        <w:rPr>
          <w:spacing w:val="-46"/>
        </w:rPr>
        <w:t> </w:t>
      </w:r>
      <w:r>
        <w:rPr>
          <w:rFonts w:ascii="Times New Roman" w:hAnsi="Times New Roman" w:cs="Times New Roman" w:eastAsia="Times New Roman" w:hint="default"/>
        </w:rPr>
        <w:t>4,888 </w:t>
      </w:r>
      <w:r>
        <w:rPr/>
        <w:t>万元，占总股本的</w:t>
      </w:r>
      <w:r>
        <w:rPr>
          <w:spacing w:val="-47"/>
        </w:rPr>
        <w:t> </w:t>
      </w:r>
      <w:r>
        <w:rPr>
          <w:rFonts w:ascii="Times New Roman" w:hAnsi="Times New Roman" w:cs="Times New Roman" w:eastAsia="Times New Roman" w:hint="default"/>
        </w:rPr>
        <w:t>65.17%</w:t>
      </w:r>
      <w:r>
        <w:rPr/>
        <w:t>。</w:t>
      </w:r>
    </w:p>
    <w:p>
      <w:pPr>
        <w:spacing w:line="240" w:lineRule="auto" w:before="9"/>
        <w:rPr>
          <w:rFonts w:ascii="宋体" w:hAnsi="宋体" w:cs="宋体" w:eastAsia="宋体" w:hint="default"/>
          <w:sz w:val="13"/>
          <w:szCs w:val="13"/>
        </w:rPr>
      </w:pPr>
    </w:p>
    <w:p>
      <w:pPr>
        <w:pStyle w:val="BodyText"/>
        <w:spacing w:line="345" w:lineRule="auto"/>
        <w:ind w:right="0"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2010</w:t>
      </w:r>
      <w:r>
        <w:rPr/>
        <w:t>年度股东大会决议，以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7,500</w:t>
      </w:r>
      <w:r>
        <w:rPr/>
        <w:t>万股为基数，按每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股的比例， 以资本公积转增股份</w:t>
      </w:r>
      <w:r>
        <w:rPr>
          <w:rFonts w:ascii="Times New Roman" w:hAnsi="Times New Roman" w:cs="Times New Roman" w:eastAsia="Times New Roman" w:hint="default"/>
        </w:rPr>
        <w:t>2,250</w:t>
      </w:r>
      <w:r>
        <w:rPr/>
        <w:t>万股，公司股本增加至</w:t>
      </w:r>
      <w:r>
        <w:rPr>
          <w:rFonts w:ascii="Times New Roman" w:hAnsi="Times New Roman" w:cs="Times New Roman" w:eastAsia="Times New Roman" w:hint="default"/>
        </w:rPr>
        <w:t>9,750</w:t>
      </w:r>
      <w:r>
        <w:rPr/>
        <w:t>万元。</w:t>
      </w:r>
    </w:p>
    <w:p>
      <w:pPr>
        <w:spacing w:line="240" w:lineRule="auto" w:before="9"/>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日，公司名称变更为天舟文化股份有限公司。</w:t>
      </w:r>
    </w:p>
    <w:p>
      <w:pPr>
        <w:spacing w:line="240" w:lineRule="auto" w:before="5"/>
        <w:rPr>
          <w:rFonts w:ascii="宋体" w:hAnsi="宋体" w:cs="宋体" w:eastAsia="宋体" w:hint="default"/>
          <w:sz w:val="20"/>
          <w:szCs w:val="20"/>
        </w:rPr>
      </w:pPr>
    </w:p>
    <w:p>
      <w:pPr>
        <w:pStyle w:val="BodyText"/>
        <w:spacing w:line="345" w:lineRule="auto"/>
        <w:ind w:right="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2011</w:t>
      </w:r>
      <w:r>
        <w:rPr/>
        <w:t>年度股东大会决议，以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9,750</w:t>
      </w:r>
      <w:r>
        <w:rPr/>
        <w:t>万股为基数，按每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股的比例， 以资本公积转增股份</w:t>
      </w:r>
      <w:r>
        <w:rPr>
          <w:rFonts w:ascii="Times New Roman" w:hAnsi="Times New Roman" w:cs="Times New Roman" w:eastAsia="Times New Roman" w:hint="default"/>
        </w:rPr>
        <w:t>2,925</w:t>
      </w:r>
      <w:r>
        <w:rPr/>
        <w:t>万股，公司股本增加至</w:t>
      </w:r>
      <w:r>
        <w:rPr>
          <w:rFonts w:ascii="Times New Roman" w:hAnsi="Times New Roman" w:cs="Times New Roman" w:eastAsia="Times New Roman" w:hint="default"/>
        </w:rPr>
        <w:t>12,675</w:t>
      </w:r>
      <w:r>
        <w:rPr/>
        <w:t>万元。</w:t>
      </w:r>
    </w:p>
    <w:p>
      <w:pPr>
        <w:spacing w:line="240" w:lineRule="auto" w:before="10"/>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2</w:t>
      </w:r>
      <w:r>
        <w:rPr/>
        <w:t>、公司住所及经营范围</w:t>
      </w:r>
      <w:r>
        <w:rPr>
          <w:b w:val="0"/>
          <w:bCs w:val="0"/>
        </w:rPr>
      </w:r>
    </w:p>
    <w:p>
      <w:pPr>
        <w:pStyle w:val="BodyText"/>
        <w:spacing w:line="510" w:lineRule="atLeast" w:before="153"/>
        <w:ind w:left="513" w:right="100"/>
        <w:jc w:val="left"/>
      </w:pPr>
      <w:r>
        <w:rPr/>
        <w:t>公司住所：长沙县星沙镇茶叶大市场办公楼</w:t>
      </w:r>
      <w:r>
        <w:rPr>
          <w:spacing w:val="-44"/>
        </w:rPr>
        <w:t> </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602</w:t>
      </w:r>
      <w:r>
        <w:rPr>
          <w:rFonts w:ascii="Times New Roman" w:hAnsi="Times New Roman" w:cs="Times New Roman" w:eastAsia="Times New Roman" w:hint="default"/>
          <w:spacing w:val="2"/>
        </w:rPr>
        <w:t> </w:t>
      </w:r>
      <w:r>
        <w:rPr/>
        <w:t>号。 公司经营范围：图书、报纸、期刊、电子出版物总发行（出版物经营许可证有效期至</w:t>
      </w:r>
      <w:r>
        <w:rPr>
          <w:spacing w:val="-42"/>
        </w:rPr>
        <w:t> </w:t>
      </w:r>
      <w:r>
        <w:rPr>
          <w:rFonts w:ascii="Times New Roman" w:hAnsi="Times New Roman" w:cs="Times New Roman" w:eastAsia="Times New Roman" w:hint="default"/>
        </w:rPr>
        <w:t>2015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12"/>
        </w:rPr>
        <w:t>日）；文化用品、</w:t>
      </w:r>
    </w:p>
    <w:p>
      <w:pPr>
        <w:pStyle w:val="BodyText"/>
        <w:spacing w:line="367" w:lineRule="auto" w:before="111"/>
        <w:ind w:right="109"/>
        <w:jc w:val="both"/>
      </w:pPr>
      <w:r>
        <w:rPr>
          <w:spacing w:val="-2"/>
        </w:rPr>
        <w:t>办公用品、文教科研仪器、工艺品、文化艺术品的销售；电化教学仪器智能化综合布线；设计、制作、发布户外广告；文化</w:t>
      </w:r>
      <w:r>
        <w:rPr>
          <w:spacing w:val="-65"/>
        </w:rPr>
        <w:t> </w:t>
      </w:r>
      <w:r>
        <w:rPr>
          <w:spacing w:val="-65"/>
        </w:rPr>
      </w:r>
      <w:r>
        <w:rPr>
          <w:spacing w:val="-2"/>
        </w:rPr>
        <w:t>项目策划；书刊项目的设计、策划；著作权代理；教育、教学软件及信息系统的开发；教育咨询。（不含未经审批的前置许</w:t>
      </w:r>
      <w:r>
        <w:rPr>
          <w:spacing w:val="-63"/>
        </w:rPr>
        <w:t> </w:t>
      </w:r>
      <w:r>
        <w:rPr>
          <w:spacing w:val="-63"/>
        </w:rPr>
      </w:r>
      <w:r>
        <w:rPr/>
        <w:t>可项目，涉及行政许可的凭许可证经营）</w:t>
      </w:r>
    </w:p>
    <w:p>
      <w:pPr>
        <w:spacing w:after="0" w:line="367" w:lineRule="auto"/>
        <w:jc w:val="both"/>
        <w:sectPr>
          <w:pgSz w:w="11910" w:h="16840"/>
          <w:pgMar w:header="918" w:footer="979" w:top="1100" w:bottom="1160" w:left="980" w:right="1020"/>
        </w:sectPr>
      </w:pPr>
    </w:p>
    <w:p>
      <w:pPr>
        <w:spacing w:line="240" w:lineRule="auto" w:before="2"/>
        <w:rPr>
          <w:rFonts w:ascii="宋体" w:hAnsi="宋体" w:cs="宋体" w:eastAsia="宋体" w:hint="default"/>
          <w:sz w:val="22"/>
          <w:szCs w:val="22"/>
        </w:rPr>
      </w:pPr>
    </w:p>
    <w:p>
      <w:pPr>
        <w:pStyle w:val="Heading5"/>
        <w:spacing w:line="240" w:lineRule="auto" w:before="36"/>
        <w:ind w:right="109"/>
        <w:jc w:val="left"/>
        <w:rPr>
          <w:b w:val="0"/>
          <w:bCs w:val="0"/>
        </w:rPr>
      </w:pPr>
      <w:r>
        <w:rPr>
          <w:rFonts w:ascii="Times New Roman" w:hAnsi="Times New Roman" w:cs="Times New Roman" w:eastAsia="Times New Roman" w:hint="default"/>
        </w:rPr>
        <w:t>4</w:t>
      </w:r>
      <w:r>
        <w:rPr/>
        <w:t>、公司母公司及集团最终母公司：湖南天鸿投资集团有限公司</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9"/>
        <w:jc w:val="left"/>
        <w:rPr>
          <w:b w:val="0"/>
          <w:bCs w:val="0"/>
        </w:rPr>
      </w:pPr>
      <w:r>
        <w:rPr>
          <w:rFonts w:ascii="Times New Roman" w:hAnsi="Times New Roman" w:cs="Times New Roman" w:eastAsia="Times New Roman" w:hint="default"/>
        </w:rPr>
        <w:t>5</w:t>
      </w:r>
      <w:r>
        <w:rPr/>
        <w:t>、财务报表报出</w:t>
      </w:r>
      <w:r>
        <w:rPr>
          <w:b w:val="0"/>
          <w:bCs w:val="0"/>
        </w:rPr>
      </w:r>
    </w:p>
    <w:p>
      <w:pPr>
        <w:spacing w:line="240" w:lineRule="auto" w:before="8"/>
        <w:rPr>
          <w:rFonts w:ascii="宋体" w:hAnsi="宋体" w:cs="宋体" w:eastAsia="宋体" w:hint="default"/>
          <w:b/>
          <w:bCs/>
          <w:sz w:val="31"/>
          <w:szCs w:val="31"/>
        </w:rPr>
      </w:pPr>
    </w:p>
    <w:p>
      <w:pPr>
        <w:pStyle w:val="BodyText"/>
        <w:spacing w:line="525" w:lineRule="auto"/>
        <w:ind w:left="513" w:right="5899"/>
        <w:jc w:val="left"/>
      </w:pPr>
      <w:r>
        <w:rPr/>
        <w:t>本公司财务报表经公司董事会批准后报出。 本财务报表批准报出日：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Heading3"/>
        <w:spacing w:line="240" w:lineRule="auto" w:before="58"/>
        <w:ind w:right="109"/>
        <w:jc w:val="left"/>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9"/>
        <w:jc w:val="left"/>
        <w:rPr>
          <w:b w:val="0"/>
          <w:bCs w:val="0"/>
        </w:rPr>
      </w:pPr>
      <w:r>
        <w:rPr/>
        <w:t>（一）、遵循企业会计准则的声明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345" w:lineRule="auto" w:before="168"/>
        <w:ind w:right="189" w:firstLine="360"/>
        <w:jc w:val="both"/>
      </w:pPr>
      <w:r>
        <w:rPr/>
        <w:t>本公司基于下述编制基础编制的财务报表符合财政部</w:t>
      </w:r>
      <w:r>
        <w:rPr>
          <w:spacing w:val="-4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4"/>
        </w:rPr>
        <w:t>日颁布的《企业会计准则》的要求，真实完整地反</w:t>
      </w:r>
      <w:r>
        <w:rPr/>
        <w:t> 映了公司的财务状况、经营成果和现金流量等有关信息。</w:t>
      </w:r>
    </w:p>
    <w:p>
      <w:pPr>
        <w:spacing w:line="240" w:lineRule="auto" w:before="6"/>
        <w:rPr>
          <w:rFonts w:ascii="宋体" w:hAnsi="宋体" w:cs="宋体" w:eastAsia="宋体" w:hint="default"/>
          <w:sz w:val="19"/>
          <w:szCs w:val="19"/>
        </w:rPr>
      </w:pPr>
    </w:p>
    <w:p>
      <w:pPr>
        <w:pStyle w:val="Heading5"/>
        <w:spacing w:line="240" w:lineRule="auto"/>
        <w:ind w:right="109"/>
        <w:jc w:val="left"/>
        <w:rPr>
          <w:b w:val="0"/>
          <w:bCs w:val="0"/>
        </w:rPr>
      </w:pPr>
      <w:r>
        <w:rPr/>
        <w:t>（二）、财务报表的编制基础</w:t>
      </w:r>
      <w:r>
        <w:rPr>
          <w:b w:val="0"/>
          <w:bCs w:val="0"/>
        </w:rPr>
      </w:r>
    </w:p>
    <w:p>
      <w:pPr>
        <w:spacing w:line="240" w:lineRule="auto" w:before="0"/>
        <w:rPr>
          <w:rFonts w:ascii="宋体" w:hAnsi="宋体" w:cs="宋体" w:eastAsia="宋体" w:hint="default"/>
          <w:b/>
          <w:bCs/>
          <w:sz w:val="20"/>
          <w:szCs w:val="20"/>
        </w:rPr>
      </w:pPr>
    </w:p>
    <w:p>
      <w:pPr>
        <w:pStyle w:val="BodyText"/>
        <w:spacing w:line="345" w:lineRule="auto" w:before="177"/>
        <w:ind w:right="188" w:firstLine="360"/>
        <w:jc w:val="both"/>
      </w:pPr>
      <w:r>
        <w:rPr/>
        <w:t>本财务报表以公司持续经营假设为基础，根据实际发生的交易事项，按照财政部</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6"/>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日颁布的《企业会计 准则》及其应用指南的有关规定，并基于以下所述重要会计政策、会计估计进行编制。</w:t>
      </w:r>
    </w:p>
    <w:p>
      <w:pPr>
        <w:spacing w:line="240" w:lineRule="auto" w:before="5"/>
        <w:rPr>
          <w:rFonts w:ascii="宋体" w:hAnsi="宋体" w:cs="宋体" w:eastAsia="宋体" w:hint="default"/>
          <w:sz w:val="20"/>
          <w:szCs w:val="20"/>
        </w:rPr>
      </w:pPr>
    </w:p>
    <w:p>
      <w:pPr>
        <w:pStyle w:val="Heading5"/>
        <w:spacing w:line="240" w:lineRule="auto"/>
        <w:ind w:right="109"/>
        <w:jc w:val="left"/>
        <w:rPr>
          <w:b w:val="0"/>
          <w:bCs w:val="0"/>
        </w:rPr>
      </w:pPr>
      <w:r>
        <w:rPr/>
        <w:t>（三）、重要会计政策、会计估计</w:t>
      </w:r>
      <w:r>
        <w:rPr>
          <w:b w:val="0"/>
          <w:bCs w:val="0"/>
        </w:rPr>
      </w:r>
    </w:p>
    <w:p>
      <w:pPr>
        <w:spacing w:line="240" w:lineRule="auto" w:before="13"/>
        <w:rPr>
          <w:rFonts w:ascii="宋体" w:hAnsi="宋体" w:cs="宋体" w:eastAsia="宋体" w:hint="default"/>
          <w:b/>
          <w:bCs/>
          <w:sz w:val="25"/>
          <w:szCs w:val="25"/>
        </w:rPr>
      </w:pPr>
    </w:p>
    <w:p>
      <w:pPr>
        <w:pStyle w:val="Heading5"/>
        <w:spacing w:line="240" w:lineRule="auto"/>
        <w:ind w:right="109"/>
        <w:jc w:val="left"/>
        <w:rPr>
          <w:b w:val="0"/>
          <w:bCs w:val="0"/>
        </w:rPr>
      </w:pPr>
      <w:r>
        <w:rPr>
          <w:rFonts w:ascii="Times New Roman" w:hAnsi="Times New Roman" w:cs="Times New Roman" w:eastAsia="Times New Roman" w:hint="default"/>
        </w:rPr>
        <w:t>1</w:t>
      </w:r>
      <w:r>
        <w:rPr/>
        <w:t>、会计期间</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13" w:right="109"/>
        <w:jc w:val="left"/>
      </w:pPr>
      <w:r>
        <w:rPr/>
        <w:t>本公司的会计年度从公历</w:t>
      </w:r>
      <w:r>
        <w:rPr>
          <w:spacing w:val="-45"/>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日至</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w:t>
      </w:r>
    </w:p>
    <w:p>
      <w:pPr>
        <w:spacing w:line="240" w:lineRule="auto" w:before="7"/>
        <w:rPr>
          <w:rFonts w:ascii="宋体" w:hAnsi="宋体" w:cs="宋体" w:eastAsia="宋体" w:hint="default"/>
          <w:sz w:val="24"/>
          <w:szCs w:val="24"/>
        </w:rPr>
      </w:pPr>
    </w:p>
    <w:p>
      <w:pPr>
        <w:pStyle w:val="Heading5"/>
        <w:spacing w:line="240" w:lineRule="auto"/>
        <w:ind w:right="109"/>
        <w:jc w:val="left"/>
        <w:rPr>
          <w:b w:val="0"/>
          <w:bCs w:val="0"/>
        </w:rPr>
      </w:pPr>
      <w:r>
        <w:rPr>
          <w:rFonts w:ascii="Times New Roman" w:hAnsi="Times New Roman" w:cs="Times New Roman" w:eastAsia="Times New Roman" w:hint="default"/>
        </w:rPr>
        <w:t>2</w:t>
      </w:r>
      <w:r>
        <w:rPr/>
        <w:t>、记账本位币</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3" w:right="109"/>
        <w:jc w:val="left"/>
      </w:pPr>
      <w:r>
        <w:rPr/>
        <w:t>本公司采用人民币作为记账本位币。</w:t>
      </w:r>
    </w:p>
    <w:p>
      <w:pPr>
        <w:spacing w:line="240" w:lineRule="auto" w:before="7"/>
        <w:rPr>
          <w:rFonts w:ascii="宋体" w:hAnsi="宋体" w:cs="宋体" w:eastAsia="宋体" w:hint="default"/>
          <w:sz w:val="25"/>
          <w:szCs w:val="25"/>
        </w:rPr>
      </w:pPr>
    </w:p>
    <w:p>
      <w:pPr>
        <w:pStyle w:val="Heading5"/>
        <w:spacing w:line="240" w:lineRule="auto"/>
        <w:ind w:right="109"/>
        <w:jc w:val="left"/>
        <w:rPr>
          <w:b w:val="0"/>
          <w:bCs w:val="0"/>
        </w:rPr>
      </w:pPr>
      <w:r>
        <w:rPr>
          <w:rFonts w:ascii="Times New Roman" w:hAnsi="Times New Roman" w:cs="Times New Roman" w:eastAsia="Times New Roman" w:hint="default"/>
        </w:rPr>
        <w:t>3</w:t>
      </w:r>
      <w:r>
        <w:rPr/>
        <w:t>、计量属性</w:t>
      </w:r>
      <w:r>
        <w:rPr>
          <w:b w:val="0"/>
          <w:bCs w:val="0"/>
        </w:rPr>
      </w:r>
    </w:p>
    <w:p>
      <w:pPr>
        <w:spacing w:line="240" w:lineRule="auto" w:before="6"/>
        <w:rPr>
          <w:rFonts w:ascii="宋体" w:hAnsi="宋体" w:cs="宋体" w:eastAsia="宋体" w:hint="default"/>
          <w:b/>
          <w:bCs/>
          <w:sz w:val="31"/>
          <w:szCs w:val="31"/>
        </w:rPr>
      </w:pPr>
    </w:p>
    <w:p>
      <w:pPr>
        <w:pStyle w:val="BodyText"/>
        <w:spacing w:line="367" w:lineRule="auto"/>
        <w:ind w:right="193" w:firstLine="360"/>
        <w:jc w:val="both"/>
      </w:pPr>
      <w:r>
        <w:rPr>
          <w:spacing w:val="-2"/>
        </w:rPr>
        <w:t>本公司以权责发生制为记账基础，除交易性金融资产、可供出售金融资产、非同一控制下的企业合并、具有商业目的的</w:t>
      </w:r>
      <w:r>
        <w:rPr/>
        <w:t> </w:t>
      </w:r>
      <w:r>
        <w:rPr>
          <w:spacing w:val="-2"/>
        </w:rPr>
        <w:t>非货币性资产交换、债务重组、投资者投入非货币资产、交易性金融负债、衍生工具等以公允价值计量外，均以历史成本为</w:t>
      </w:r>
      <w:r>
        <w:rPr>
          <w:spacing w:val="-67"/>
        </w:rPr>
        <w:t> </w:t>
      </w:r>
      <w:r>
        <w:rPr>
          <w:spacing w:val="-67"/>
        </w:rPr>
      </w:r>
      <w:r>
        <w:rPr/>
        <w:t>计量属性。本期无计量属性发生变化的报表项目。</w:t>
      </w:r>
    </w:p>
    <w:p>
      <w:pPr>
        <w:spacing w:line="240" w:lineRule="auto" w:before="3"/>
        <w:rPr>
          <w:rFonts w:ascii="宋体" w:hAnsi="宋体" w:cs="宋体" w:eastAsia="宋体" w:hint="default"/>
          <w:sz w:val="18"/>
          <w:szCs w:val="18"/>
        </w:rPr>
      </w:pPr>
    </w:p>
    <w:p>
      <w:pPr>
        <w:pStyle w:val="Heading5"/>
        <w:spacing w:line="240" w:lineRule="auto"/>
        <w:ind w:right="109"/>
        <w:jc w:val="left"/>
        <w:rPr>
          <w:b w:val="0"/>
          <w:bCs w:val="0"/>
        </w:rPr>
      </w:pPr>
      <w:r>
        <w:rPr>
          <w:rFonts w:ascii="Times New Roman" w:hAnsi="Times New Roman" w:cs="Times New Roman" w:eastAsia="Times New Roman" w:hint="default"/>
        </w:rPr>
        <w:t>4</w:t>
      </w:r>
      <w:r>
        <w:rPr/>
        <w:t>、外币业务核算方法</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13" w:right="109"/>
        <w:jc w:val="left"/>
      </w:pPr>
      <w:r>
        <w:rPr/>
        <w:t>（</w:t>
      </w:r>
      <w:r>
        <w:rPr>
          <w:rFonts w:ascii="Times New Roman" w:hAnsi="Times New Roman" w:cs="Times New Roman" w:eastAsia="Times New Roman" w:hint="default"/>
        </w:rPr>
        <w:t>1</w:t>
      </w:r>
      <w:r>
        <w:rPr/>
        <w:t>）企业发生外币交易时，应当将外币金额折算为记账本位币金额。</w:t>
      </w:r>
    </w:p>
    <w:p>
      <w:pPr>
        <w:spacing w:line="240" w:lineRule="auto" w:before="5"/>
        <w:rPr>
          <w:rFonts w:ascii="宋体" w:hAnsi="宋体" w:cs="宋体" w:eastAsia="宋体" w:hint="default"/>
          <w:sz w:val="20"/>
          <w:szCs w:val="20"/>
        </w:rPr>
      </w:pPr>
    </w:p>
    <w:p>
      <w:pPr>
        <w:pStyle w:val="BodyText"/>
        <w:spacing w:line="345" w:lineRule="auto"/>
        <w:ind w:right="101" w:firstLine="360"/>
        <w:jc w:val="both"/>
      </w:pPr>
      <w:r>
        <w:rPr>
          <w:spacing w:val="-2"/>
        </w:rPr>
        <w:t>（</w:t>
      </w:r>
      <w:r>
        <w:rPr>
          <w:rFonts w:ascii="Times New Roman" w:hAnsi="Times New Roman" w:cs="Times New Roman" w:eastAsia="Times New Roman" w:hint="default"/>
          <w:spacing w:val="-2"/>
        </w:rPr>
        <w:t>2</w:t>
      </w:r>
      <w:r>
        <w:rPr>
          <w:spacing w:val="-2"/>
        </w:rPr>
        <w:t>）外币交易应当在初始确认时，采用交易发生时的即期汇率（即中国人民银行公布的当日人民币外汇牌价的中间价）</w:t>
      </w:r>
      <w:r>
        <w:rPr/>
        <w:t> 将外币金额折算为记账本位币金额。</w:t>
      </w:r>
    </w:p>
    <w:p>
      <w:pPr>
        <w:spacing w:after="0" w:line="345" w:lineRule="auto"/>
        <w:jc w:val="both"/>
        <w:sectPr>
          <w:headerReference w:type="default" r:id="rId46"/>
          <w:pgSz w:w="11910" w:h="16840"/>
          <w:pgMar w:header="1104" w:footer="979" w:top="1700" w:bottom="1160" w:left="980" w:right="940"/>
        </w:sectPr>
      </w:pPr>
    </w:p>
    <w:p>
      <w:pPr>
        <w:spacing w:line="240" w:lineRule="auto" w:before="2"/>
        <w:rPr>
          <w:rFonts w:ascii="宋体" w:hAnsi="宋体" w:cs="宋体" w:eastAsia="宋体" w:hint="default"/>
          <w:sz w:val="27"/>
          <w:szCs w:val="27"/>
        </w:rPr>
      </w:pPr>
    </w:p>
    <w:p>
      <w:pPr>
        <w:pStyle w:val="BodyText"/>
        <w:spacing w:line="360" w:lineRule="auto" w:before="44"/>
        <w:ind w:right="110" w:firstLine="360"/>
        <w:jc w:val="both"/>
      </w:pPr>
      <w:r>
        <w:rPr/>
        <w:t>（</w:t>
      </w:r>
      <w:r>
        <w:rPr>
          <w:rFonts w:ascii="Times New Roman" w:hAnsi="Times New Roman" w:cs="Times New Roman" w:eastAsia="Times New Roman" w:hint="default"/>
        </w:rPr>
        <w:t>3</w:t>
      </w:r>
      <w:r>
        <w:rPr/>
        <w:t>）企业在资产负债表日应对外币货币性项目采用即期汇率折算，因资产负债表日即期汇率与初始确认时的即期汇率 </w:t>
      </w:r>
      <w:r>
        <w:rPr>
          <w:spacing w:val="-2"/>
        </w:rPr>
        <w:t>不一致产生的汇兑差额，属于与购建固定资产有关的借款产生的汇兑损益，在该资产达到预定可使用状态前予以资本化，属</w:t>
      </w:r>
      <w:r>
        <w:rPr>
          <w:spacing w:val="-63"/>
        </w:rPr>
        <w:t> </w:t>
      </w:r>
      <w:r>
        <w:rPr>
          <w:spacing w:val="-63"/>
        </w:rPr>
      </w:r>
      <w:r>
        <w:rPr>
          <w:spacing w:val="-2"/>
        </w:rPr>
        <w:t>于正常生产经营期间发生的汇兑损益，则直接计入当期损益，同时调增或调减外币货币性资产和外币货币性负债的记账本位</w:t>
      </w:r>
      <w:r>
        <w:rPr>
          <w:spacing w:val="-63"/>
        </w:rPr>
        <w:t> </w:t>
      </w:r>
      <w:r>
        <w:rPr>
          <w:spacing w:val="-63"/>
        </w:rPr>
      </w:r>
      <w:r>
        <w:rPr/>
        <w:t>币金额。</w:t>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4</w:t>
      </w:r>
      <w:r>
        <w:rPr/>
        <w:t>）本公司在资产负债表日对外币非货币性项目按下列情况处理</w:t>
      </w:r>
    </w:p>
    <w:p>
      <w:pPr>
        <w:pStyle w:val="BodyText"/>
        <w:spacing w:line="510" w:lineRule="atLeast" w:before="6"/>
        <w:ind w:left="513" w:right="0"/>
        <w:jc w:val="left"/>
      </w:pPr>
      <w:r>
        <w:rPr>
          <w:rFonts w:ascii="Times New Roman" w:hAnsi="Times New Roman" w:cs="Times New Roman" w:eastAsia="Times New Roman" w:hint="default"/>
        </w:rPr>
        <w:t>A</w:t>
      </w:r>
      <w:r>
        <w:rPr/>
        <w:t>、以历史成本计量的外币非货币性项目，在资产负债表日不应改变其原记账本位币金额，不产生汇兑损益。 </w:t>
      </w:r>
      <w:r>
        <w:rPr>
          <w:rFonts w:ascii="Times New Roman" w:hAnsi="Times New Roman" w:cs="Times New Roman" w:eastAsia="Times New Roman" w:hint="default"/>
          <w:spacing w:val="-1"/>
        </w:rPr>
        <w:t>B</w:t>
      </w:r>
      <w:r>
        <w:rPr>
          <w:spacing w:val="-1"/>
        </w:rPr>
        <w:t>、以公允价值计量的外币非货币性项目，采用公允价值确定日的即期汇率折算，折算后的记账本位币金额与原记账本</w:t>
      </w:r>
    </w:p>
    <w:p>
      <w:pPr>
        <w:pStyle w:val="BodyText"/>
        <w:spacing w:line="240" w:lineRule="auto" w:before="111"/>
        <w:ind w:right="0"/>
        <w:jc w:val="left"/>
      </w:pPr>
      <w:r>
        <w:rPr/>
        <w:t>位币的金额的差额作为公允价值变动（含汇率变动）处理，计入当期损益。</w:t>
      </w:r>
    </w:p>
    <w:p>
      <w:pPr>
        <w:spacing w:line="240" w:lineRule="auto" w:before="7"/>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、现金流量表之现金及现金等价物的确定标准</w:t>
      </w:r>
      <w:r>
        <w:rPr>
          <w:b w:val="0"/>
          <w:bCs w:val="0"/>
        </w:rPr>
      </w:r>
    </w:p>
    <w:p>
      <w:pPr>
        <w:spacing w:line="240" w:lineRule="auto" w:before="9"/>
        <w:rPr>
          <w:rFonts w:ascii="宋体" w:hAnsi="宋体" w:cs="宋体" w:eastAsia="宋体" w:hint="default"/>
          <w:b/>
          <w:bCs/>
          <w:sz w:val="31"/>
          <w:szCs w:val="31"/>
        </w:rPr>
      </w:pPr>
    </w:p>
    <w:p>
      <w:pPr>
        <w:pStyle w:val="BodyText"/>
        <w:spacing w:line="367" w:lineRule="auto"/>
        <w:ind w:right="0" w:firstLine="360"/>
        <w:jc w:val="left"/>
      </w:pPr>
      <w:r>
        <w:rPr>
          <w:spacing w:val="-2"/>
        </w:rPr>
        <w:t>现金流量表的现金指企业库存现金及可以随时用于支付的存款。现金等价物指持有的期限短（一般是指从购买日起三个</w:t>
      </w:r>
      <w:r>
        <w:rPr/>
        <w:t> </w:t>
      </w:r>
      <w:r>
        <w:rPr>
          <w:spacing w:val="-3"/>
        </w:rPr>
        <w:t>月内到期）、流动性强、易于转换为已知金额现金、价值变动风险很小的投资。</w:t>
      </w:r>
    </w:p>
    <w:p>
      <w:pPr>
        <w:spacing w:line="240" w:lineRule="auto" w:before="3"/>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6</w:t>
      </w:r>
      <w:r>
        <w:rPr/>
        <w:t>、金融资产和金融负债</w:t>
      </w:r>
      <w:r>
        <w:rPr>
          <w:b w:val="0"/>
          <w:bCs w:val="0"/>
        </w:rPr>
      </w:r>
    </w:p>
    <w:p>
      <w:pPr>
        <w:pStyle w:val="BodyText"/>
        <w:spacing w:line="500" w:lineRule="atLeast" w:before="160"/>
        <w:ind w:left="513" w:right="0"/>
        <w:jc w:val="left"/>
      </w:pPr>
      <w:r>
        <w:rPr/>
        <w:t>（</w:t>
      </w:r>
      <w:r>
        <w:rPr>
          <w:rFonts w:ascii="Times New Roman" w:hAnsi="Times New Roman" w:cs="Times New Roman" w:eastAsia="Times New Roman" w:hint="default"/>
        </w:rPr>
        <w:t>1</w:t>
      </w:r>
      <w:r>
        <w:rPr/>
        <w:t>）金融资产和金融负债的分类 </w:t>
      </w:r>
      <w:r>
        <w:rPr>
          <w:spacing w:val="-2"/>
        </w:rPr>
        <w:t>公司按照取得或承担金融资产和金融负债的目的，将其划分为：以公允价值计量且其变动计入当期损益的金融资产或金</w:t>
      </w:r>
    </w:p>
    <w:p>
      <w:pPr>
        <w:pStyle w:val="BodyText"/>
        <w:spacing w:line="367" w:lineRule="auto" w:before="124"/>
        <w:ind w:right="0"/>
        <w:jc w:val="left"/>
      </w:pPr>
      <w:r>
        <w:rPr>
          <w:spacing w:val="-2"/>
        </w:rPr>
        <w:t>融负债，包括交易性金融资产或金融负债和直接指定为以公允价值计量且其变动计入当期损益的金融资产或金融负债；持有</w:t>
      </w:r>
      <w:r>
        <w:rPr>
          <w:spacing w:val="-64"/>
        </w:rPr>
        <w:t> </w:t>
      </w:r>
      <w:r>
        <w:rPr>
          <w:spacing w:val="-64"/>
        </w:rPr>
      </w:r>
      <w:r>
        <w:rPr/>
        <w:t>至到期投资；应收款项；可供出售金融资产；其它金融负债等。</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2</w:t>
      </w:r>
      <w:r>
        <w:rPr/>
        <w:t>）金融资产和金融负债的确认和计量</w:t>
      </w:r>
    </w:p>
    <w:p>
      <w:pPr>
        <w:pStyle w:val="BodyText"/>
        <w:spacing w:line="500" w:lineRule="atLeast" w:before="16"/>
        <w:ind w:left="513" w:right="0"/>
        <w:jc w:val="left"/>
      </w:pPr>
      <w:r>
        <w:rPr>
          <w:rFonts w:ascii="Times New Roman" w:hAnsi="Times New Roman" w:cs="Times New Roman" w:eastAsia="Times New Roman" w:hint="default"/>
        </w:rPr>
        <w:t>A</w:t>
      </w:r>
      <w:r>
        <w:rPr/>
        <w:t>、以公允价值计量且其变动计入当期损益的金融资产 </w:t>
      </w:r>
      <w:r>
        <w:rPr>
          <w:spacing w:val="-2"/>
        </w:rPr>
        <w:t>取得时按公允价值作为初始确认金额，相关的交易费用在发生时计入当期损益。支付的价款中包含已宣告但尚未发放的</w:t>
      </w:r>
    </w:p>
    <w:p>
      <w:pPr>
        <w:pStyle w:val="BodyText"/>
        <w:spacing w:line="525" w:lineRule="auto" w:before="124"/>
        <w:ind w:left="513" w:right="1813" w:hanging="360"/>
        <w:jc w:val="left"/>
      </w:pPr>
      <w:r>
        <w:rPr/>
        <w:t>现金股利或已到付息期但尚未领取的债券利息，单独确认为应收项目。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B</w:t>
      </w:r>
      <w:r>
        <w:rPr/>
        <w:t>、持有至到期投资</w:t>
      </w:r>
    </w:p>
    <w:p>
      <w:pPr>
        <w:pStyle w:val="BodyText"/>
        <w:spacing w:line="367" w:lineRule="auto" w:before="30"/>
        <w:ind w:right="0" w:firstLine="360"/>
        <w:jc w:val="left"/>
      </w:pPr>
      <w:r>
        <w:rPr>
          <w:spacing w:val="-2"/>
        </w:rPr>
        <w:t>取得时按公允价值和相关交易费用之和作为初始确认金额，支付的价款中包含已到付息期但尚未领取的债券利息，单独</w:t>
      </w:r>
      <w:r>
        <w:rPr/>
        <w:t> 确认为应收项目。</w:t>
      </w:r>
    </w:p>
    <w:p>
      <w:pPr>
        <w:spacing w:line="240" w:lineRule="auto" w:before="2"/>
        <w:rPr>
          <w:rFonts w:ascii="宋体" w:hAnsi="宋体" w:cs="宋体" w:eastAsia="宋体" w:hint="default"/>
          <w:sz w:val="14"/>
          <w:szCs w:val="14"/>
        </w:rPr>
      </w:pPr>
    </w:p>
    <w:p>
      <w:pPr>
        <w:pStyle w:val="BodyText"/>
        <w:spacing w:line="367" w:lineRule="auto"/>
        <w:ind w:right="0" w:firstLine="360"/>
        <w:jc w:val="left"/>
      </w:pPr>
      <w:r>
        <w:rPr>
          <w:spacing w:val="-2"/>
        </w:rPr>
        <w:t>持有期间按照摊余成本和实际利率计算确认利息收入，计入投资收益。实际利率在取得时确定，在该预期存续期间或适</w:t>
      </w:r>
      <w:r>
        <w:rPr/>
        <w:t> 用的更短期间内保持不变。</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处置时，将所取得价款与该投资账面价值之间的差额计入投资收益。</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rFonts w:ascii="Times New Roman" w:hAnsi="Times New Roman" w:cs="Times New Roman" w:eastAsia="Times New Roman" w:hint="default"/>
        </w:rPr>
        <w:t>C</w:t>
      </w:r>
      <w:r>
        <w:rPr/>
        <w:t>、应收款项</w:t>
      </w:r>
    </w:p>
    <w:p>
      <w:pPr>
        <w:spacing w:after="0" w:line="240" w:lineRule="auto"/>
        <w:jc w:val="left"/>
        <w:sectPr>
          <w:headerReference w:type="default" r:id="rId47"/>
          <w:pgSz w:w="11910" w:h="16840"/>
          <w:pgMar w:header="918" w:footer="979" w:top="1100" w:bottom="1160" w:left="980" w:right="1020"/>
        </w:sectPr>
      </w:pPr>
    </w:p>
    <w:p>
      <w:pPr>
        <w:spacing w:line="240" w:lineRule="auto" w:before="4"/>
        <w:rPr>
          <w:rFonts w:ascii="宋体" w:hAnsi="宋体" w:cs="宋体" w:eastAsia="宋体" w:hint="default"/>
          <w:sz w:val="17"/>
          <w:szCs w:val="17"/>
        </w:rPr>
      </w:pPr>
    </w:p>
    <w:p>
      <w:pPr>
        <w:pStyle w:val="BodyText"/>
        <w:spacing w:line="240" w:lineRule="auto" w:before="44"/>
        <w:ind w:left="513" w:right="0"/>
        <w:jc w:val="left"/>
      </w:pPr>
      <w:r>
        <w:rPr/>
        <w:t>收回或处置时，将取得的价款与该应收款项账面价值之间的差额计入当期损益。</w:t>
      </w:r>
    </w:p>
    <w:p>
      <w:pPr>
        <w:pStyle w:val="BodyText"/>
        <w:spacing w:line="500" w:lineRule="atLeast" w:before="29"/>
        <w:ind w:left="513" w:right="0"/>
        <w:jc w:val="left"/>
      </w:pPr>
      <w:r>
        <w:rPr>
          <w:rFonts w:ascii="Times New Roman" w:hAnsi="Times New Roman" w:cs="Times New Roman" w:eastAsia="Times New Roman" w:hint="default"/>
        </w:rPr>
        <w:t>D</w:t>
      </w:r>
      <w:r>
        <w:rPr/>
        <w:t>、可供出售金融资产 </w:t>
      </w:r>
      <w:r>
        <w:rPr>
          <w:spacing w:val="-2"/>
        </w:rPr>
        <w:t>取得时按公允价值（扣除已宣告但尚未发放的现金股利或已到付息期但尚未领取的债券利息）和相关交易费用之和作为</w:t>
      </w:r>
    </w:p>
    <w:p>
      <w:pPr>
        <w:pStyle w:val="BodyText"/>
        <w:spacing w:line="525" w:lineRule="auto" w:before="124"/>
        <w:ind w:left="513" w:right="1007" w:hanging="360"/>
        <w:jc w:val="left"/>
      </w:pPr>
      <w:r>
        <w:rPr/>
        <w:t>初始确认金额。 </w:t>
      </w:r>
      <w:r>
        <w:rPr>
          <w:spacing w:val="-2"/>
        </w:rPr>
        <w:t>持有期间将取得的利息或现金股利确认为投资收益。期末将公允价值变动计入资本公积（其它资本公积）。</w:t>
      </w:r>
    </w:p>
    <w:p>
      <w:pPr>
        <w:pStyle w:val="BodyText"/>
        <w:spacing w:line="367" w:lineRule="auto" w:before="66"/>
        <w:ind w:right="0"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spacing w:line="240" w:lineRule="auto" w:before="2"/>
        <w:rPr>
          <w:rFonts w:ascii="宋体" w:hAnsi="宋体" w:cs="宋体" w:eastAsia="宋体" w:hint="default"/>
          <w:sz w:val="14"/>
          <w:szCs w:val="14"/>
        </w:rPr>
      </w:pPr>
    </w:p>
    <w:p>
      <w:pPr>
        <w:pStyle w:val="BodyText"/>
        <w:spacing w:line="496" w:lineRule="auto"/>
        <w:ind w:left="513" w:right="2713"/>
        <w:jc w:val="left"/>
      </w:pPr>
      <w:r>
        <w:rPr>
          <w:rFonts w:ascii="Times New Roman" w:hAnsi="Times New Roman" w:cs="Times New Roman" w:eastAsia="Times New Roman" w:hint="default"/>
        </w:rPr>
        <w:t>E</w:t>
      </w:r>
      <w:r>
        <w:rPr/>
        <w:t>、其它金融负债 按其公允价值和相关交易费用之和作为初始确认金额。采用摊余成本进行后续计量。</w:t>
      </w:r>
    </w:p>
    <w:p>
      <w:pPr>
        <w:pStyle w:val="BodyText"/>
        <w:spacing w:line="240" w:lineRule="auto" w:before="88"/>
        <w:ind w:left="513" w:right="0"/>
        <w:jc w:val="left"/>
      </w:pPr>
      <w:r>
        <w:rPr/>
        <w:t>（</w:t>
      </w:r>
      <w:r>
        <w:rPr>
          <w:rFonts w:ascii="Times New Roman" w:hAnsi="Times New Roman" w:cs="Times New Roman" w:eastAsia="Times New Roman" w:hint="default"/>
        </w:rPr>
        <w:t>3</w:t>
      </w:r>
      <w:r>
        <w:rPr/>
        <w:t>）金融资产和金融负债的终止确认条件</w:t>
      </w:r>
    </w:p>
    <w:p>
      <w:pPr>
        <w:spacing w:line="240" w:lineRule="auto" w:before="5"/>
        <w:rPr>
          <w:rFonts w:ascii="宋体" w:hAnsi="宋体" w:cs="宋体" w:eastAsia="宋体" w:hint="default"/>
          <w:sz w:val="20"/>
          <w:szCs w:val="20"/>
        </w:rPr>
      </w:pPr>
    </w:p>
    <w:p>
      <w:pPr>
        <w:pStyle w:val="BodyText"/>
        <w:spacing w:line="367" w:lineRule="auto"/>
        <w:ind w:right="0" w:firstLine="360"/>
        <w:jc w:val="left"/>
      </w:pPr>
      <w:r>
        <w:rPr>
          <w:spacing w:val="-2"/>
        </w:rPr>
        <w:t>当收取某项金融资产现金流量的合同权利已终止或该金融资产所有权上几乎所有的风险和报酬已转移时，终止确认该金</w:t>
      </w:r>
      <w:r>
        <w:rPr/>
        <w:t> 融资产；当金融负债的现实义务全部或部分解除时，相应终止确认该金融负债或其一部分。</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4</w:t>
      </w:r>
      <w:r>
        <w:rPr/>
        <w:t>）金融资产转移的确认依据和计量方法</w:t>
      </w:r>
    </w:p>
    <w:p>
      <w:pPr>
        <w:spacing w:line="240" w:lineRule="auto" w:before="5"/>
        <w:rPr>
          <w:rFonts w:ascii="宋体" w:hAnsi="宋体" w:cs="宋体" w:eastAsia="宋体" w:hint="default"/>
          <w:sz w:val="20"/>
          <w:szCs w:val="20"/>
        </w:rPr>
      </w:pPr>
    </w:p>
    <w:p>
      <w:pPr>
        <w:pStyle w:val="BodyText"/>
        <w:spacing w:line="367" w:lineRule="auto"/>
        <w:ind w:right="110" w:firstLine="360"/>
        <w:jc w:val="both"/>
      </w:pPr>
      <w:r>
        <w:rPr>
          <w:spacing w:val="-2"/>
        </w:rPr>
        <w:t>公司发生金融资产转移时，如已将金融资产所有权上几乎所有的风险和报酬转移给转入方，则终止确认该金融资产；如</w:t>
      </w:r>
      <w:r>
        <w:rPr/>
        <w:t> </w:t>
      </w:r>
      <w:r>
        <w:rPr>
          <w:spacing w:val="-2"/>
        </w:rPr>
        <w:t>保留了金融资产所有权上几乎所有的风险和报酬的，则不终止确认该金融资产。在判断金融资产转移是否满足会计准则规定</w:t>
      </w:r>
      <w:r>
        <w:rPr>
          <w:spacing w:val="-64"/>
        </w:rPr>
        <w:t> </w:t>
      </w:r>
      <w:r>
        <w:rPr>
          <w:spacing w:val="-64"/>
        </w:rPr>
      </w:r>
      <w:r>
        <w:rPr/>
        <w:t>的金融资产终止确认条件时，采用实质重于形式的原则。公司将金融资产转移区分为金融资产整体转移和部分转移。</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金融资产整体转移满足终止确认条件的，将下列两项金额的差额计入当期损益：</w:t>
      </w:r>
    </w:p>
    <w:p>
      <w:pPr>
        <w:pStyle w:val="BodyText"/>
        <w:spacing w:line="510" w:lineRule="atLeast" w:before="19"/>
        <w:ind w:left="513" w:right="0"/>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p>
    <w:p>
      <w:pPr>
        <w:pStyle w:val="BodyText"/>
        <w:spacing w:line="240" w:lineRule="auto" w:before="111"/>
        <w:ind w:right="0"/>
        <w:jc w:val="left"/>
      </w:pPr>
      <w:r>
        <w:rPr/>
        <w:t>的情形）之和。</w:t>
      </w:r>
    </w:p>
    <w:p>
      <w:pPr>
        <w:spacing w:line="240" w:lineRule="auto" w:before="6"/>
        <w:rPr>
          <w:rFonts w:ascii="宋体" w:hAnsi="宋体" w:cs="宋体" w:eastAsia="宋体" w:hint="default"/>
          <w:sz w:val="21"/>
          <w:szCs w:val="21"/>
        </w:rPr>
      </w:pPr>
    </w:p>
    <w:p>
      <w:pPr>
        <w:pStyle w:val="BodyText"/>
        <w:spacing w:line="367" w:lineRule="auto"/>
        <w:ind w:right="110"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种情况下，所保留的服务资产应当视同未终止确认金融资产的一部分）之间，按照各自的相对公允价值进行分摊，并将下列</w:t>
      </w:r>
      <w:r>
        <w:rPr>
          <w:spacing w:val="-64"/>
        </w:rPr>
        <w:t> </w:t>
      </w:r>
      <w:r>
        <w:rPr>
          <w:spacing w:val="-64"/>
        </w:rPr>
      </w:r>
      <w:r>
        <w:rPr/>
        <w:t>两项金额的差额计入当期损益：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A</w:t>
      </w:r>
      <w:r>
        <w:rPr/>
        <w:t>、终止确认部分的账面价值；</w:t>
      </w:r>
    </w:p>
    <w:p>
      <w:pPr>
        <w:spacing w:line="240" w:lineRule="auto" w:before="5"/>
        <w:rPr>
          <w:rFonts w:ascii="宋体" w:hAnsi="宋体" w:cs="宋体" w:eastAsia="宋体" w:hint="default"/>
          <w:sz w:val="20"/>
          <w:szCs w:val="20"/>
        </w:rPr>
      </w:pPr>
    </w:p>
    <w:p>
      <w:pPr>
        <w:pStyle w:val="BodyText"/>
        <w:spacing w:line="345" w:lineRule="auto"/>
        <w:ind w:right="0" w:firstLine="360"/>
        <w:jc w:val="left"/>
      </w:pP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r>
        <w:rPr/>
        <w:t> 融资产为可供出售金融资产的情形）之和。</w:t>
      </w:r>
    </w:p>
    <w:p>
      <w:pPr>
        <w:spacing w:line="240" w:lineRule="auto" w:before="5"/>
        <w:rPr>
          <w:rFonts w:ascii="宋体" w:hAnsi="宋体" w:cs="宋体" w:eastAsia="宋体" w:hint="default"/>
          <w:sz w:val="15"/>
          <w:szCs w:val="15"/>
        </w:rPr>
      </w:pPr>
    </w:p>
    <w:p>
      <w:pPr>
        <w:pStyle w:val="BodyText"/>
        <w:spacing w:line="240" w:lineRule="auto"/>
        <w:ind w:left="513" w:right="0"/>
        <w:jc w:val="left"/>
      </w:pPr>
      <w:r>
        <w:rPr/>
        <w:t>金融资产转移不满足终止确认条件的，继续确认该金融资产，所收到的对价确认为一项金融负债。</w:t>
      </w:r>
    </w:p>
    <w:p>
      <w:pPr>
        <w:spacing w:line="240" w:lineRule="auto" w:before="6"/>
        <w:rPr>
          <w:rFonts w:ascii="宋体" w:hAnsi="宋体" w:cs="宋体" w:eastAsia="宋体" w:hint="default"/>
          <w:sz w:val="21"/>
          <w:szCs w:val="21"/>
        </w:rPr>
      </w:pPr>
    </w:p>
    <w:p>
      <w:pPr>
        <w:pStyle w:val="BodyText"/>
        <w:spacing w:line="496" w:lineRule="auto"/>
        <w:ind w:left="513" w:right="2893"/>
        <w:jc w:val="left"/>
      </w:pPr>
      <w:r>
        <w:rPr/>
        <w:t>（</w:t>
      </w:r>
      <w:r>
        <w:rPr>
          <w:rFonts w:ascii="Times New Roman" w:hAnsi="Times New Roman" w:cs="Times New Roman" w:eastAsia="Times New Roman" w:hint="default"/>
        </w:rPr>
        <w:t>5</w:t>
      </w:r>
      <w:r>
        <w:rPr/>
        <w:t>）金融资产和金融负债公允价值的确定方法 本公司采用公允价值计量的金融资产和金融负债全部直接参考活跃市场中的报价。</w:t>
      </w:r>
    </w:p>
    <w:p>
      <w:pPr>
        <w:spacing w:after="0" w:line="496" w:lineRule="auto"/>
        <w:jc w:val="left"/>
        <w:sectPr>
          <w:headerReference w:type="default" r:id="rId48"/>
          <w:pgSz w:w="11910" w:h="16840"/>
          <w:pgMar w:header="1104" w:footer="979" w:top="1760" w:bottom="1160" w:left="980" w:right="1020"/>
        </w:sectPr>
      </w:pPr>
    </w:p>
    <w:p>
      <w:pPr>
        <w:spacing w:line="240" w:lineRule="auto" w:before="4"/>
        <w:rPr>
          <w:rFonts w:ascii="宋体" w:hAnsi="宋体" w:cs="宋体" w:eastAsia="宋体" w:hint="default"/>
          <w:sz w:val="17"/>
          <w:szCs w:val="17"/>
        </w:rPr>
      </w:pPr>
    </w:p>
    <w:p>
      <w:pPr>
        <w:pStyle w:val="BodyText"/>
        <w:spacing w:line="511" w:lineRule="auto" w:before="44"/>
        <w:ind w:left="573" w:right="3913"/>
        <w:jc w:val="left"/>
      </w:pPr>
      <w:r>
        <w:rPr>
          <w:rFonts w:ascii="Times New Roman" w:hAnsi="Times New Roman" w:cs="Times New Roman" w:eastAsia="Times New Roman" w:hint="default"/>
        </w:rPr>
        <w:t>A</w:t>
      </w:r>
      <w:r>
        <w:rPr/>
        <w:t>、持有至到期投资的减值准备 持有至到期投资减值损失的计量比照应收款项减值损失计量方法处理。 </w:t>
      </w:r>
      <w:r>
        <w:rPr>
          <w:rFonts w:ascii="Times New Roman" w:hAnsi="Times New Roman" w:cs="Times New Roman" w:eastAsia="Times New Roman" w:hint="default"/>
        </w:rPr>
        <w:t>B</w:t>
      </w:r>
      <w:r>
        <w:rPr/>
        <w:t>、可供出售金融资产的减值准备</w:t>
      </w:r>
    </w:p>
    <w:p>
      <w:pPr>
        <w:pStyle w:val="BodyText"/>
        <w:spacing w:line="367" w:lineRule="auto" w:before="41"/>
        <w:ind w:left="213" w:right="232" w:firstLine="360"/>
        <w:jc w:val="both"/>
      </w:pPr>
      <w:r>
        <w:rPr>
          <w:spacing w:val="-2"/>
        </w:rPr>
        <w:t>期末如果可供出售金融资产的公允价值发生较大幅度下降，或在综合考虑各种相关因素后，预期这种下降趋势属于非暂</w:t>
      </w:r>
      <w:r>
        <w:rPr/>
        <w:t> 时性的，就认定其已发生减值，将原直接计入所有者权益的公允价值下降形成的累计损失一并转出，确认减值损失。</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C</w:t>
      </w:r>
      <w:r>
        <w:rPr/>
        <w:t>、减值损失转回</w:t>
      </w:r>
    </w:p>
    <w:p>
      <w:pPr>
        <w:spacing w:line="240" w:lineRule="auto" w:before="5"/>
        <w:rPr>
          <w:rFonts w:ascii="宋体" w:hAnsi="宋体" w:cs="宋体" w:eastAsia="宋体" w:hint="default"/>
          <w:sz w:val="20"/>
          <w:szCs w:val="20"/>
        </w:rPr>
      </w:pPr>
    </w:p>
    <w:p>
      <w:pPr>
        <w:pStyle w:val="BodyText"/>
        <w:spacing w:line="367" w:lineRule="auto"/>
        <w:ind w:left="213" w:right="232" w:firstLine="360"/>
        <w:jc w:val="both"/>
      </w:pPr>
      <w:r>
        <w:rPr>
          <w:spacing w:val="-2"/>
        </w:rPr>
        <w:t>对以摊余成本计量的金融资产确认减值损失后，如有客观证据表明该金融资产价值已恢复，且客观上与确认该损失后发</w:t>
      </w:r>
      <w:r>
        <w:rPr/>
        <w:t> </w:t>
      </w:r>
      <w:r>
        <w:rPr>
          <w:spacing w:val="-2"/>
        </w:rPr>
        <w:t>生的事项有关（如债务人的信用评级已提高等），原确认的减值损失应当予以转回，计入当期损益。但是，该转回后的账面</w:t>
      </w:r>
      <w:r>
        <w:rPr>
          <w:spacing w:val="-65"/>
        </w:rPr>
        <w:t> </w:t>
      </w:r>
      <w:r>
        <w:rPr>
          <w:spacing w:val="-65"/>
        </w:rPr>
      </w:r>
      <w:r>
        <w:rPr/>
        <w:t>价值不应当超过假定不计提减值准备情况下该金融资产在转回日的摊余成本。</w:t>
      </w:r>
    </w:p>
    <w:p>
      <w:pPr>
        <w:spacing w:line="240" w:lineRule="auto" w:before="2"/>
        <w:rPr>
          <w:rFonts w:ascii="宋体" w:hAnsi="宋体" w:cs="宋体" w:eastAsia="宋体" w:hint="default"/>
          <w:sz w:val="14"/>
          <w:szCs w:val="14"/>
        </w:rPr>
      </w:pPr>
    </w:p>
    <w:p>
      <w:pPr>
        <w:spacing w:line="472" w:lineRule="auto"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）应收款项坏账准备的核算 </w:t>
      </w:r>
      <w:r>
        <w:rPr>
          <w:rFonts w:ascii="宋体" w:hAnsi="宋体" w:cs="宋体" w:eastAsia="宋体" w:hint="default"/>
          <w:sz w:val="21"/>
          <w:szCs w:val="21"/>
        </w:rPr>
        <w:t>应收款项坏账的确认标准、坏账损失的核算方法以及坏账准备的计提方法和计提比例：</w:t>
      </w:r>
      <w:r>
        <w:rPr>
          <w:rFonts w:ascii="宋体" w:hAnsi="宋体" w:cs="宋体" w:eastAsia="宋体" w:hint="default"/>
          <w:w w:val="100"/>
          <w:sz w:val="21"/>
          <w:szCs w:val="21"/>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、坏账的确认标准</w:t>
      </w:r>
    </w:p>
    <w:p>
      <w:pPr>
        <w:pStyle w:val="BodyText"/>
        <w:spacing w:line="367" w:lineRule="auto" w:before="73"/>
        <w:ind w:left="213" w:right="232" w:firstLine="360"/>
        <w:jc w:val="both"/>
      </w:pPr>
      <w:r>
        <w:rPr>
          <w:spacing w:val="-2"/>
        </w:rPr>
        <w:t>对有确凿证据表明确实无法收回的应收款项，如债务单位已撤销、破产、资不抵债、现金流量严重不足、发生严重的自</w:t>
      </w:r>
      <w:r>
        <w:rPr/>
        <w:t> 然灾害等，根据公司的管理权限，经股东大会或董事会批准后列作坏账损失，冲销提取的坏账准备。</w:t>
      </w:r>
    </w:p>
    <w:p>
      <w:pPr>
        <w:pStyle w:val="Heading6"/>
        <w:spacing w:line="340" w:lineRule="auto" w:before="147"/>
        <w:ind w:right="3944" w:hanging="20"/>
        <w:jc w:val="left"/>
      </w:pPr>
      <w:r>
        <w:rPr>
          <w:rFonts w:ascii="Times New Roman" w:hAnsi="Times New Roman" w:cs="Times New Roman" w:eastAsia="Times New Roman" w:hint="default"/>
          <w:sz w:val="20"/>
          <w:szCs w:val="20"/>
        </w:rPr>
        <w:t>B</w:t>
      </w:r>
      <w:r>
        <w:rPr>
          <w:sz w:val="20"/>
          <w:szCs w:val="20"/>
        </w:rPr>
        <w:t>、</w:t>
      </w:r>
      <w:r>
        <w:rPr/>
        <w:t>坏账损失核算办法</w:t>
      </w:r>
      <w:r>
        <w:rPr>
          <w:w w:val="100"/>
        </w:rPr>
        <w:t> </w:t>
      </w:r>
      <w:r>
        <w:rPr>
          <w:spacing w:val="-2"/>
        </w:rPr>
        <w:t>对公司的坏账损失，采用备抵法核算。</w:t>
      </w:r>
    </w:p>
    <w:p>
      <w:pPr>
        <w:pStyle w:val="Heading6"/>
        <w:spacing w:line="240" w:lineRule="auto" w:before="49"/>
        <w:ind w:right="0"/>
        <w:jc w:val="left"/>
      </w:pPr>
      <w:r>
        <w:rPr/>
        <w:t>①单项金额重大并单项计提坏账准备的应收款项</w:t>
      </w:r>
    </w:p>
    <w:p>
      <w:pPr>
        <w:spacing w:line="240" w:lineRule="auto" w:before="2"/>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4516"/>
        <w:gridCol w:w="5341"/>
      </w:tblGrid>
      <w:tr>
        <w:trPr>
          <w:trHeight w:val="449"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单项金额重大的判断依据或金额标准</w:t>
            </w:r>
            <w:r>
              <w:rPr>
                <w:rFonts w:ascii="宋体" w:hAnsi="宋体" w:cs="宋体" w:eastAsia="宋体" w:hint="default"/>
                <w:sz w:val="18"/>
                <w:szCs w:val="18"/>
              </w:rPr>
            </w:r>
          </w:p>
        </w:tc>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万元）应收款项</w:t>
            </w:r>
          </w:p>
        </w:tc>
      </w:tr>
      <w:tr>
        <w:trPr>
          <w:trHeight w:val="1452"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单项金额重大并单项计提坏账准备的计提方法</w:t>
            </w:r>
            <w:r>
              <w:rPr>
                <w:rFonts w:ascii="宋体" w:hAnsi="宋体" w:cs="宋体" w:eastAsia="宋体" w:hint="default"/>
                <w:sz w:val="18"/>
                <w:szCs w:val="18"/>
              </w:rPr>
            </w:r>
          </w:p>
        </w:tc>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9"/>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单独进行减值测试，按预计未来现金流量现值低于其账面价值的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差额计提坏账准备，计入当期损益。</w:t>
            </w:r>
            <w:r>
              <w:rPr>
                <w:rFonts w:ascii="宋体" w:hAnsi="宋体" w:cs="宋体" w:eastAsia="宋体" w:hint="default"/>
                <w:spacing w:val="-7"/>
                <w:sz w:val="18"/>
                <w:szCs w:val="18"/>
              </w:rPr>
              <w:t> </w:t>
            </w:r>
            <w:r>
              <w:rPr>
                <w:rFonts w:ascii="宋体" w:hAnsi="宋体" w:cs="宋体" w:eastAsia="宋体" w:hint="default"/>
                <w:sz w:val="18"/>
                <w:szCs w:val="18"/>
              </w:rPr>
              <w:t>单独测试未发生减值的应收</w:t>
            </w:r>
            <w:r>
              <w:rPr>
                <w:rFonts w:ascii="宋体" w:hAnsi="宋体" w:cs="宋体" w:eastAsia="宋体" w:hint="default"/>
                <w:sz w:val="18"/>
                <w:szCs w:val="18"/>
              </w:rPr>
              <w:t> </w:t>
            </w:r>
            <w:r>
              <w:rPr>
                <w:rFonts w:ascii="宋体" w:hAnsi="宋体" w:cs="宋体" w:eastAsia="宋体" w:hint="default"/>
                <w:spacing w:val="2"/>
                <w:sz w:val="18"/>
                <w:szCs w:val="18"/>
              </w:rPr>
              <w:t>款项，包括在具有类似信用风险特征的应收款项组合中再进行减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值测试。</w:t>
            </w:r>
          </w:p>
        </w:tc>
      </w:tr>
    </w:tbl>
    <w:p>
      <w:pPr>
        <w:spacing w:line="240" w:lineRule="auto" w:before="10"/>
        <w:rPr>
          <w:rFonts w:ascii="宋体" w:hAnsi="宋体" w:cs="宋体" w:eastAsia="宋体" w:hint="default"/>
          <w:sz w:val="21"/>
          <w:szCs w:val="21"/>
        </w:rPr>
      </w:pPr>
    </w:p>
    <w:p>
      <w:pPr>
        <w:pStyle w:val="Heading6"/>
        <w:spacing w:line="240" w:lineRule="auto"/>
        <w:ind w:right="0"/>
        <w:jc w:val="left"/>
      </w:pPr>
      <w:r>
        <w:rPr/>
        <w:t>②单项金额虽不重大但单项计提坏账准备的应收账款</w:t>
      </w:r>
    </w:p>
    <w:p>
      <w:pPr>
        <w:spacing w:line="240" w:lineRule="auto" w:before="2"/>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4530"/>
        <w:gridCol w:w="5327"/>
      </w:tblGrid>
      <w:tr>
        <w:trPr>
          <w:trHeight w:val="45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单项计提坏账准备的理由</w:t>
            </w:r>
            <w:r>
              <w:rPr>
                <w:rFonts w:ascii="宋体" w:hAnsi="宋体" w:cs="宋体" w:eastAsia="宋体" w:hint="default"/>
                <w:sz w:val="18"/>
                <w:szCs w:val="18"/>
              </w:rPr>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449"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坏账准备的计提方法</w:t>
            </w:r>
            <w:r>
              <w:rPr>
                <w:rFonts w:ascii="宋体" w:hAnsi="宋体" w:cs="宋体" w:eastAsia="宋体" w:hint="default"/>
                <w:sz w:val="18"/>
                <w:szCs w:val="18"/>
              </w:rPr>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10"/>
        <w:rPr>
          <w:rFonts w:ascii="宋体" w:hAnsi="宋体" w:cs="宋体" w:eastAsia="宋体" w:hint="default"/>
          <w:sz w:val="21"/>
          <w:szCs w:val="21"/>
        </w:rPr>
      </w:pPr>
    </w:p>
    <w:p>
      <w:pPr>
        <w:pStyle w:val="Heading6"/>
        <w:spacing w:line="240" w:lineRule="auto"/>
        <w:ind w:right="0"/>
        <w:jc w:val="left"/>
      </w:pPr>
      <w:r>
        <w:rPr/>
        <w:t>③按组合计提坏账准备应收款项</w:t>
      </w:r>
    </w:p>
    <w:p>
      <w:pPr>
        <w:spacing w:line="240" w:lineRule="auto" w:before="5"/>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1932"/>
        <w:gridCol w:w="7924"/>
      </w:tblGrid>
      <w:tr>
        <w:trPr>
          <w:trHeight w:val="451" w:hRule="exact"/>
        </w:trPr>
        <w:tc>
          <w:tcPr>
            <w:tcW w:w="9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44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7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已单独计提减值准备的应收款项外，公司根据以前年度与之相同或相类似的、按账龄段划分的具有</w:t>
            </w:r>
          </w:p>
        </w:tc>
      </w:tr>
    </w:tbl>
    <w:p>
      <w:pPr>
        <w:spacing w:after="0" w:line="240" w:lineRule="auto"/>
        <w:jc w:val="left"/>
        <w:rPr>
          <w:rFonts w:ascii="宋体" w:hAnsi="宋体" w:cs="宋体" w:eastAsia="宋体" w:hint="default"/>
          <w:sz w:val="18"/>
          <w:szCs w:val="18"/>
        </w:rPr>
        <w:sectPr>
          <w:headerReference w:type="default" r:id="rId49"/>
          <w:pgSz w:w="11910" w:h="16840"/>
          <w:pgMar w:header="1104" w:footer="979" w:top="1760" w:bottom="1160" w:left="920" w:right="90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32"/>
        <w:gridCol w:w="7924"/>
      </w:tblGrid>
      <w:tr>
        <w:trPr>
          <w:trHeight w:val="771"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792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7"/>
              <w:ind w:left="103" w:right="103"/>
              <w:jc w:val="left"/>
              <w:rPr>
                <w:rFonts w:ascii="宋体" w:hAnsi="宋体" w:cs="宋体" w:eastAsia="宋体" w:hint="default"/>
                <w:sz w:val="18"/>
                <w:szCs w:val="18"/>
              </w:rPr>
            </w:pPr>
            <w:r>
              <w:rPr>
                <w:rFonts w:ascii="宋体" w:hAnsi="宋体" w:cs="宋体" w:eastAsia="宋体" w:hint="default"/>
                <w:spacing w:val="-1"/>
                <w:sz w:val="18"/>
                <w:szCs w:val="18"/>
              </w:rPr>
              <w:t>类似信用风险特征的应收款项组合的实际损失率为基础，结合现时情况分析法确定坏账准备计提的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比例。</w:t>
            </w:r>
          </w:p>
        </w:tc>
      </w:tr>
      <w:tr>
        <w:trPr>
          <w:trHeight w:val="449" w:hRule="exact"/>
        </w:trPr>
        <w:tc>
          <w:tcPr>
            <w:tcW w:w="9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按组合计提坏账准备的计提方法</w:t>
            </w:r>
            <w:r>
              <w:rPr>
                <w:rFonts w:ascii="宋体" w:hAnsi="宋体" w:cs="宋体" w:eastAsia="宋体" w:hint="default"/>
                <w:sz w:val="18"/>
                <w:szCs w:val="18"/>
              </w:rPr>
            </w:r>
          </w:p>
        </w:tc>
      </w:tr>
      <w:tr>
        <w:trPr>
          <w:trHeight w:val="45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7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0"/>
        <w:rPr>
          <w:rFonts w:ascii="宋体" w:hAnsi="宋体" w:cs="宋体" w:eastAsia="宋体" w:hint="default"/>
          <w:sz w:val="21"/>
          <w:szCs w:val="21"/>
        </w:rPr>
      </w:pPr>
    </w:p>
    <w:p>
      <w:pPr>
        <w:pStyle w:val="Heading6"/>
        <w:spacing w:line="240" w:lineRule="auto"/>
        <w:ind w:right="0"/>
        <w:jc w:val="left"/>
      </w:pPr>
      <w:r>
        <w:rPr/>
        <w:t>本公司采用账龄分析法计提坏账准备时，账龄按以下标准计提：</w:t>
      </w: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748"/>
        <w:gridCol w:w="5109"/>
      </w:tblGrid>
      <w:tr>
        <w:trPr>
          <w:trHeight w:val="272" w:hRule="exact"/>
        </w:trPr>
        <w:tc>
          <w:tcPr>
            <w:tcW w:w="4748" w:type="dxa"/>
            <w:tcBorders>
              <w:top w:val="nil" w:sz="6" w:space="0" w:color="auto"/>
              <w:left w:val="nil" w:sz="6" w:space="0" w:color="auto"/>
              <w:bottom w:val="single" w:sz="4" w:space="0" w:color="000000"/>
              <w:right w:val="nil" w:sz="6" w:space="0" w:color="auto"/>
            </w:tcBorders>
          </w:tcPr>
          <w:p>
            <w:pPr>
              <w:pStyle w:val="TableParagraph"/>
              <w:spacing w:line="180" w:lineRule="exact"/>
              <w:ind w:left="178"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109" w:type="dxa"/>
            <w:tcBorders>
              <w:top w:val="nil" w:sz="6" w:space="0" w:color="auto"/>
              <w:left w:val="nil" w:sz="6" w:space="0" w:color="auto"/>
              <w:bottom w:val="single" w:sz="4" w:space="0" w:color="000000"/>
              <w:right w:val="nil" w:sz="6" w:space="0" w:color="auto"/>
            </w:tcBorders>
          </w:tcPr>
          <w:p>
            <w:pPr>
              <w:pStyle w:val="TableParagraph"/>
              <w:spacing w:line="194" w:lineRule="exact"/>
              <w:ind w:left="178"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2" w:hRule="exact"/>
        </w:trPr>
        <w:tc>
          <w:tcPr>
            <w:tcW w:w="474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10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77" w:right="0"/>
              <w:jc w:val="center"/>
              <w:rPr>
                <w:rFonts w:ascii="Times New Roman" w:hAnsi="Times New Roman" w:cs="Times New Roman" w:eastAsia="Times New Roman" w:hint="default"/>
                <w:sz w:val="18"/>
                <w:szCs w:val="18"/>
              </w:rPr>
            </w:pPr>
            <w:r>
              <w:rPr>
                <w:rFonts w:ascii="Times New Roman"/>
                <w:sz w:val="18"/>
              </w:rPr>
              <w:t>1</w:t>
            </w:r>
          </w:p>
        </w:tc>
      </w:tr>
      <w:tr>
        <w:trPr>
          <w:trHeight w:val="441"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10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77" w:right="0"/>
              <w:jc w:val="center"/>
              <w:rPr>
                <w:rFonts w:ascii="Times New Roman" w:hAnsi="Times New Roman" w:cs="Times New Roman" w:eastAsia="Times New Roman" w:hint="default"/>
                <w:sz w:val="18"/>
                <w:szCs w:val="18"/>
              </w:rPr>
            </w:pPr>
            <w:r>
              <w:rPr>
                <w:rFonts w:ascii="Times New Roman"/>
                <w:sz w:val="18"/>
              </w:rPr>
              <w:t>5</w:t>
            </w:r>
          </w:p>
        </w:tc>
      </w:tr>
      <w:tr>
        <w:trPr>
          <w:trHeight w:val="439"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1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3" w:right="0"/>
              <w:jc w:val="center"/>
              <w:rPr>
                <w:rFonts w:ascii="Times New Roman" w:hAnsi="Times New Roman" w:cs="Times New Roman" w:eastAsia="Times New Roman" w:hint="default"/>
                <w:sz w:val="18"/>
                <w:szCs w:val="18"/>
              </w:rPr>
            </w:pPr>
            <w:r>
              <w:rPr>
                <w:rFonts w:ascii="Times New Roman"/>
                <w:sz w:val="18"/>
              </w:rPr>
              <w:t>30</w:t>
            </w:r>
          </w:p>
        </w:tc>
      </w:tr>
      <w:tr>
        <w:trPr>
          <w:trHeight w:val="315"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51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3"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5"/>
          <w:szCs w:val="25"/>
        </w:rPr>
      </w:pPr>
    </w:p>
    <w:p>
      <w:pPr>
        <w:pStyle w:val="Heading5"/>
        <w:spacing w:line="240" w:lineRule="auto" w:before="36"/>
        <w:ind w:left="213" w:right="0"/>
        <w:jc w:val="left"/>
        <w:rPr>
          <w:b w:val="0"/>
          <w:bCs w:val="0"/>
        </w:rPr>
      </w:pPr>
      <w:r>
        <w:rPr>
          <w:rFonts w:ascii="Times New Roman" w:hAnsi="Times New Roman" w:cs="Times New Roman" w:eastAsia="Times New Roman" w:hint="default"/>
        </w:rPr>
        <w:t>7</w:t>
      </w:r>
      <w:r>
        <w:rPr/>
        <w:t>、存货的核算方法</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3" w:right="0"/>
        <w:jc w:val="left"/>
      </w:pPr>
      <w:r>
        <w:rPr/>
        <w:t>（</w:t>
      </w:r>
      <w:r>
        <w:rPr>
          <w:rFonts w:ascii="Times New Roman" w:hAnsi="Times New Roman" w:cs="Times New Roman" w:eastAsia="Times New Roman" w:hint="default"/>
        </w:rPr>
        <w:t>1</w:t>
      </w:r>
      <w:r>
        <w:rPr/>
        <w:t>）公司的存货分为库存商品、发出商品等。</w:t>
      </w:r>
    </w:p>
    <w:p>
      <w:pPr>
        <w:spacing w:line="240" w:lineRule="auto" w:before="5"/>
        <w:rPr>
          <w:rFonts w:ascii="宋体" w:hAnsi="宋体" w:cs="宋体" w:eastAsia="宋体" w:hint="default"/>
          <w:sz w:val="20"/>
          <w:szCs w:val="20"/>
        </w:rPr>
      </w:pPr>
    </w:p>
    <w:p>
      <w:pPr>
        <w:pStyle w:val="BodyText"/>
        <w:spacing w:line="345" w:lineRule="auto"/>
        <w:ind w:left="213" w:right="233" w:firstLine="360"/>
        <w:jc w:val="both"/>
      </w:pPr>
      <w:r>
        <w:rPr/>
        <w:t>（</w:t>
      </w:r>
      <w:r>
        <w:rPr>
          <w:rFonts w:ascii="Times New Roman" w:hAnsi="Times New Roman" w:cs="Times New Roman" w:eastAsia="Times New Roman" w:hint="default"/>
        </w:rPr>
        <w:t>2</w:t>
      </w:r>
      <w:r>
        <w:rPr/>
        <w:t>）核算方法：存货取得时采用实际成本计价，存货成本包括采购成本、加工成本和其他成本。存货领用或发出采用 加权平均法确定其发出成本。低值易耗品、包装物领用时采用一次转销法核算。</w:t>
      </w:r>
    </w:p>
    <w:p>
      <w:pPr>
        <w:spacing w:line="240" w:lineRule="auto" w:before="5"/>
        <w:rPr>
          <w:rFonts w:ascii="宋体" w:hAnsi="宋体" w:cs="宋体" w:eastAsia="宋体" w:hint="default"/>
          <w:sz w:val="15"/>
          <w:szCs w:val="15"/>
        </w:rPr>
      </w:pPr>
    </w:p>
    <w:p>
      <w:pPr>
        <w:pStyle w:val="BodyText"/>
        <w:spacing w:line="240" w:lineRule="auto"/>
        <w:ind w:left="573" w:right="0"/>
        <w:jc w:val="left"/>
      </w:pPr>
      <w:r>
        <w:rPr/>
        <w:t>（</w:t>
      </w:r>
      <w:r>
        <w:rPr>
          <w:rFonts w:ascii="Times New Roman" w:hAnsi="Times New Roman" w:cs="Times New Roman" w:eastAsia="Times New Roman" w:hint="default"/>
        </w:rPr>
        <w:t>3</w:t>
      </w:r>
      <w:r>
        <w:rPr/>
        <w:t>）存货的盘存制度：采用永续盘存制。</w:t>
      </w:r>
    </w:p>
    <w:p>
      <w:pPr>
        <w:spacing w:line="240" w:lineRule="auto" w:before="6"/>
        <w:rPr>
          <w:rFonts w:ascii="宋体" w:hAnsi="宋体" w:cs="宋体" w:eastAsia="宋体" w:hint="default"/>
          <w:sz w:val="20"/>
          <w:szCs w:val="20"/>
        </w:rPr>
      </w:pPr>
    </w:p>
    <w:p>
      <w:pPr>
        <w:pStyle w:val="BodyText"/>
        <w:spacing w:line="345" w:lineRule="auto"/>
        <w:ind w:left="213" w:right="232" w:firstLine="360"/>
        <w:jc w:val="both"/>
      </w:pPr>
      <w:r>
        <w:rPr/>
        <w:t>（</w:t>
      </w:r>
      <w:r>
        <w:rPr>
          <w:rFonts w:ascii="Times New Roman" w:hAnsi="Times New Roman" w:cs="Times New Roman" w:eastAsia="Times New Roman" w:hint="default"/>
        </w:rPr>
        <w:t>4</w:t>
      </w:r>
      <w:r>
        <w:rPr/>
        <w:t>）结合行业积压图书处理的一般情况和企业处理积压图书的实际经验，公司将图书分为常销类、非常销类二大类。 于每期期末，对库存出版物存货进行全面清查并实行分年核价，按规定的比例提取跌价准备：</w:t>
      </w:r>
    </w:p>
    <w:p>
      <w:pPr>
        <w:spacing w:line="240" w:lineRule="auto" w:before="5"/>
        <w:rPr>
          <w:rFonts w:ascii="宋体" w:hAnsi="宋体" w:cs="宋体" w:eastAsia="宋体" w:hint="default"/>
          <w:sz w:val="15"/>
          <w:szCs w:val="15"/>
        </w:rPr>
      </w:pPr>
    </w:p>
    <w:p>
      <w:pPr>
        <w:pStyle w:val="BodyText"/>
        <w:spacing w:line="345" w:lineRule="auto"/>
        <w:ind w:left="213" w:right="228" w:firstLine="360"/>
        <w:jc w:val="both"/>
      </w:pPr>
      <w:r>
        <w:rPr/>
        <w:t>对红魔语法阅读词汇系列图书、少儿及经典名著系列图书等常销书</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年内不计提存货跌价准备，</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年按图书总定价计 提</w:t>
      </w:r>
      <w:r>
        <w:rPr>
          <w:spacing w:val="-47"/>
        </w:rPr>
        <w:t> </w:t>
      </w:r>
      <w:r>
        <w:rPr>
          <w:rFonts w:ascii="Times New Roman" w:hAnsi="Times New Roman" w:cs="Times New Roman" w:eastAsia="Times New Roman" w:hint="default"/>
        </w:rPr>
        <w:t>3%</w:t>
      </w:r>
      <w:r>
        <w:rPr/>
        <w:t>存货跌价准备，</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年以上按图书总定价计提</w:t>
      </w:r>
      <w:r>
        <w:rPr>
          <w:spacing w:val="-46"/>
        </w:rPr>
        <w:t> </w:t>
      </w:r>
      <w:r>
        <w:rPr>
          <w:rFonts w:ascii="Times New Roman" w:hAnsi="Times New Roman" w:cs="Times New Roman" w:eastAsia="Times New Roman" w:hint="default"/>
        </w:rPr>
        <w:t>5%</w:t>
      </w:r>
      <w:r>
        <w:rPr/>
        <w:t>存货跌价准备，</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年以上按图书总定价计提</w:t>
      </w:r>
      <w:r>
        <w:rPr>
          <w:spacing w:val="-46"/>
        </w:rPr>
        <w:t> </w:t>
      </w:r>
      <w:r>
        <w:rPr>
          <w:rFonts w:ascii="Times New Roman" w:hAnsi="Times New Roman" w:cs="Times New Roman" w:eastAsia="Times New Roman" w:hint="default"/>
        </w:rPr>
        <w:t>10%</w:t>
      </w:r>
      <w:r>
        <w:rPr/>
        <w:t>存货跌价准备。</w:t>
      </w:r>
    </w:p>
    <w:p>
      <w:pPr>
        <w:spacing w:line="240" w:lineRule="auto" w:before="9"/>
        <w:rPr>
          <w:rFonts w:ascii="宋体" w:hAnsi="宋体" w:cs="宋体" w:eastAsia="宋体" w:hint="default"/>
          <w:sz w:val="13"/>
          <w:szCs w:val="13"/>
        </w:rPr>
      </w:pPr>
    </w:p>
    <w:p>
      <w:pPr>
        <w:pStyle w:val="BodyText"/>
        <w:spacing w:line="345" w:lineRule="auto"/>
        <w:ind w:left="213" w:right="229" w:firstLine="360"/>
        <w:jc w:val="both"/>
      </w:pPr>
      <w:r>
        <w:rPr/>
        <w:t>在非常销书中对当年出版的过季同步教辅和纸质期刊扣除图书总定价</w:t>
      </w:r>
      <w:r>
        <w:rPr>
          <w:spacing w:val="-50"/>
        </w:rPr>
        <w:t> </w:t>
      </w:r>
      <w:r>
        <w:rPr>
          <w:rFonts w:ascii="Times New Roman" w:hAnsi="Times New Roman" w:cs="Times New Roman" w:eastAsia="Times New Roman" w:hint="default"/>
        </w:rPr>
        <w:t>3%</w:t>
      </w:r>
      <w:r>
        <w:rPr/>
        <w:t>全额计提存货跌价准备。对社科类、青春类等 非常销书类图书按库龄不同，库龄</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年库存社科类、青春类等畅销图书按图书总定价的</w:t>
      </w:r>
      <w:r>
        <w:rPr>
          <w:spacing w:val="-67"/>
        </w:rPr>
        <w:t> </w:t>
      </w:r>
      <w:r>
        <w:rPr>
          <w:rFonts w:ascii="Times New Roman" w:hAnsi="Times New Roman" w:cs="Times New Roman" w:eastAsia="Times New Roman" w:hint="default"/>
        </w:rPr>
        <w:t>10%</w:t>
      </w:r>
      <w:r>
        <w:rPr/>
        <w:t>计提存货跌价准备，图书库龄 超过</w:t>
      </w:r>
      <w:r>
        <w:rPr>
          <w:spacing w:val="-46"/>
        </w:rPr>
        <w:t> </w:t>
      </w:r>
      <w:r>
        <w:rPr>
          <w:rFonts w:ascii="Times New Roman" w:hAnsi="Times New Roman" w:cs="Times New Roman" w:eastAsia="Times New Roman" w:hint="default"/>
        </w:rPr>
        <w:t>2 </w:t>
      </w:r>
      <w:r>
        <w:rPr/>
        <w:t>年的按图书总定价的</w:t>
      </w:r>
      <w:r>
        <w:rPr>
          <w:spacing w:val="-48"/>
        </w:rPr>
        <w:t> </w:t>
      </w:r>
      <w:r>
        <w:rPr>
          <w:rFonts w:ascii="Times New Roman" w:hAnsi="Times New Roman" w:cs="Times New Roman" w:eastAsia="Times New Roman" w:hint="default"/>
        </w:rPr>
        <w:t>20%</w:t>
      </w:r>
      <w:r>
        <w:rPr/>
        <w:t>计提存货跌价准备。</w:t>
      </w:r>
    </w:p>
    <w:p>
      <w:pPr>
        <w:spacing w:line="240" w:lineRule="auto" w:before="10"/>
        <w:rPr>
          <w:rFonts w:ascii="宋体" w:hAnsi="宋体" w:cs="宋体" w:eastAsia="宋体" w:hint="default"/>
          <w:sz w:val="17"/>
          <w:szCs w:val="17"/>
        </w:rPr>
      </w:pPr>
    </w:p>
    <w:p>
      <w:pPr>
        <w:pStyle w:val="Heading5"/>
        <w:spacing w:line="240" w:lineRule="auto"/>
        <w:ind w:left="213" w:right="0"/>
        <w:jc w:val="left"/>
        <w:rPr>
          <w:b w:val="0"/>
          <w:bCs w:val="0"/>
        </w:rPr>
      </w:pPr>
      <w:r>
        <w:rPr>
          <w:rFonts w:ascii="Times New Roman" w:hAnsi="Times New Roman" w:cs="Times New Roman" w:eastAsia="Times New Roman" w:hint="default"/>
        </w:rPr>
        <w:t>8</w:t>
      </w:r>
      <w:r>
        <w:rPr/>
        <w:t>、长期股权投资的核算方法</w:t>
      </w:r>
      <w:r>
        <w:rPr>
          <w:b w:val="0"/>
          <w:bCs w:val="0"/>
        </w:rPr>
      </w:r>
    </w:p>
    <w:p>
      <w:pPr>
        <w:pStyle w:val="BodyText"/>
        <w:spacing w:line="500" w:lineRule="atLeast" w:before="163"/>
        <w:ind w:left="683" w:right="0" w:hanging="111"/>
        <w:jc w:val="left"/>
      </w:pPr>
      <w:r>
        <w:rPr/>
        <w:t>（</w:t>
      </w:r>
      <w:r>
        <w:rPr>
          <w:rFonts w:ascii="Times New Roman" w:hAnsi="Times New Roman" w:cs="Times New Roman" w:eastAsia="Times New Roman" w:hint="default"/>
        </w:rPr>
        <w:t>1</w:t>
      </w:r>
      <w:r>
        <w:rPr/>
        <w:t>） 长期股权投资的投资成本的确定 </w:t>
      </w:r>
      <w:r>
        <w:rPr>
          <w:spacing w:val="-1"/>
        </w:rPr>
        <w:t>通过同一控制下的合并取得的长期股权投资，在合并日按照取得被合并方所有者权益账面价值的份额作为长期股权投</w:t>
      </w:r>
    </w:p>
    <w:p>
      <w:pPr>
        <w:pStyle w:val="BodyText"/>
        <w:spacing w:line="367" w:lineRule="auto" w:before="124"/>
        <w:ind w:left="412" w:right="311"/>
        <w:jc w:val="both"/>
      </w:pPr>
      <w:r>
        <w:rPr/>
        <w:t>资的初始投资成本。长期股权投资初始投资成本与支付的现金、转让的非现金资产以及所承担的债务账面价值或发行的 权益性证券面值总额之间的差额，计入资本公积；其借方差额导致资本公积不足冲减的，不足部分计入留存收益。同一 控制下的企业合并中，合并方发生的审计、法律服务、评估咨询等中介费用以及其他相关管理费用，于发生时计入当期 损益。</w:t>
      </w:r>
    </w:p>
    <w:p>
      <w:pPr>
        <w:spacing w:after="0" w:line="367" w:lineRule="auto"/>
        <w:jc w:val="both"/>
        <w:sectPr>
          <w:headerReference w:type="default" r:id="rId50"/>
          <w:pgSz w:w="11910" w:h="16840"/>
          <w:pgMar w:header="918" w:footer="979" w:top="1100" w:bottom="1160" w:left="920" w:right="900"/>
        </w:sectPr>
      </w:pPr>
    </w:p>
    <w:p>
      <w:pPr>
        <w:spacing w:line="240" w:lineRule="auto" w:before="2"/>
        <w:rPr>
          <w:rFonts w:ascii="宋体" w:hAnsi="宋体" w:cs="宋体" w:eastAsia="宋体" w:hint="default"/>
          <w:sz w:val="27"/>
          <w:szCs w:val="27"/>
        </w:rPr>
      </w:pPr>
    </w:p>
    <w:p>
      <w:pPr>
        <w:pStyle w:val="BodyText"/>
        <w:spacing w:line="367" w:lineRule="auto" w:before="44"/>
        <w:ind w:right="109" w:firstLine="360"/>
        <w:jc w:val="left"/>
      </w:pPr>
      <w:r>
        <w:rPr>
          <w:spacing w:val="-2"/>
        </w:rPr>
        <w:t>通过非同一控制下的合并取得的长期股权投资，按照确定的合并成本作为长期股权投资的初始投资成本。合并成本为在</w:t>
      </w:r>
      <w:r>
        <w:rPr/>
        <w:t> </w:t>
      </w:r>
      <w:r>
        <w:rPr>
          <w:spacing w:val="-2"/>
        </w:rPr>
        <w:t>购买日为取得对被购买方的控制权而付出的资产、发生或承担的负债以及发行的权益性证券的公允价值。合并成本大于享有</w:t>
      </w:r>
      <w:r>
        <w:rPr>
          <w:spacing w:val="-64"/>
        </w:rPr>
        <w:t> </w:t>
      </w:r>
      <w:r>
        <w:rPr>
          <w:spacing w:val="-64"/>
        </w:rPr>
      </w:r>
      <w:r>
        <w:rPr>
          <w:spacing w:val="-2"/>
        </w:rPr>
        <w:t>被购买单位可辩认净资产公允价值份额的差额，在合并财务报表中确认为商誉；合并成本小于享有被购买单位可辩认净资产</w:t>
      </w:r>
      <w:r>
        <w:rPr>
          <w:spacing w:val="-64"/>
        </w:rPr>
        <w:t> </w:t>
      </w:r>
      <w:r>
        <w:rPr>
          <w:spacing w:val="-64"/>
        </w:rPr>
      </w:r>
      <w:r>
        <w:rPr>
          <w:spacing w:val="-2"/>
        </w:rPr>
        <w:t>公允价值份额的差额，计入当期损益。非同一控制下的企业合并中，购买方为企业合并发生的审计、法律服务、评估咨询等</w:t>
      </w:r>
      <w:r>
        <w:rPr>
          <w:spacing w:val="-67"/>
        </w:rPr>
        <w:t> </w:t>
      </w:r>
      <w:r>
        <w:rPr>
          <w:spacing w:val="-67"/>
        </w:rPr>
      </w:r>
      <w:r>
        <w:rPr>
          <w:spacing w:val="-4"/>
        </w:rPr>
        <w:t>中介费用以及其他相关管理费用，于发生时计入当期损益。购买方作为合并对价发行的权益性证券或债务性证券的交易费用，</w:t>
      </w:r>
      <w:r>
        <w:rPr>
          <w:spacing w:val="-44"/>
        </w:rPr>
        <w:t> </w:t>
      </w:r>
      <w:r>
        <w:rPr>
          <w:spacing w:val="-44"/>
        </w:rPr>
      </w:r>
      <w:r>
        <w:rPr/>
        <w:t>计入权益性证券或债务性证券的初始确认金额。</w:t>
      </w:r>
    </w:p>
    <w:p>
      <w:pPr>
        <w:spacing w:line="240" w:lineRule="auto" w:before="2"/>
        <w:rPr>
          <w:rFonts w:ascii="宋体" w:hAnsi="宋体" w:cs="宋体" w:eastAsia="宋体" w:hint="default"/>
          <w:sz w:val="14"/>
          <w:szCs w:val="14"/>
        </w:rPr>
      </w:pPr>
    </w:p>
    <w:p>
      <w:pPr>
        <w:pStyle w:val="BodyText"/>
        <w:spacing w:line="367" w:lineRule="auto"/>
        <w:ind w:right="189" w:firstLine="360"/>
        <w:jc w:val="both"/>
      </w:pPr>
      <w:r>
        <w:rPr>
          <w:spacing w:val="-2"/>
        </w:rPr>
        <w:t>除上述通过企业合并取得的长期股权投资外，通过支付的现金、付出的非货币性资产或发生的权益性证券的方式取得的</w:t>
      </w:r>
      <w:r>
        <w:rPr/>
        <w:t> </w:t>
      </w:r>
      <w:r>
        <w:rPr>
          <w:spacing w:val="-2"/>
        </w:rPr>
        <w:t>长期股权投资，以其公允价值作为长期股权投资的初始投资成本；通过债务重组方式取得的长期股权投资，以债权转为股权</w:t>
      </w:r>
      <w:r>
        <w:rPr>
          <w:spacing w:val="-63"/>
        </w:rPr>
        <w:t> </w:t>
      </w:r>
      <w:r>
        <w:rPr>
          <w:spacing w:val="-63"/>
        </w:rPr>
      </w:r>
      <w:r>
        <w:rPr>
          <w:spacing w:val="-2"/>
        </w:rPr>
        <w:t>所享有股份的公允价值确认为长期股权投资的初始投资成本；投资者投入的长期股权投资，以投资合同或协议约定的价值作</w:t>
      </w:r>
      <w:r>
        <w:rPr>
          <w:spacing w:val="-64"/>
        </w:rPr>
        <w:t> </w:t>
      </w:r>
      <w:r>
        <w:rPr>
          <w:spacing w:val="-64"/>
        </w:rPr>
      </w:r>
      <w:r>
        <w:rPr>
          <w:spacing w:val="-2"/>
        </w:rPr>
        <w:t>为初始投资成本，但合同或协议约定价值不公允时，则以投入股权的公允价值作为初始投资成本。实际支付的价款或对价中</w:t>
      </w:r>
      <w:r>
        <w:rPr>
          <w:spacing w:val="-63"/>
        </w:rPr>
        <w:t> </w:t>
      </w:r>
      <w:r>
        <w:rPr>
          <w:spacing w:val="-63"/>
        </w:rPr>
      </w:r>
      <w:r>
        <w:rPr/>
        <w:t>包含的已宣告但尚未领取的现金股利，作为应收项目单独核算。</w:t>
      </w:r>
    </w:p>
    <w:p>
      <w:pPr>
        <w:pStyle w:val="BodyText"/>
        <w:spacing w:line="240" w:lineRule="auto" w:before="82"/>
        <w:ind w:left="513" w:right="109"/>
        <w:jc w:val="left"/>
      </w:pPr>
      <w:r>
        <w:rPr/>
        <w:t>（</w:t>
      </w:r>
      <w:r>
        <w:rPr>
          <w:rFonts w:ascii="Times New Roman" w:hAnsi="Times New Roman" w:cs="Times New Roman" w:eastAsia="Times New Roman" w:hint="default"/>
        </w:rPr>
        <w:t>2</w:t>
      </w:r>
      <w:r>
        <w:rPr/>
        <w:t>）长期股权投资的后续计量及收益确认</w:t>
      </w:r>
    </w:p>
    <w:p>
      <w:pPr>
        <w:pStyle w:val="BodyText"/>
        <w:spacing w:line="500" w:lineRule="atLeast" w:before="16"/>
        <w:ind w:left="513" w:right="109"/>
        <w:jc w:val="left"/>
      </w:pPr>
      <w:r>
        <w:rPr>
          <w:rFonts w:ascii="Times New Roman" w:hAnsi="Times New Roman" w:cs="Times New Roman" w:eastAsia="Times New Roman" w:hint="default"/>
        </w:rPr>
        <w:t>A</w:t>
      </w:r>
      <w:r>
        <w:rPr/>
        <w:t>、长期股权投资的成本法核算 </w:t>
      </w:r>
      <w:r>
        <w:rPr>
          <w:spacing w:val="-2"/>
        </w:rPr>
        <w:t>本公司对被投资单位能够实施控制、不具有共同控制或重大影响，并且在活跃市场中没有报价、公允价值不能可靠计量</w:t>
      </w:r>
    </w:p>
    <w:p>
      <w:pPr>
        <w:pStyle w:val="BodyText"/>
        <w:spacing w:line="367" w:lineRule="auto" w:before="124"/>
        <w:ind w:right="190"/>
        <w:jc w:val="both"/>
      </w:pPr>
      <w:r>
        <w:rPr>
          <w:spacing w:val="-2"/>
        </w:rPr>
        <w:t>的，长期股权投资采用成本法核算。采用成本法核算的长期股权投资按照初始投资成本计价，追加或收回投资调整长期股权</w:t>
      </w:r>
      <w:r>
        <w:rPr>
          <w:spacing w:val="-63"/>
        </w:rPr>
        <w:t> </w:t>
      </w:r>
      <w:r>
        <w:rPr>
          <w:spacing w:val="-63"/>
        </w:rPr>
      </w:r>
      <w:r>
        <w:rPr>
          <w:spacing w:val="-2"/>
        </w:rPr>
        <w:t>投资的成本。对被投资单位宣告分派的现金股利或利润，以被投资单位接受投资后产生的累计净利润的分配额为限确认为当</w:t>
      </w:r>
      <w:r>
        <w:rPr>
          <w:spacing w:val="-62"/>
        </w:rPr>
        <w:t> </w:t>
      </w:r>
      <w:r>
        <w:rPr>
          <w:spacing w:val="-62"/>
        </w:rPr>
      </w:r>
      <w:r>
        <w:rPr/>
        <w:t>期投资收益，超过部分作为初始投资成本的收回。</w:t>
      </w:r>
    </w:p>
    <w:p>
      <w:pPr>
        <w:spacing w:line="240" w:lineRule="auto" w:before="2"/>
        <w:rPr>
          <w:rFonts w:ascii="宋体" w:hAnsi="宋体" w:cs="宋体" w:eastAsia="宋体" w:hint="default"/>
          <w:sz w:val="14"/>
          <w:szCs w:val="14"/>
        </w:rPr>
      </w:pPr>
    </w:p>
    <w:p>
      <w:pPr>
        <w:pStyle w:val="BodyText"/>
        <w:spacing w:line="496" w:lineRule="auto"/>
        <w:ind w:left="513" w:right="2973"/>
        <w:jc w:val="left"/>
      </w:pPr>
      <w:r>
        <w:rPr>
          <w:rFonts w:ascii="Times New Roman" w:hAnsi="Times New Roman" w:cs="Times New Roman" w:eastAsia="Times New Roman" w:hint="default"/>
        </w:rPr>
        <w:t>B</w:t>
      </w:r>
      <w:r>
        <w:rPr/>
        <w:t>、长期股权投资的权益法核算 本公司对被投资单位具有共同控制或重大影响的长期股权投资，采用权益法核算。</w:t>
      </w:r>
    </w:p>
    <w:p>
      <w:pPr>
        <w:pStyle w:val="BodyText"/>
        <w:spacing w:line="367" w:lineRule="auto" w:before="88"/>
        <w:ind w:right="93" w:firstLine="360"/>
        <w:jc w:val="left"/>
      </w:pPr>
      <w:r>
        <w:rPr>
          <w:spacing w:val="-2"/>
        </w:rPr>
        <w:t>权益法核算的长期股权投资的初始投资成本大于投资时应享有被投资单位可辨认净资产公允价值份额的，不调整长期股</w:t>
      </w:r>
      <w:r>
        <w:rPr/>
        <w:t> 权投资的初始投资成本；初始投资成本小于投资时应享有被投资单位可辨认净资产公允价值份额的，其差额计入当期损益， 同时调整长期股权投资的成本。</w:t>
      </w:r>
    </w:p>
    <w:p>
      <w:pPr>
        <w:spacing w:line="240" w:lineRule="auto" w:before="2"/>
        <w:rPr>
          <w:rFonts w:ascii="宋体" w:hAnsi="宋体" w:cs="宋体" w:eastAsia="宋体" w:hint="default"/>
          <w:sz w:val="14"/>
          <w:szCs w:val="14"/>
        </w:rPr>
      </w:pPr>
    </w:p>
    <w:p>
      <w:pPr>
        <w:pStyle w:val="BodyText"/>
        <w:spacing w:line="367" w:lineRule="auto"/>
        <w:ind w:right="109" w:firstLine="360"/>
        <w:jc w:val="left"/>
      </w:pPr>
      <w:r>
        <w:rPr>
          <w:spacing w:val="-2"/>
        </w:rPr>
        <w:t>本公司在取得长期股权投资后，按照享有或分担的被投资单位实现的净损益的份额，确认投资损益，并调整长期股权投</w:t>
      </w:r>
      <w:r>
        <w:rPr/>
        <w:t> </w:t>
      </w:r>
      <w:r>
        <w:rPr>
          <w:spacing w:val="-4"/>
        </w:rPr>
        <w:t>资的账面价值。在确认应分担被投资单位发生的亏损时，按照以下顺序进行处理：首先冲减长期股权投资的账面价值，其次，</w:t>
      </w:r>
      <w:r>
        <w:rPr>
          <w:spacing w:val="-47"/>
        </w:rPr>
        <w:t> </w:t>
      </w:r>
      <w:r>
        <w:rPr>
          <w:spacing w:val="-47"/>
        </w:rPr>
      </w:r>
      <w:r>
        <w:rPr>
          <w:spacing w:val="-2"/>
        </w:rPr>
        <w:t>如果长期股权投资的账面价值不足以冲减的，以其它实质上构成对被投资单位净投资的长期权益（通常是指长期性的应收项</w:t>
      </w:r>
      <w:r>
        <w:rPr>
          <w:spacing w:val="-64"/>
        </w:rPr>
        <w:t> </w:t>
      </w:r>
      <w:r>
        <w:rPr>
          <w:spacing w:val="-64"/>
        </w:rPr>
      </w:r>
      <w:r>
        <w:rPr>
          <w:spacing w:val="-2"/>
        </w:rPr>
        <w:t>目）账面价值为限继续确认投资损失，第三，经过上述处理后，按照投资合同或协议约定企业仍承担额外义务的，按预计承</w:t>
      </w:r>
      <w:r>
        <w:rPr>
          <w:spacing w:val="-67"/>
        </w:rPr>
        <w:t> </w:t>
      </w:r>
      <w:r>
        <w:rPr>
          <w:spacing w:val="-67"/>
        </w:rPr>
      </w:r>
      <w:r>
        <w:rPr>
          <w:spacing w:val="-2"/>
        </w:rPr>
        <w:t>担的义务确认预计负债，计入当期投资损失。被投资单位以后期间实现盈利的，在扣除未确认的亏损分担额后，按照与上述</w:t>
      </w:r>
      <w:r>
        <w:rPr>
          <w:spacing w:val="-65"/>
        </w:rPr>
        <w:t> </w:t>
      </w:r>
      <w:r>
        <w:rPr>
          <w:spacing w:val="-65"/>
        </w:rPr>
      </w:r>
      <w:r>
        <w:rPr>
          <w:spacing w:val="-2"/>
        </w:rPr>
        <w:t>相反的顺序处理，减记已确认预计负债的账面余额、恢复其它实质上构成对被投资单位净投资的长期权益及长期股权投资的</w:t>
      </w:r>
      <w:r>
        <w:rPr>
          <w:spacing w:val="-63"/>
        </w:rPr>
        <w:t> </w:t>
      </w:r>
      <w:r>
        <w:rPr>
          <w:spacing w:val="-63"/>
        </w:rPr>
      </w:r>
      <w:r>
        <w:rPr/>
        <w:t>账面价值，同时确认投资收益。</w:t>
      </w:r>
    </w:p>
    <w:p>
      <w:pPr>
        <w:spacing w:line="240" w:lineRule="auto" w:before="2"/>
        <w:rPr>
          <w:rFonts w:ascii="宋体" w:hAnsi="宋体" w:cs="宋体" w:eastAsia="宋体" w:hint="default"/>
          <w:sz w:val="14"/>
          <w:szCs w:val="14"/>
        </w:rPr>
      </w:pPr>
    </w:p>
    <w:p>
      <w:pPr>
        <w:pStyle w:val="BodyText"/>
        <w:spacing w:line="367" w:lineRule="auto"/>
        <w:ind w:right="103"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投资单位的净利润进行调整后确认。在进行有关调整时，一般只考虑取得投资时被投资单位固定资产、无形资产的公允价值</w:t>
      </w:r>
      <w:r>
        <w:rPr>
          <w:spacing w:val="-66"/>
        </w:rPr>
        <w:t> </w:t>
      </w:r>
      <w:r>
        <w:rPr>
          <w:spacing w:val="-66"/>
        </w:rPr>
      </w:r>
      <w:r>
        <w:rPr>
          <w:spacing w:val="-2"/>
        </w:rPr>
        <w:t>为基础计提的折旧额或摊销额以及减值准备的金额对被投资单位净利润的影响，其它项目如为重要的，也进行调整。本公司</w:t>
      </w:r>
      <w:r>
        <w:rPr>
          <w:spacing w:val="-66"/>
        </w:rPr>
        <w:t> </w:t>
      </w:r>
      <w:r>
        <w:rPr>
          <w:spacing w:val="-66"/>
        </w:rPr>
      </w:r>
      <w:r>
        <w:rPr/>
        <w:t>在无法可靠确定投资时被投资单位各项可辨认资产等的公允价值或公允价值与其账面价值之间的差额较小或其它原因导致</w:t>
      </w:r>
      <w:r>
        <w:rPr>
          <w:spacing w:val="-11"/>
        </w:rPr>
        <w:t> </w:t>
      </w:r>
      <w:r>
        <w:rPr>
          <w:spacing w:val="-11"/>
        </w:rPr>
      </w:r>
      <w:r>
        <w:rPr>
          <w:spacing w:val="-4"/>
        </w:rPr>
        <w:t>无法对被投资单位净损益进行调整的，按照被投资单位的账面净损益与持股比例计算确认投资损益，并披露此事实及其原因。</w:t>
      </w:r>
    </w:p>
    <w:p>
      <w:pPr>
        <w:spacing w:after="0" w:line="367" w:lineRule="auto"/>
        <w:jc w:val="both"/>
        <w:sectPr>
          <w:pgSz w:w="11910" w:h="16840"/>
          <w:pgMar w:header="918" w:footer="979" w:top="1100" w:bottom="1160" w:left="980" w:right="940"/>
        </w:sectPr>
      </w:pPr>
    </w:p>
    <w:p>
      <w:pPr>
        <w:pStyle w:val="BodyText"/>
        <w:spacing w:line="240" w:lineRule="auto" w:before="125"/>
        <w:ind w:right="0"/>
        <w:jc w:val="left"/>
      </w:pPr>
      <w:r>
        <w:rPr/>
        <w:t>净损益以外所有者权益的其它变动额计算应享有或承担的部分，调整长期股权投资的账面价值，同时计入资本公积。</w:t>
      </w:r>
    </w:p>
    <w:p>
      <w:pPr>
        <w:pStyle w:val="BodyText"/>
        <w:spacing w:line="500" w:lineRule="atLeast" w:before="29"/>
        <w:ind w:left="513" w:right="0"/>
        <w:jc w:val="left"/>
      </w:pPr>
      <w:r>
        <w:rPr>
          <w:rFonts w:ascii="Times New Roman" w:hAnsi="Times New Roman" w:cs="Times New Roman" w:eastAsia="Times New Roman" w:hint="default"/>
        </w:rPr>
        <w:t>C</w:t>
      </w:r>
      <w:r>
        <w:rPr/>
        <w:t>、长期股权投资权益法核算与成本法核算的转换 </w:t>
      </w:r>
      <w:r>
        <w:rPr>
          <w:spacing w:val="-2"/>
        </w:rPr>
        <w:t>本公司对因减少投资等原因对被投资单位不再具有共同控制或重大影响的，并且在活跃市场中没有报价、公允价值不能</w:t>
      </w:r>
    </w:p>
    <w:p>
      <w:pPr>
        <w:pStyle w:val="BodyText"/>
        <w:spacing w:line="525" w:lineRule="auto" w:before="124"/>
        <w:ind w:left="513" w:right="0" w:hanging="360"/>
        <w:jc w:val="left"/>
      </w:pPr>
      <w:r>
        <w:rPr/>
        <w:t>可靠计量的长期股权投资，改按成本法核算。 本公司对因追加投资等原因能够对被投资单位实施共同控制或重大影响但不构成控制的，改按权益法核算。 </w:t>
      </w:r>
      <w:r>
        <w:rPr>
          <w:rFonts w:ascii="Times New Roman" w:hAnsi="Times New Roman" w:cs="Times New Roman" w:eastAsia="Times New Roman" w:hint="default"/>
        </w:rPr>
        <w:t>D</w:t>
      </w:r>
      <w:r>
        <w:rPr/>
        <w:t>、长期股权投资的处置</w:t>
      </w:r>
    </w:p>
    <w:p>
      <w:pPr>
        <w:pStyle w:val="BodyText"/>
        <w:spacing w:line="367" w:lineRule="auto" w:before="29"/>
        <w:ind w:right="112" w:firstLine="360"/>
        <w:jc w:val="both"/>
      </w:pPr>
      <w:r>
        <w:rPr>
          <w:spacing w:val="-2"/>
        </w:rPr>
        <w:t>本公司处置长期股权投资，其账面价值与实际取得价款的差额，计入投资收益。对采用权益法核算的长期股权投资，因</w:t>
      </w:r>
      <w:r>
        <w:rPr/>
        <w:t> </w:t>
      </w:r>
      <w:r>
        <w:rPr>
          <w:spacing w:val="-2"/>
        </w:rPr>
        <w:t>被投资单位除净损益以外所有者权益的其它变动而计入所有者权益的，处置该项投资时将原计入所有者权益的部分按相应比</w:t>
      </w:r>
      <w:r>
        <w:rPr>
          <w:spacing w:val="-64"/>
        </w:rPr>
        <w:t> </w:t>
      </w:r>
      <w:r>
        <w:rPr>
          <w:spacing w:val="-64"/>
        </w:rPr>
      </w:r>
      <w:r>
        <w:rPr/>
        <w:t>例转入投资收益。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E</w:t>
      </w:r>
      <w:r>
        <w:rPr/>
        <w:t>、长期股权投资的减值</w:t>
      </w:r>
    </w:p>
    <w:p>
      <w:pPr>
        <w:spacing w:line="240" w:lineRule="auto" w:before="5"/>
        <w:rPr>
          <w:rFonts w:ascii="宋体" w:hAnsi="宋体" w:cs="宋体" w:eastAsia="宋体" w:hint="default"/>
          <w:sz w:val="20"/>
          <w:szCs w:val="20"/>
        </w:rPr>
      </w:pPr>
    </w:p>
    <w:p>
      <w:pPr>
        <w:pStyle w:val="BodyText"/>
        <w:spacing w:line="367" w:lineRule="auto"/>
        <w:ind w:right="109" w:firstLine="360"/>
        <w:jc w:val="both"/>
      </w:pPr>
      <w:r>
        <w:rPr>
          <w:spacing w:val="-2"/>
        </w:rPr>
        <w:t>本公司在资产负债表日对长期股权投资的账面价值进行检查，在被投资单位发生严重财务困难很可能倒闭或进行其它财</w:t>
      </w:r>
      <w:r>
        <w:rPr/>
        <w:t> </w:t>
      </w:r>
      <w:r>
        <w:rPr>
          <w:spacing w:val="-2"/>
        </w:rPr>
        <w:t>务重组等原因导致其可收回金额明显低于账面价值的，按单项投资分析提取减值准备。其中对成本法核算的、在活跃市场中</w:t>
      </w:r>
      <w:r>
        <w:rPr>
          <w:spacing w:val="-63"/>
        </w:rPr>
        <w:t> </w:t>
      </w:r>
      <w:r>
        <w:rPr>
          <w:spacing w:val="-63"/>
        </w:rPr>
      </w:r>
      <w:r>
        <w:rPr>
          <w:spacing w:val="-2"/>
        </w:rPr>
        <w:t>没有报价、公允价值不能可靠计量的长期股权投资，以该投资的账面价值与按照类似金融资产当时市场收益率对未来现金流</w:t>
      </w:r>
      <w:r>
        <w:rPr>
          <w:spacing w:val="-64"/>
        </w:rPr>
        <w:t> </w:t>
      </w:r>
      <w:r>
        <w:rPr>
          <w:spacing w:val="-64"/>
        </w:rPr>
      </w:r>
      <w:r>
        <w:rPr>
          <w:spacing w:val="-2"/>
        </w:rPr>
        <w:t>量折现确定的现值之间的差额，确认减值损失。对其他股权投资，以该投资的账面价值与其可收回金额（在可收回金额无法</w:t>
      </w:r>
      <w:r>
        <w:rPr>
          <w:spacing w:val="-64"/>
        </w:rPr>
        <w:t> </w:t>
      </w:r>
      <w:r>
        <w:rPr>
          <w:spacing w:val="-64"/>
        </w:rPr>
      </w:r>
      <w:r>
        <w:rPr/>
        <w:t>确定时采用预计未来现金流量的现值）的差额，确认减值损失。长期股权投资减值准备一经提取后不得转回。</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3</w:t>
      </w:r>
      <w:r>
        <w:rPr/>
        <w:t>）被投资单位具有共同控制、重大影响的依据</w:t>
      </w:r>
    </w:p>
    <w:p>
      <w:pPr>
        <w:spacing w:line="240" w:lineRule="auto" w:before="6"/>
        <w:rPr>
          <w:rFonts w:ascii="宋体" w:hAnsi="宋体" w:cs="宋体" w:eastAsia="宋体" w:hint="default"/>
          <w:sz w:val="20"/>
          <w:szCs w:val="20"/>
        </w:rPr>
      </w:pPr>
    </w:p>
    <w:p>
      <w:pPr>
        <w:pStyle w:val="BodyText"/>
        <w:spacing w:line="367" w:lineRule="auto"/>
        <w:ind w:right="110" w:firstLine="360"/>
        <w:jc w:val="both"/>
      </w:pPr>
      <w:r>
        <w:rPr>
          <w:spacing w:val="-2"/>
        </w:rPr>
        <w:t>按照合同约定对某项经济活动所共有的控制，仅在与该项经济活动相关的重要财务和经营决策需要分享控制权的投资方</w:t>
      </w:r>
      <w:r>
        <w:rPr/>
        <w:t> </w:t>
      </w:r>
      <w:r>
        <w:rPr>
          <w:spacing w:val="-2"/>
        </w:rPr>
        <w:t>一致同意时存在，则视为与其他方对被投资单位实施共同控制；对一个企业的财务和经营决策有参与决策的权力，但并不能</w:t>
      </w:r>
      <w:r>
        <w:rPr>
          <w:spacing w:val="-64"/>
        </w:rPr>
        <w:t> </w:t>
      </w:r>
      <w:r>
        <w:rPr>
          <w:spacing w:val="-64"/>
        </w:rPr>
      </w:r>
      <w:r>
        <w:rPr/>
        <w:t>够控制或者与其他方一起共同控制这些政策的制定，则视为投资企业能够对被投资单位施加重大影响。</w:t>
      </w:r>
    </w:p>
    <w:p>
      <w:pPr>
        <w:spacing w:line="240" w:lineRule="auto" w:before="3"/>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9</w:t>
      </w:r>
      <w:r>
        <w:rPr/>
        <w:t>、固定资产的核算方法</w:t>
      </w:r>
      <w:r>
        <w:rPr>
          <w:b w:val="0"/>
          <w:bCs w:val="0"/>
        </w:rPr>
      </w:r>
    </w:p>
    <w:p>
      <w:pPr>
        <w:spacing w:line="240" w:lineRule="auto" w:before="8"/>
        <w:rPr>
          <w:rFonts w:ascii="宋体" w:hAnsi="宋体" w:cs="宋体" w:eastAsia="宋体" w:hint="default"/>
          <w:b/>
          <w:bCs/>
          <w:sz w:val="31"/>
          <w:szCs w:val="31"/>
        </w:rPr>
      </w:pPr>
    </w:p>
    <w:p>
      <w:pPr>
        <w:pStyle w:val="BodyText"/>
        <w:spacing w:line="511" w:lineRule="auto"/>
        <w:ind w:left="513" w:right="193"/>
        <w:jc w:val="left"/>
      </w:pPr>
      <w:r>
        <w:rPr/>
        <w:t>（</w:t>
      </w:r>
      <w:r>
        <w:rPr>
          <w:rFonts w:ascii="Times New Roman" w:hAnsi="Times New Roman" w:cs="Times New Roman" w:eastAsia="Times New Roman" w:hint="default"/>
        </w:rPr>
        <w:t>1</w:t>
      </w:r>
      <w:r>
        <w:rPr/>
        <w:t>）固定资产的确认标准 本公司固定资产是指为生产商品、提供劳务、出租或经营管理而持有的，使用寿命超过一个会计年度的有形资产。 与该固定资产有关的经济利益很可能流入企业，并且该固定资产的成本能够可靠地计量时，固定资产才能予以确认。</w:t>
      </w:r>
    </w:p>
    <w:p>
      <w:pPr>
        <w:pStyle w:val="BodyText"/>
        <w:spacing w:line="240" w:lineRule="auto" w:before="77"/>
        <w:ind w:left="513" w:right="0"/>
        <w:jc w:val="left"/>
      </w:pPr>
      <w:r>
        <w:rPr/>
        <w:t>（</w:t>
      </w:r>
      <w:r>
        <w:rPr>
          <w:rFonts w:ascii="Times New Roman" w:hAnsi="Times New Roman" w:cs="Times New Roman" w:eastAsia="Times New Roman" w:hint="default"/>
        </w:rPr>
        <w:t>2</w:t>
      </w:r>
      <w:r>
        <w:rPr/>
        <w:t>）固定资产在取得时按发生的实际成本入账。</w:t>
      </w:r>
    </w:p>
    <w:p>
      <w:pPr>
        <w:pStyle w:val="BodyText"/>
        <w:spacing w:line="516" w:lineRule="exact" w:before="64"/>
        <w:ind w:left="513" w:right="0"/>
        <w:jc w:val="left"/>
      </w:pPr>
      <w:r>
        <w:rPr/>
        <w:t>（</w:t>
      </w:r>
      <w:r>
        <w:rPr>
          <w:rFonts w:ascii="Times New Roman" w:hAnsi="Times New Roman" w:cs="Times New Roman" w:eastAsia="Times New Roman" w:hint="default"/>
        </w:rPr>
        <w:t>3</w:t>
      </w:r>
      <w:r>
        <w:rPr/>
        <w:t>）固定资产后续支出的核算方法 本公司的固定资产后续支出是指固定资产在使用过程中发生的更新改造支出、修理费用等。 </w:t>
      </w:r>
      <w:r>
        <w:rPr>
          <w:spacing w:val="-2"/>
        </w:rPr>
        <w:t>固定资产的更新改造等后续支出，满足上述固定资产确认条件的，应当计入固定资产成本，如有被替换的部分，应扣除</w:t>
      </w:r>
    </w:p>
    <w:p>
      <w:pPr>
        <w:pStyle w:val="BodyText"/>
        <w:spacing w:line="240" w:lineRule="auto" w:before="46"/>
        <w:ind w:right="0"/>
        <w:jc w:val="left"/>
      </w:pPr>
      <w:r>
        <w:rPr/>
        <w:t>其账面价值；不满足上述固定资产确认条件的固定资产修理费用等，应当在发生时计入当期损益。</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t>（</w:t>
      </w:r>
      <w:r>
        <w:rPr>
          <w:rFonts w:ascii="Times New Roman" w:hAnsi="Times New Roman" w:cs="Times New Roman" w:eastAsia="Times New Roman" w:hint="default"/>
        </w:rPr>
        <w:t>4</w:t>
      </w:r>
      <w:r>
        <w:rPr/>
        <w:t>）固定资产的分类</w:t>
      </w:r>
    </w:p>
    <w:p>
      <w:pPr>
        <w:spacing w:after="0" w:line="240" w:lineRule="auto"/>
        <w:jc w:val="left"/>
        <w:sectPr>
          <w:headerReference w:type="default" r:id="rId51"/>
          <w:pgSz w:w="11910" w:h="16840"/>
          <w:pgMar w:header="1104" w:footer="979" w:top="1740" w:bottom="1160" w:left="980" w:right="1020"/>
        </w:sectPr>
      </w:pPr>
    </w:p>
    <w:p>
      <w:pPr>
        <w:spacing w:line="240" w:lineRule="auto" w:before="2"/>
        <w:rPr>
          <w:rFonts w:ascii="宋体" w:hAnsi="宋体" w:cs="宋体" w:eastAsia="宋体" w:hint="default"/>
          <w:sz w:val="27"/>
          <w:szCs w:val="27"/>
        </w:rPr>
      </w:pPr>
    </w:p>
    <w:p>
      <w:pPr>
        <w:pStyle w:val="BodyText"/>
        <w:spacing w:line="240" w:lineRule="auto" w:before="44"/>
        <w:ind w:left="573" w:right="115"/>
        <w:jc w:val="left"/>
      </w:pPr>
      <w:r>
        <w:rPr/>
        <w:t>固定资产主要分为房屋建筑物、机器设备、运输设备、电子设备及其他等。</w:t>
      </w:r>
    </w:p>
    <w:p>
      <w:pPr>
        <w:pStyle w:val="BodyText"/>
        <w:spacing w:line="500" w:lineRule="atLeast" w:before="30"/>
        <w:ind w:left="573" w:right="115"/>
        <w:jc w:val="left"/>
      </w:pPr>
      <w:r>
        <w:rPr/>
        <w:t>（</w:t>
      </w:r>
      <w:r>
        <w:rPr>
          <w:rFonts w:ascii="Times New Roman" w:hAnsi="Times New Roman" w:cs="Times New Roman" w:eastAsia="Times New Roman" w:hint="default"/>
        </w:rPr>
        <w:t>5</w:t>
      </w:r>
      <w:r>
        <w:rPr/>
        <w:t>）固定资产折旧方法 </w:t>
      </w:r>
      <w:r>
        <w:rPr>
          <w:spacing w:val="-2"/>
        </w:rPr>
        <w:t>本公司采用年限平均法计提折旧。本公司对未计提减值准备的固定资产，按固定资产类别、预计使用寿命和预计净残值</w:t>
      </w:r>
    </w:p>
    <w:p>
      <w:pPr>
        <w:pStyle w:val="BodyText"/>
        <w:spacing w:line="240" w:lineRule="auto" w:before="124"/>
        <w:ind w:left="213" w:right="115"/>
        <w:jc w:val="left"/>
      </w:pPr>
      <w:r>
        <w:rPr/>
        <w:t>计提折旧，本公司确定各类固定资产的年折旧率如下：</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373"/>
        <w:gridCol w:w="2554"/>
        <w:gridCol w:w="2466"/>
        <w:gridCol w:w="2463"/>
      </w:tblGrid>
      <w:tr>
        <w:trPr>
          <w:trHeight w:val="272" w:hRule="exact"/>
        </w:trPr>
        <w:tc>
          <w:tcPr>
            <w:tcW w:w="2373" w:type="dxa"/>
            <w:tcBorders>
              <w:top w:val="nil" w:sz="6" w:space="0" w:color="auto"/>
              <w:left w:val="nil" w:sz="6" w:space="0" w:color="auto"/>
              <w:bottom w:val="single" w:sz="4" w:space="0" w:color="000000"/>
              <w:right w:val="nil" w:sz="6" w:space="0" w:color="auto"/>
            </w:tcBorders>
          </w:tcPr>
          <w:p>
            <w:pPr>
              <w:pStyle w:val="TableParagraph"/>
              <w:spacing w:line="180"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554" w:type="dxa"/>
            <w:tcBorders>
              <w:top w:val="nil" w:sz="6" w:space="0" w:color="auto"/>
              <w:left w:val="nil" w:sz="6" w:space="0" w:color="auto"/>
              <w:bottom w:val="single" w:sz="4" w:space="0" w:color="000000"/>
              <w:right w:val="nil" w:sz="6" w:space="0" w:color="auto"/>
            </w:tcBorders>
          </w:tcPr>
          <w:p>
            <w:pPr>
              <w:pStyle w:val="TableParagraph"/>
              <w:spacing w:line="194" w:lineRule="exact"/>
              <w:ind w:left="690" w:right="0"/>
              <w:jc w:val="left"/>
              <w:rPr>
                <w:rFonts w:ascii="宋体" w:hAnsi="宋体" w:cs="宋体" w:eastAsia="宋体" w:hint="default"/>
                <w:sz w:val="18"/>
                <w:szCs w:val="18"/>
              </w:rPr>
            </w:pPr>
            <w:r>
              <w:rPr>
                <w:rFonts w:ascii="宋体" w:hAnsi="宋体" w:cs="宋体" w:eastAsia="宋体" w:hint="default"/>
                <w:b/>
                <w:bCs/>
                <w:sz w:val="18"/>
                <w:szCs w:val="18"/>
              </w:rPr>
              <w:t>净残值率（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6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2463"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3" w:hRule="exact"/>
        </w:trPr>
        <w:tc>
          <w:tcPr>
            <w:tcW w:w="237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38"/>
              <w:jc w:val="center"/>
              <w:rPr>
                <w:rFonts w:ascii="Times New Roman" w:hAnsi="Times New Roman" w:cs="Times New Roman" w:eastAsia="Times New Roman" w:hint="default"/>
                <w:sz w:val="18"/>
                <w:szCs w:val="18"/>
              </w:rPr>
            </w:pPr>
            <w:r>
              <w:rPr>
                <w:rFonts w:ascii="Times New Roman"/>
                <w:sz w:val="18"/>
              </w:rPr>
              <w:t>3</w:t>
            </w:r>
          </w:p>
        </w:tc>
        <w:tc>
          <w:tcPr>
            <w:tcW w:w="246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4.85-2.43</w:t>
            </w:r>
          </w:p>
        </w:tc>
      </w:tr>
      <w:tr>
        <w:trPr>
          <w:trHeight w:val="439"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8"/>
              <w:jc w:val="center"/>
              <w:rPr>
                <w:rFonts w:ascii="Times New Roman" w:hAnsi="Times New Roman" w:cs="Times New Roman" w:eastAsia="Times New Roman" w:hint="default"/>
                <w:sz w:val="18"/>
                <w:szCs w:val="18"/>
              </w:rPr>
            </w:pPr>
            <w:r>
              <w:rPr>
                <w:rFonts w:ascii="Times New Roman"/>
                <w:sz w:val="18"/>
              </w:rPr>
              <w:t>3</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19.40</w:t>
            </w:r>
          </w:p>
        </w:tc>
      </w:tr>
      <w:tr>
        <w:trPr>
          <w:trHeight w:val="440"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8"/>
              <w:jc w:val="center"/>
              <w:rPr>
                <w:rFonts w:ascii="Times New Roman" w:hAnsi="Times New Roman" w:cs="Times New Roman" w:eastAsia="Times New Roman" w:hint="default"/>
                <w:sz w:val="18"/>
                <w:szCs w:val="18"/>
              </w:rPr>
            </w:pPr>
            <w:r>
              <w:rPr>
                <w:rFonts w:ascii="Times New Roman"/>
                <w:sz w:val="18"/>
              </w:rPr>
              <w:t>3</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19.40</w:t>
            </w:r>
          </w:p>
        </w:tc>
      </w:tr>
      <w:tr>
        <w:trPr>
          <w:trHeight w:val="316"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8"/>
              <w:jc w:val="center"/>
              <w:rPr>
                <w:rFonts w:ascii="Times New Roman" w:hAnsi="Times New Roman" w:cs="Times New Roman" w:eastAsia="Times New Roman" w:hint="default"/>
                <w:sz w:val="18"/>
                <w:szCs w:val="18"/>
              </w:rPr>
            </w:pPr>
            <w:r>
              <w:rPr>
                <w:rFonts w:ascii="Times New Roman"/>
                <w:sz w:val="18"/>
              </w:rPr>
              <w:t>3</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19.40</w:t>
            </w:r>
          </w:p>
        </w:tc>
      </w:tr>
    </w:tbl>
    <w:p>
      <w:pPr>
        <w:spacing w:line="240" w:lineRule="auto" w:before="10"/>
        <w:rPr>
          <w:rFonts w:ascii="宋体" w:hAnsi="宋体" w:cs="宋体" w:eastAsia="宋体" w:hint="default"/>
          <w:sz w:val="29"/>
          <w:szCs w:val="29"/>
        </w:rPr>
      </w:pPr>
    </w:p>
    <w:p>
      <w:pPr>
        <w:pStyle w:val="BodyText"/>
        <w:spacing w:line="367" w:lineRule="auto" w:before="44"/>
        <w:ind w:left="213" w:right="212" w:firstLine="360"/>
        <w:jc w:val="both"/>
      </w:pPr>
      <w:r>
        <w:rPr>
          <w:spacing w:val="-2"/>
        </w:rPr>
        <w:t>在使用年限内变更预计折旧年限或预计净残值率，以及已计提减值准备的固定资产，按照该固定资产的账面价值以及尚</w:t>
      </w:r>
      <w:r>
        <w:rPr/>
        <w:t> </w:t>
      </w:r>
      <w:r>
        <w:rPr>
          <w:spacing w:val="-2"/>
        </w:rPr>
        <w:t>可使用寿命重新计算确定折旧率和折旧额。因固定资产减值准备而调整固定资产折旧额时，对此前已计提的累计折旧不作调</w:t>
      </w:r>
      <w:r>
        <w:rPr>
          <w:spacing w:val="-64"/>
        </w:rPr>
        <w:t> </w:t>
      </w:r>
      <w:r>
        <w:rPr>
          <w:spacing w:val="-64"/>
        </w:rPr>
      </w:r>
      <w:r>
        <w:rPr/>
        <w:t>整。</w:t>
      </w:r>
    </w:p>
    <w:p>
      <w:pPr>
        <w:spacing w:line="240" w:lineRule="auto" w:before="2"/>
        <w:rPr>
          <w:rFonts w:ascii="宋体" w:hAnsi="宋体" w:cs="宋体" w:eastAsia="宋体" w:hint="default"/>
          <w:sz w:val="14"/>
          <w:szCs w:val="14"/>
        </w:rPr>
      </w:pPr>
    </w:p>
    <w:p>
      <w:pPr>
        <w:pStyle w:val="BodyText"/>
        <w:spacing w:line="240" w:lineRule="auto"/>
        <w:ind w:left="573" w:right="5558"/>
        <w:jc w:val="left"/>
      </w:pPr>
      <w:r>
        <w:rPr/>
        <w:t>（</w:t>
      </w:r>
      <w:r>
        <w:rPr>
          <w:rFonts w:ascii="Times New Roman" w:hAnsi="Times New Roman" w:cs="Times New Roman" w:eastAsia="Times New Roman" w:hint="default"/>
        </w:rPr>
        <w:t>6</w:t>
      </w:r>
      <w:r>
        <w:rPr/>
        <w:t>）固定资产减值准备</w:t>
      </w:r>
    </w:p>
    <w:p>
      <w:pPr>
        <w:spacing w:line="240" w:lineRule="auto" w:before="5"/>
        <w:rPr>
          <w:rFonts w:ascii="宋体" w:hAnsi="宋体" w:cs="宋体" w:eastAsia="宋体" w:hint="default"/>
          <w:sz w:val="20"/>
          <w:szCs w:val="20"/>
        </w:rPr>
      </w:pPr>
    </w:p>
    <w:p>
      <w:pPr>
        <w:pStyle w:val="BodyText"/>
        <w:spacing w:line="367" w:lineRule="auto"/>
        <w:ind w:left="213" w:right="212" w:firstLine="360"/>
        <w:jc w:val="both"/>
      </w:pPr>
      <w:r>
        <w:rPr>
          <w:spacing w:val="-2"/>
        </w:rPr>
        <w:t>本公司在资产负债表日判断资产是否存在可能发生减值的迹象，如由于市价大幅度下跌，或陈旧过时、损坏、长期闲置</w:t>
      </w:r>
      <w:r>
        <w:rPr/>
        <w:t> </w:t>
      </w:r>
      <w:r>
        <w:rPr>
          <w:spacing w:val="-2"/>
        </w:rPr>
        <w:t>等原因导致其可收回金额低于账面价值的，按单项固定资产可收回金额低于账面价值的差额计提固定资产减值准备。固定资</w:t>
      </w:r>
      <w:r>
        <w:rPr>
          <w:spacing w:val="-64"/>
        </w:rPr>
        <w:t> </w:t>
      </w:r>
      <w:r>
        <w:rPr>
          <w:spacing w:val="-64"/>
        </w:rPr>
      </w:r>
      <w:r>
        <w:rPr/>
        <w:t>产减值损失一经确认，在以后会计期间不得转回。</w:t>
      </w:r>
    </w:p>
    <w:p>
      <w:pPr>
        <w:spacing w:line="240" w:lineRule="auto" w:before="4"/>
        <w:rPr>
          <w:rFonts w:ascii="宋体" w:hAnsi="宋体" w:cs="宋体" w:eastAsia="宋体" w:hint="default"/>
          <w:sz w:val="18"/>
          <w:szCs w:val="18"/>
        </w:rPr>
      </w:pPr>
    </w:p>
    <w:p>
      <w:pPr>
        <w:pStyle w:val="Heading5"/>
        <w:spacing w:line="240" w:lineRule="auto"/>
        <w:ind w:left="213" w:right="0"/>
        <w:jc w:val="both"/>
        <w:rPr>
          <w:b w:val="0"/>
          <w:bCs w:val="0"/>
        </w:rPr>
      </w:pPr>
      <w:r>
        <w:rPr>
          <w:rFonts w:ascii="Times New Roman" w:hAnsi="Times New Roman" w:cs="Times New Roman" w:eastAsia="Times New Roman" w:hint="default"/>
        </w:rPr>
        <w:t>10</w:t>
      </w:r>
      <w:r>
        <w:rPr/>
        <w:t>、在建工程的核算方法</w:t>
      </w:r>
      <w:r>
        <w:rPr>
          <w:b w:val="0"/>
          <w:bCs w:val="0"/>
        </w:rPr>
      </w:r>
    </w:p>
    <w:p>
      <w:pPr>
        <w:pStyle w:val="BodyText"/>
        <w:spacing w:line="510" w:lineRule="atLeast" w:before="137"/>
        <w:ind w:left="573" w:right="115"/>
        <w:jc w:val="left"/>
      </w:pPr>
      <w:r>
        <w:rPr/>
        <w:t>本公司的在建工程，包括施工前期准备、正在施工中的基本建设工程、技术改造工程等。 </w:t>
      </w:r>
      <w:r>
        <w:rPr>
          <w:spacing w:val="-2"/>
        </w:rPr>
        <w:t>本公司在建工程项目按建造该项资产达到预定可使用状态前所发生的全部支出，作为固定资产的入账价值。所建造的固</w:t>
      </w:r>
    </w:p>
    <w:p>
      <w:pPr>
        <w:pStyle w:val="BodyText"/>
        <w:spacing w:line="367" w:lineRule="auto" w:before="124"/>
        <w:ind w:left="213" w:right="209"/>
        <w:jc w:val="both"/>
      </w:pPr>
      <w:r>
        <w:rPr>
          <w:spacing w:val="-2"/>
        </w:rPr>
        <w:t>定资产已达到预定可使用状态，但尚未办理竣工决算的，自达到预定可使用状态之日起，根据工程预算、造价或者工程实际</w:t>
      </w:r>
      <w:r>
        <w:rPr>
          <w:spacing w:val="-63"/>
        </w:rPr>
        <w:t> </w:t>
      </w:r>
      <w:r>
        <w:rPr>
          <w:spacing w:val="-63"/>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2"/>
        <w:rPr>
          <w:rFonts w:ascii="宋体" w:hAnsi="宋体" w:cs="宋体" w:eastAsia="宋体" w:hint="default"/>
          <w:sz w:val="14"/>
          <w:szCs w:val="14"/>
        </w:rPr>
      </w:pPr>
    </w:p>
    <w:p>
      <w:pPr>
        <w:pStyle w:val="BodyText"/>
        <w:spacing w:line="367" w:lineRule="auto"/>
        <w:ind w:left="213" w:right="212" w:firstLine="360"/>
        <w:jc w:val="both"/>
      </w:pPr>
      <w:r>
        <w:rPr>
          <w:spacing w:val="-2"/>
        </w:rPr>
        <w:t>在建工程减值准备：本公司于资产负债表日对存在减值迹象的在建工程进行全面检查，对单项资产可收回金额低于账面</w:t>
      </w:r>
      <w:r>
        <w:rPr/>
        <w:t> 价值的差额，提取在建工程减值准备，在建工程减值损失一经确认，在以后会计期间不得转回。</w:t>
      </w:r>
    </w:p>
    <w:p>
      <w:pPr>
        <w:spacing w:line="240" w:lineRule="auto" w:before="4"/>
        <w:rPr>
          <w:rFonts w:ascii="宋体" w:hAnsi="宋体" w:cs="宋体" w:eastAsia="宋体" w:hint="default"/>
          <w:sz w:val="18"/>
          <w:szCs w:val="18"/>
        </w:rPr>
      </w:pPr>
    </w:p>
    <w:p>
      <w:pPr>
        <w:pStyle w:val="Heading5"/>
        <w:spacing w:line="240" w:lineRule="auto"/>
        <w:ind w:left="213" w:right="0"/>
        <w:jc w:val="both"/>
        <w:rPr>
          <w:b w:val="0"/>
          <w:bCs w:val="0"/>
        </w:rPr>
      </w:pPr>
      <w:r>
        <w:rPr>
          <w:rFonts w:ascii="Times New Roman" w:hAnsi="Times New Roman" w:cs="Times New Roman" w:eastAsia="Times New Roman" w:hint="default"/>
        </w:rPr>
        <w:t>11</w:t>
      </w:r>
      <w:r>
        <w:rPr/>
        <w:t>、借款费用的核算</w:t>
      </w:r>
      <w:r>
        <w:rPr>
          <w:b w:val="0"/>
          <w:bCs w:val="0"/>
        </w:rPr>
      </w:r>
    </w:p>
    <w:p>
      <w:pPr>
        <w:pStyle w:val="BodyText"/>
        <w:spacing w:line="500" w:lineRule="atLeast" w:before="163"/>
        <w:ind w:left="573" w:right="115"/>
        <w:jc w:val="left"/>
      </w:pPr>
      <w:r>
        <w:rPr/>
        <w:t>（</w:t>
      </w:r>
      <w:r>
        <w:rPr>
          <w:rFonts w:ascii="Times New Roman" w:hAnsi="Times New Roman" w:cs="Times New Roman" w:eastAsia="Times New Roman" w:hint="default"/>
        </w:rPr>
        <w:t>1</w:t>
      </w:r>
      <w:r>
        <w:rPr/>
        <w:t>）借款费用资本化的确认原则 </w:t>
      </w:r>
      <w:r>
        <w:rPr>
          <w:spacing w:val="-2"/>
        </w:rPr>
        <w:t>公司发生的借款费用，可直接归属于符合资本化条件资产的购建或者生产的，予以资本化，计入相关资产成本；其它借</w:t>
      </w:r>
    </w:p>
    <w:p>
      <w:pPr>
        <w:pStyle w:val="BodyText"/>
        <w:spacing w:line="525" w:lineRule="auto" w:before="124"/>
        <w:ind w:left="573" w:right="115" w:hanging="360"/>
        <w:jc w:val="left"/>
      </w:pPr>
      <w:r>
        <w:rPr/>
        <w:t>款费用，在发生时根据其发生额确认为费用，计入当期损益。 符合资本化条件的资产，是指需要经过相当长时间的购建或者生产活动才能达到预定可使用或者可销售状态的固定资</w:t>
      </w:r>
    </w:p>
    <w:p>
      <w:pPr>
        <w:spacing w:after="0" w:line="525" w:lineRule="auto"/>
        <w:jc w:val="left"/>
        <w:sectPr>
          <w:headerReference w:type="default" r:id="rId52"/>
          <w:pgSz w:w="11910" w:h="16840"/>
          <w:pgMar w:header="918" w:footer="979" w:top="1100" w:bottom="1160" w:left="920" w:right="920"/>
        </w:sectPr>
      </w:pPr>
    </w:p>
    <w:p>
      <w:pPr>
        <w:spacing w:line="240" w:lineRule="auto" w:before="2"/>
        <w:rPr>
          <w:rFonts w:ascii="宋体" w:hAnsi="宋体" w:cs="宋体" w:eastAsia="宋体" w:hint="default"/>
          <w:sz w:val="27"/>
          <w:szCs w:val="27"/>
        </w:rPr>
      </w:pPr>
    </w:p>
    <w:p>
      <w:pPr>
        <w:pStyle w:val="BodyText"/>
        <w:spacing w:line="525" w:lineRule="auto" w:before="44"/>
        <w:ind w:left="513" w:right="6033" w:hanging="360"/>
        <w:jc w:val="left"/>
      </w:pPr>
      <w:r>
        <w:rPr/>
        <w:t>产、投资性房地产和存货等资产。 借款费用同时满足下列条件时开始资本化：</w:t>
      </w:r>
    </w:p>
    <w:p>
      <w:pPr>
        <w:pStyle w:val="BodyText"/>
        <w:spacing w:line="345" w:lineRule="auto" w:before="66"/>
        <w:ind w:right="109" w:firstLine="360"/>
        <w:jc w:val="left"/>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spacing w:line="240" w:lineRule="auto" w:before="5"/>
        <w:rPr>
          <w:rFonts w:ascii="宋体" w:hAnsi="宋体" w:cs="宋体" w:eastAsia="宋体" w:hint="default"/>
          <w:sz w:val="15"/>
          <w:szCs w:val="15"/>
        </w:rPr>
      </w:pPr>
    </w:p>
    <w:p>
      <w:pPr>
        <w:pStyle w:val="BodyText"/>
        <w:spacing w:line="496" w:lineRule="auto"/>
        <w:ind w:left="513" w:right="2853"/>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511" w:lineRule="auto" w:before="53"/>
        <w:ind w:left="513" w:right="92"/>
        <w:jc w:val="left"/>
      </w:pPr>
      <w:r>
        <w:rPr>
          <w:spacing w:val="-3"/>
        </w:rPr>
        <w:t>当符合资本化条件的资产在购建或者生产过程中发生非正常中断、且中断时间连续超过</w:t>
      </w:r>
      <w:r>
        <w:rPr>
          <w:spacing w:val="-28"/>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7"/>
        </w:rPr>
        <w:t>个月的，借款费用暂停资本化。</w:t>
      </w:r>
      <w:r>
        <w:rPr>
          <w:spacing w:val="-87"/>
        </w:rPr>
        <w:t> </w:t>
      </w:r>
      <w:r>
        <w:rPr>
          <w:spacing w:val="-87"/>
        </w:rPr>
      </w:r>
      <w:r>
        <w:rPr/>
        <w:t>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496" w:lineRule="auto" w:before="77"/>
        <w:ind w:left="513" w:right="633"/>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w:t>
      </w:r>
    </w:p>
    <w:p>
      <w:pPr>
        <w:pStyle w:val="BodyText"/>
        <w:spacing w:line="240" w:lineRule="auto" w:before="88"/>
        <w:ind w:left="513" w:right="109"/>
        <w:jc w:val="left"/>
      </w:pPr>
      <w:r>
        <w:rPr/>
        <w:t>（</w:t>
      </w:r>
      <w:r>
        <w:rPr>
          <w:rFonts w:ascii="Times New Roman" w:hAnsi="Times New Roman" w:cs="Times New Roman" w:eastAsia="Times New Roman" w:hint="default"/>
        </w:rPr>
        <w:t>3</w:t>
      </w:r>
      <w:r>
        <w:rPr/>
        <w:t>）借款费用资本化金额的计算方法</w:t>
      </w:r>
    </w:p>
    <w:p>
      <w:pPr>
        <w:spacing w:line="240" w:lineRule="auto" w:before="5"/>
        <w:rPr>
          <w:rFonts w:ascii="宋体" w:hAnsi="宋体" w:cs="宋体" w:eastAsia="宋体" w:hint="default"/>
          <w:sz w:val="20"/>
          <w:szCs w:val="20"/>
        </w:rPr>
      </w:pPr>
    </w:p>
    <w:p>
      <w:pPr>
        <w:pStyle w:val="BodyText"/>
        <w:spacing w:line="367" w:lineRule="auto"/>
        <w:ind w:right="109" w:firstLine="360"/>
        <w:jc w:val="left"/>
      </w:pPr>
      <w:r>
        <w:rPr/>
        <w:t>专门借款的利息费用及其辅助费用扣除尚未动用的借款资金存入银行取得的利息收入或者进行暂时性投资取得的投资 收益后的金额，在所购建或者生产的符合资本化条件的资产达到预定可使用或者可销售状态前，予以资本化。</w:t>
      </w:r>
    </w:p>
    <w:p>
      <w:pPr>
        <w:spacing w:line="240" w:lineRule="auto" w:before="2"/>
        <w:rPr>
          <w:rFonts w:ascii="宋体" w:hAnsi="宋体" w:cs="宋体" w:eastAsia="宋体" w:hint="default"/>
          <w:sz w:val="14"/>
          <w:szCs w:val="14"/>
        </w:rPr>
      </w:pPr>
    </w:p>
    <w:p>
      <w:pPr>
        <w:pStyle w:val="BodyText"/>
        <w:spacing w:line="367" w:lineRule="auto"/>
        <w:ind w:right="192" w:firstLine="360"/>
        <w:jc w:val="both"/>
      </w:pPr>
      <w:r>
        <w:rPr>
          <w:spacing w:val="-2"/>
        </w:rPr>
        <w:t>为购建或者生产符合资本化条件的资产而占用了一般借款的，根据累计资产支出超过专门借款部分的资产支出加权平均</w:t>
      </w:r>
      <w:r>
        <w:rPr/>
        <w:t> </w:t>
      </w:r>
      <w:r>
        <w:rPr>
          <w:spacing w:val="-2"/>
        </w:rPr>
        <w:t>数乘以所占用一般借款的资本化率，计算确定一般借款应予资本化的利息金额。资本化率根据一般借款加权平均利率计算确</w:t>
      </w:r>
      <w:r>
        <w:rPr>
          <w:spacing w:val="-64"/>
        </w:rPr>
        <w:t> </w:t>
      </w:r>
      <w:r>
        <w:rPr>
          <w:spacing w:val="-64"/>
        </w:rPr>
      </w:r>
      <w:r>
        <w:rPr/>
        <w:t>定。</w:t>
      </w:r>
    </w:p>
    <w:p>
      <w:pPr>
        <w:spacing w:line="240" w:lineRule="auto" w:before="2"/>
        <w:rPr>
          <w:rFonts w:ascii="宋体" w:hAnsi="宋体" w:cs="宋体" w:eastAsia="宋体" w:hint="default"/>
          <w:sz w:val="14"/>
          <w:szCs w:val="14"/>
        </w:rPr>
      </w:pPr>
    </w:p>
    <w:p>
      <w:pPr>
        <w:pStyle w:val="BodyText"/>
        <w:spacing w:line="240" w:lineRule="auto"/>
        <w:ind w:left="513" w:right="109"/>
        <w:jc w:val="left"/>
      </w:pPr>
      <w:r>
        <w:rPr/>
        <w:t>借款存在折价或者溢价的，按照实际利率法确定每一会计期间应摊销的折价或者溢价金额，调整每期利息金额。</w:t>
      </w:r>
    </w:p>
    <w:p>
      <w:pPr>
        <w:spacing w:line="240" w:lineRule="auto" w:before="7"/>
        <w:rPr>
          <w:rFonts w:ascii="宋体" w:hAnsi="宋体" w:cs="宋体" w:eastAsia="宋体" w:hint="default"/>
          <w:sz w:val="25"/>
          <w:szCs w:val="25"/>
        </w:rPr>
      </w:pPr>
    </w:p>
    <w:p>
      <w:pPr>
        <w:pStyle w:val="Heading5"/>
        <w:spacing w:line="240" w:lineRule="auto"/>
        <w:ind w:right="109"/>
        <w:jc w:val="left"/>
        <w:rPr>
          <w:b w:val="0"/>
          <w:bCs w:val="0"/>
        </w:rPr>
      </w:pPr>
      <w:r>
        <w:rPr>
          <w:rFonts w:ascii="Times New Roman" w:hAnsi="Times New Roman" w:cs="Times New Roman" w:eastAsia="Times New Roman" w:hint="default"/>
        </w:rPr>
        <w:t>12</w:t>
      </w:r>
      <w:r>
        <w:rPr/>
        <w:t>、无形资产的核算方法</w:t>
      </w:r>
      <w:r>
        <w:rPr>
          <w:b w:val="0"/>
          <w:bCs w:val="0"/>
        </w:rPr>
      </w:r>
    </w:p>
    <w:p>
      <w:pPr>
        <w:spacing w:line="240" w:lineRule="auto" w:before="2"/>
        <w:rPr>
          <w:rFonts w:ascii="宋体" w:hAnsi="宋体" w:cs="宋体" w:eastAsia="宋体" w:hint="default"/>
          <w:b/>
          <w:bCs/>
          <w:sz w:val="16"/>
          <w:szCs w:val="16"/>
        </w:rPr>
      </w:pPr>
    </w:p>
    <w:p>
      <w:pPr>
        <w:pStyle w:val="BodyText"/>
        <w:spacing w:line="516" w:lineRule="exact"/>
        <w:ind w:left="513" w:right="109" w:hanging="89"/>
        <w:jc w:val="left"/>
      </w:pPr>
      <w:r>
        <w:rPr/>
        <w:t>（</w:t>
      </w:r>
      <w:r>
        <w:rPr>
          <w:rFonts w:ascii="Times New Roman" w:hAnsi="Times New Roman" w:cs="Times New Roman" w:eastAsia="Times New Roman" w:hint="default"/>
        </w:rPr>
        <w:t>1</w:t>
      </w:r>
      <w:r>
        <w:rPr/>
        <w:t>）无形资产的计价方法 本公司无形资产按照取得时的实际成本进行初始计量，并于取得无形资产时分析判断其使用寿命。 </w:t>
      </w:r>
      <w:r>
        <w:rPr>
          <w:spacing w:val="-2"/>
        </w:rPr>
        <w:t>使用寿命为有限的，自无形资产可供使用时起，采用能反映与该资产有关的经济利益的预期实现方式的摊销方法，在预</w:t>
      </w:r>
    </w:p>
    <w:p>
      <w:pPr>
        <w:pStyle w:val="BodyText"/>
        <w:spacing w:line="240" w:lineRule="auto" w:before="46"/>
        <w:ind w:right="109"/>
        <w:jc w:val="left"/>
      </w:pPr>
      <w:r>
        <w:rPr/>
        <w:t>计使用年限内摊销；无法可靠确定预期实现方式的，采用直线法在预计使用年限内分期摊销。</w:t>
      </w:r>
    </w:p>
    <w:p>
      <w:pPr>
        <w:spacing w:line="240" w:lineRule="auto" w:before="6"/>
        <w:rPr>
          <w:rFonts w:ascii="宋体" w:hAnsi="宋体" w:cs="宋体" w:eastAsia="宋体" w:hint="default"/>
          <w:sz w:val="21"/>
          <w:szCs w:val="21"/>
        </w:rPr>
      </w:pPr>
    </w:p>
    <w:p>
      <w:pPr>
        <w:pStyle w:val="BodyText"/>
        <w:spacing w:line="240" w:lineRule="auto"/>
        <w:ind w:left="513" w:right="109"/>
        <w:jc w:val="left"/>
      </w:pPr>
      <w:r>
        <w:rPr/>
        <w:t>（</w:t>
      </w:r>
      <w:r>
        <w:rPr>
          <w:rFonts w:ascii="Times New Roman" w:hAnsi="Times New Roman" w:cs="Times New Roman" w:eastAsia="Times New Roman" w:hint="default"/>
        </w:rPr>
        <w:t>2</w:t>
      </w:r>
      <w:r>
        <w:rPr/>
        <w:t>）无形资产使用寿命及摊销</w:t>
      </w:r>
    </w:p>
    <w:p>
      <w:pPr>
        <w:spacing w:line="240" w:lineRule="auto" w:before="5"/>
        <w:rPr>
          <w:rFonts w:ascii="宋体" w:hAnsi="宋体" w:cs="宋体" w:eastAsia="宋体" w:hint="default"/>
          <w:sz w:val="20"/>
          <w:szCs w:val="20"/>
        </w:rPr>
      </w:pPr>
    </w:p>
    <w:p>
      <w:pPr>
        <w:pStyle w:val="BodyText"/>
        <w:spacing w:line="345" w:lineRule="auto"/>
        <w:ind w:right="109" w:firstLine="360"/>
        <w:jc w:val="left"/>
      </w:pPr>
      <w:r>
        <w:rPr>
          <w:rFonts w:ascii="Times New Roman" w:hAnsi="Times New Roman" w:cs="Times New Roman" w:eastAsia="Times New Roman" w:hint="default"/>
          <w:spacing w:val="-1"/>
        </w:rPr>
        <w:t>A</w:t>
      </w:r>
      <w:r>
        <w:rPr>
          <w:spacing w:val="-1"/>
        </w:rPr>
        <w:t>、来源于合同性权利或其它法定权利的无形资产，其使用寿命不超过合同性权利或其它法定权利的期限；如果合同性</w:t>
      </w:r>
      <w:r>
        <w:rPr/>
        <w:t> 权利或其它法定权利能够在到期时因续约等延续，且有证据表明企业续约不需要付出大额成本，续约期计入使用寿命。</w:t>
      </w:r>
    </w:p>
    <w:p>
      <w:pPr>
        <w:spacing w:line="240" w:lineRule="auto" w:before="5"/>
        <w:rPr>
          <w:rFonts w:ascii="宋体" w:hAnsi="宋体" w:cs="宋体" w:eastAsia="宋体" w:hint="default"/>
          <w:sz w:val="15"/>
          <w:szCs w:val="15"/>
        </w:rPr>
      </w:pPr>
    </w:p>
    <w:p>
      <w:pPr>
        <w:pStyle w:val="BodyText"/>
        <w:spacing w:line="345" w:lineRule="auto"/>
        <w:ind w:right="153" w:firstLine="360"/>
        <w:jc w:val="left"/>
      </w:pPr>
      <w:r>
        <w:rPr>
          <w:rFonts w:ascii="Times New Roman" w:hAnsi="Times New Roman" w:cs="Times New Roman" w:eastAsia="Times New Roman" w:hint="default"/>
        </w:rPr>
        <w:t>B</w:t>
      </w:r>
      <w:r>
        <w:rPr/>
        <w:t>、合同或法律没有规定使用寿命的，本公司综合各方面情况，聘请相关专家进行论证、或与同行业的情况进行比较、 以及参考历史经验等，确定无形资产为本公司带来未来经济利益的期限。</w:t>
      </w:r>
    </w:p>
    <w:p>
      <w:pPr>
        <w:spacing w:line="240" w:lineRule="auto" w:before="5"/>
        <w:rPr>
          <w:rFonts w:ascii="宋体" w:hAnsi="宋体" w:cs="宋体" w:eastAsia="宋体" w:hint="default"/>
          <w:sz w:val="15"/>
          <w:szCs w:val="15"/>
        </w:rPr>
      </w:pPr>
    </w:p>
    <w:p>
      <w:pPr>
        <w:pStyle w:val="BodyText"/>
        <w:spacing w:line="240" w:lineRule="auto"/>
        <w:ind w:left="513" w:right="109"/>
        <w:jc w:val="left"/>
      </w:pPr>
      <w:r>
        <w:rPr>
          <w:rFonts w:ascii="Times New Roman" w:hAnsi="Times New Roman" w:cs="Times New Roman" w:eastAsia="Times New Roman" w:hint="default"/>
        </w:rPr>
        <w:t>C</w:t>
      </w:r>
      <w:r>
        <w:rPr/>
        <w:t>、经过上述努力仍无法合理确定无形资产所带来经济利益期限的，将其作为使用寿命不确定的无形资产。</w:t>
      </w:r>
    </w:p>
    <w:p>
      <w:pPr>
        <w:spacing w:after="0" w:line="240" w:lineRule="auto"/>
        <w:jc w:val="left"/>
        <w:sectPr>
          <w:pgSz w:w="11910" w:h="16840"/>
          <w:pgMar w:header="918" w:footer="979" w:top="1100" w:bottom="1160" w:left="980" w:right="940"/>
        </w:sectPr>
      </w:pPr>
    </w:p>
    <w:p>
      <w:pPr>
        <w:spacing w:line="240" w:lineRule="auto" w:before="2"/>
        <w:rPr>
          <w:rFonts w:ascii="宋体" w:hAnsi="宋体" w:cs="宋体" w:eastAsia="宋体" w:hint="default"/>
          <w:sz w:val="27"/>
          <w:szCs w:val="27"/>
        </w:rPr>
      </w:pPr>
    </w:p>
    <w:p>
      <w:pPr>
        <w:pStyle w:val="BodyText"/>
        <w:spacing w:line="240" w:lineRule="auto" w:before="44"/>
        <w:ind w:left="513" w:right="0"/>
        <w:jc w:val="left"/>
      </w:pPr>
      <w:r>
        <w:rPr/>
        <w:t>（</w:t>
      </w:r>
      <w:r>
        <w:rPr>
          <w:rFonts w:ascii="Times New Roman" w:hAnsi="Times New Roman" w:cs="Times New Roman" w:eastAsia="Times New Roman" w:hint="default"/>
        </w:rPr>
        <w:t>3</w:t>
      </w:r>
      <w:r>
        <w:rPr/>
        <w:t>）无形资产减值准备</w:t>
      </w:r>
    </w:p>
    <w:p>
      <w:pPr>
        <w:spacing w:line="240" w:lineRule="auto" w:before="6"/>
        <w:rPr>
          <w:rFonts w:ascii="宋体" w:hAnsi="宋体" w:cs="宋体" w:eastAsia="宋体" w:hint="default"/>
          <w:sz w:val="20"/>
          <w:szCs w:val="20"/>
        </w:rPr>
      </w:pPr>
    </w:p>
    <w:p>
      <w:pPr>
        <w:pStyle w:val="BodyText"/>
        <w:spacing w:line="367" w:lineRule="auto"/>
        <w:ind w:right="112" w:firstLine="360"/>
        <w:jc w:val="both"/>
      </w:pPr>
      <w:r>
        <w:rPr>
          <w:spacing w:val="-2"/>
        </w:rPr>
        <w:t>本公司在资产负债表日对存在减值迹象的使用寿命有限的无形资产按单项资产进行减值测试，如果资产的可收回金额低</w:t>
      </w:r>
      <w:r>
        <w:rPr/>
        <w:t> 于其账面价值，按其差额提取减值准备，无形资产减值损失一经确认，在以后会计期间不得转回。</w:t>
      </w:r>
    </w:p>
    <w:p>
      <w:pPr>
        <w:spacing w:line="240" w:lineRule="auto" w:before="2"/>
        <w:rPr>
          <w:rFonts w:ascii="宋体" w:hAnsi="宋体" w:cs="宋体" w:eastAsia="宋体" w:hint="default"/>
          <w:sz w:val="14"/>
          <w:szCs w:val="14"/>
        </w:rPr>
      </w:pPr>
    </w:p>
    <w:p>
      <w:pPr>
        <w:pStyle w:val="BodyText"/>
        <w:spacing w:line="367" w:lineRule="auto"/>
        <w:ind w:right="109" w:firstLine="360"/>
        <w:jc w:val="both"/>
      </w:pPr>
      <w:r>
        <w:rPr>
          <w:spacing w:val="-2"/>
        </w:rPr>
        <w:t>本公司对使用寿命不确定的无形资产不进行摊销，无论是否存在减值迹象，每个会计期间都进行减值测试，并按可收回</w:t>
      </w:r>
      <w:r>
        <w:rPr/>
        <w:t> </w:t>
      </w:r>
      <w:r>
        <w:rPr>
          <w:spacing w:val="-2"/>
        </w:rPr>
        <w:t>金额低于账面价值的差额提取无形资产减值准备。在每个会计期间对使用寿命不确定的无形资产的使用寿命进行复核。如果</w:t>
      </w:r>
      <w:r>
        <w:rPr>
          <w:spacing w:val="-64"/>
        </w:rPr>
        <w:t> </w:t>
      </w:r>
      <w:r>
        <w:rPr>
          <w:spacing w:val="-64"/>
        </w:rPr>
      </w:r>
      <w:r>
        <w:rPr/>
        <w:t>有证据表明无形资产的使用寿命是有限的，重新估计其使用寿命，并按使用寿命有限的无形资产的规定处理。</w:t>
      </w:r>
    </w:p>
    <w:p>
      <w:pPr>
        <w:spacing w:line="240" w:lineRule="auto" w:before="2"/>
        <w:rPr>
          <w:rFonts w:ascii="宋体" w:hAnsi="宋体" w:cs="宋体" w:eastAsia="宋体" w:hint="default"/>
          <w:sz w:val="14"/>
          <w:szCs w:val="14"/>
        </w:rPr>
      </w:pPr>
    </w:p>
    <w:p>
      <w:pPr>
        <w:pStyle w:val="BodyText"/>
        <w:spacing w:line="504" w:lineRule="auto"/>
        <w:ind w:left="513" w:right="1153"/>
        <w:jc w:val="left"/>
      </w:pPr>
      <w:r>
        <w:rPr/>
        <w:t>（</w:t>
      </w:r>
      <w:r>
        <w:rPr>
          <w:rFonts w:ascii="Times New Roman" w:hAnsi="Times New Roman" w:cs="Times New Roman" w:eastAsia="Times New Roman" w:hint="default"/>
        </w:rPr>
        <w:t>4</w:t>
      </w:r>
      <w:r>
        <w:rPr/>
        <w:t>）研究开发项目研究阶段支出与开发阶段支出的划分标准 内部研究开发项目开发阶段的支出，同时满足下列条件的，才能确认为无形资产：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、无形资产存在产生经济利益的方式；有能力完成该无形资产的开发；有能力使用或出售该无形资产； </w:t>
      </w:r>
      <w:r>
        <w:rPr>
          <w:rFonts w:ascii="Times New Roman" w:hAnsi="Times New Roman" w:cs="Times New Roman" w:eastAsia="Times New Roman" w:hint="default"/>
        </w:rPr>
        <w:t>D</w:t>
      </w:r>
      <w:r>
        <w:rPr/>
        <w:t>、归属于该无形资产开发阶段的支出能够可靠地计量。</w:t>
      </w:r>
    </w:p>
    <w:p>
      <w:pPr>
        <w:pStyle w:val="BodyText"/>
        <w:spacing w:line="240" w:lineRule="auto" w:before="47"/>
        <w:ind w:left="513" w:right="0"/>
        <w:jc w:val="left"/>
      </w:pPr>
      <w:r>
        <w:rPr/>
        <w:t>（</w:t>
      </w:r>
      <w:r>
        <w:rPr>
          <w:rFonts w:ascii="Times New Roman" w:hAnsi="Times New Roman" w:cs="Times New Roman" w:eastAsia="Times New Roman" w:hint="default"/>
        </w:rPr>
        <w:t>5</w:t>
      </w:r>
      <w:r>
        <w:rPr/>
        <w:t>）发行权的初始计量和摊销</w:t>
      </w:r>
    </w:p>
    <w:p>
      <w:pPr>
        <w:spacing w:line="240" w:lineRule="auto" w:before="5"/>
        <w:rPr>
          <w:rFonts w:ascii="宋体" w:hAnsi="宋体" w:cs="宋体" w:eastAsia="宋体" w:hint="default"/>
          <w:sz w:val="20"/>
          <w:szCs w:val="20"/>
        </w:rPr>
      </w:pPr>
    </w:p>
    <w:p>
      <w:pPr>
        <w:pStyle w:val="BodyText"/>
        <w:spacing w:line="345" w:lineRule="auto"/>
        <w:ind w:right="112" w:firstLine="360"/>
        <w:jc w:val="both"/>
      </w:pPr>
      <w:r>
        <w:rPr/>
        <w:t>发行权是指作者授予本公司一定年限内（一般为</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年），在全球范围内华文简（繁）体版以图书形式独家寻找出版社出</w:t>
      </w:r>
      <w:r>
        <w:rPr/>
        <w:t> 版作者的作品及寻找发行商发行上述作品的权利。</w:t>
      </w:r>
    </w:p>
    <w:p>
      <w:pPr>
        <w:spacing w:line="240" w:lineRule="auto" w:before="5"/>
        <w:rPr>
          <w:rFonts w:ascii="宋体" w:hAnsi="宋体" w:cs="宋体" w:eastAsia="宋体" w:hint="default"/>
          <w:sz w:val="15"/>
          <w:szCs w:val="15"/>
        </w:rPr>
      </w:pPr>
    </w:p>
    <w:p>
      <w:pPr>
        <w:pStyle w:val="BodyText"/>
        <w:spacing w:line="367" w:lineRule="auto"/>
        <w:ind w:right="113" w:firstLine="360"/>
        <w:jc w:val="both"/>
      </w:pPr>
      <w:r>
        <w:rPr>
          <w:spacing w:val="-2"/>
        </w:rPr>
        <w:t>发行权的计量成本按保底印量支付的版税金额确定，按照《图书出版合同》规定的保底印量进行摊销，超过保底印量支</w:t>
      </w:r>
      <w:r>
        <w:rPr/>
        <w:t> 付的版税直接计入当期成本。公式如下：</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发行权本年度摊销金额</w:t>
      </w:r>
      <w:r>
        <w:rPr>
          <w:rFonts w:ascii="Times New Roman" w:hAnsi="Times New Roman" w:cs="Times New Roman" w:eastAsia="Times New Roman" w:hint="default"/>
        </w:rPr>
        <w:t>=</w:t>
      </w:r>
      <w:r>
        <w:rPr/>
        <w:t>（本年度实际印量</w:t>
      </w:r>
      <w:r>
        <w:rPr>
          <w:rFonts w:ascii="Times New Roman" w:hAnsi="Times New Roman" w:cs="Times New Roman" w:eastAsia="Times New Roman" w:hint="default"/>
        </w:rPr>
        <w:t>÷</w:t>
      </w:r>
      <w:r>
        <w:rPr/>
        <w:t>合同约定保底印量）</w:t>
      </w:r>
      <w:r>
        <w:rPr>
          <w:rFonts w:ascii="Times New Roman" w:hAnsi="Times New Roman" w:cs="Times New Roman" w:eastAsia="Times New Roman" w:hint="default"/>
        </w:rPr>
        <w:t>×</w:t>
      </w:r>
      <w:r>
        <w:rPr/>
        <w:t>发行权计量成本</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13</w:t>
      </w:r>
      <w:r>
        <w:rPr/>
        <w:t>、长期待摊费用的核算</w:t>
      </w:r>
      <w:r>
        <w:rPr>
          <w:b w:val="0"/>
          <w:bCs w:val="0"/>
        </w:rPr>
      </w:r>
    </w:p>
    <w:p>
      <w:pPr>
        <w:spacing w:line="240" w:lineRule="auto" w:before="8"/>
        <w:rPr>
          <w:rFonts w:ascii="宋体" w:hAnsi="宋体" w:cs="宋体" w:eastAsia="宋体" w:hint="default"/>
          <w:b/>
          <w:bCs/>
          <w:sz w:val="31"/>
          <w:szCs w:val="31"/>
        </w:rPr>
      </w:pPr>
    </w:p>
    <w:p>
      <w:pPr>
        <w:pStyle w:val="BodyText"/>
        <w:spacing w:line="357" w:lineRule="auto"/>
        <w:ind w:right="111" w:firstLine="360"/>
        <w:jc w:val="both"/>
      </w:pPr>
      <w:r>
        <w:rPr/>
        <w:t>本公司长期待摊费用项目反应公司已经发生但应由本年和以后各期分担的分摊期限在</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年以上的各项费用。长期待摊费</w:t>
      </w:r>
      <w:r>
        <w:rPr/>
        <w:t> </w:t>
      </w:r>
      <w:r>
        <w:rPr>
          <w:spacing w:val="-2"/>
        </w:rPr>
        <w:t>用按实际发生额入账，在受益期或规定的期限内分期平均摊销，如果长期待摊的费用项目不能使以后会计期间受益则将尚未</w:t>
      </w:r>
      <w:r>
        <w:rPr>
          <w:spacing w:val="-64"/>
        </w:rPr>
        <w:t> </w:t>
      </w:r>
      <w:r>
        <w:rPr>
          <w:spacing w:val="-64"/>
        </w:rPr>
      </w:r>
      <w:r>
        <w:rPr/>
        <w:t>摊销的该项目的摊余价值全部转入当期损益。</w:t>
      </w:r>
    </w:p>
    <w:p>
      <w:pPr>
        <w:spacing w:line="240" w:lineRule="auto" w:before="10"/>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14</w:t>
      </w:r>
      <w:r>
        <w:rPr/>
        <w:t>、收入确认的核算</w:t>
      </w:r>
      <w:r>
        <w:rPr>
          <w:b w:val="0"/>
          <w:bCs w:val="0"/>
        </w:rPr>
      </w:r>
    </w:p>
    <w:p>
      <w:pPr>
        <w:spacing w:line="240" w:lineRule="auto" w:before="6"/>
        <w:rPr>
          <w:rFonts w:ascii="宋体" w:hAnsi="宋体" w:cs="宋体" w:eastAsia="宋体" w:hint="default"/>
          <w:b/>
          <w:bCs/>
          <w:sz w:val="31"/>
          <w:szCs w:val="31"/>
        </w:rPr>
      </w:pPr>
    </w:p>
    <w:p>
      <w:pPr>
        <w:pStyle w:val="BodyText"/>
        <w:spacing w:line="511" w:lineRule="auto"/>
        <w:ind w:left="513" w:right="4923"/>
        <w:jc w:val="left"/>
      </w:pPr>
      <w:r>
        <w:rPr/>
        <w:t>（</w:t>
      </w:r>
      <w:r>
        <w:rPr>
          <w:rFonts w:ascii="Times New Roman" w:hAnsi="Times New Roman" w:cs="Times New Roman" w:eastAsia="Times New Roman" w:hint="default"/>
        </w:rPr>
        <w:t>1</w:t>
      </w:r>
      <w:r>
        <w:rPr/>
        <w:t>）销售商品 销售商品收入同时满足下列条件的，才能予以确认： </w:t>
      </w:r>
      <w:r>
        <w:rPr>
          <w:rFonts w:ascii="Times New Roman" w:hAnsi="Times New Roman" w:cs="Times New Roman" w:eastAsia="Times New Roman" w:hint="default"/>
        </w:rPr>
        <w:t>A</w:t>
      </w:r>
      <w:r>
        <w:rPr/>
        <w:t>、已将商品所有权上的主要风险和报酬转移给购货方；</w:t>
      </w:r>
    </w:p>
    <w:p>
      <w:pPr>
        <w:pStyle w:val="BodyText"/>
        <w:spacing w:line="496" w:lineRule="auto" w:before="41"/>
        <w:ind w:left="513" w:right="2233"/>
        <w:jc w:val="left"/>
      </w:pPr>
      <w:r>
        <w:rPr>
          <w:rFonts w:ascii="Times New Roman" w:hAnsi="Times New Roman" w:cs="Times New Roman" w:eastAsia="Times New Roman" w:hint="default"/>
        </w:rPr>
        <w:t>B</w:t>
      </w:r>
      <w:r>
        <w:rPr/>
        <w:t>、既没有保留通常与所有权相联系的继续管理权，也没有对已售出的商品实施有效控制； </w:t>
      </w:r>
      <w:r>
        <w:rPr>
          <w:rFonts w:ascii="Times New Roman" w:hAnsi="Times New Roman" w:cs="Times New Roman" w:eastAsia="Times New Roman" w:hint="default"/>
        </w:rPr>
        <w:t>C</w:t>
      </w:r>
      <w:r>
        <w:rPr/>
        <w:t>、收入的金额能够可靠地计量；</w:t>
      </w:r>
    </w:p>
    <w:p>
      <w:pPr>
        <w:spacing w:after="0" w:line="496" w:lineRule="auto"/>
        <w:jc w:val="left"/>
        <w:sectPr>
          <w:pgSz w:w="11910" w:h="16840"/>
          <w:pgMar w:header="918" w:footer="979" w:top="1100" w:bottom="1160" w:left="980" w:right="1020"/>
        </w:sectPr>
      </w:pPr>
    </w:p>
    <w:p>
      <w:pPr>
        <w:spacing w:line="240" w:lineRule="auto" w:before="4"/>
        <w:rPr>
          <w:rFonts w:ascii="宋体" w:hAnsi="宋体" w:cs="宋体" w:eastAsia="宋体" w:hint="default"/>
          <w:sz w:val="17"/>
          <w:szCs w:val="17"/>
        </w:rPr>
      </w:pPr>
    </w:p>
    <w:p>
      <w:pPr>
        <w:pStyle w:val="BodyText"/>
        <w:spacing w:line="362" w:lineRule="auto" w:before="44"/>
        <w:ind w:right="108" w:firstLine="360"/>
        <w:jc w:val="both"/>
      </w:pPr>
      <w:r>
        <w:rPr>
          <w:rFonts w:ascii="Times New Roman" w:hAnsi="Times New Roman" w:cs="Times New Roman" w:eastAsia="Times New Roman" w:hint="default"/>
        </w:rPr>
        <w:t>E</w:t>
      </w:r>
      <w:r>
        <w:rPr/>
        <w:t>、相关的已发生或将发生的成本能够可靠地计量。</w:t>
      </w:r>
      <w:r>
        <w:rPr>
          <w:spacing w:val="76"/>
        </w:rPr>
        <w:t> </w:t>
      </w:r>
      <w:r>
        <w:rPr/>
        <w:t>公司产品按照销售渠道的不同，分为系统销售、经销、政府采</w:t>
      </w:r>
      <w:r>
        <w:rPr/>
        <w:t> </w:t>
      </w:r>
      <w:r>
        <w:rPr>
          <w:spacing w:val="-2"/>
        </w:rPr>
        <w:t>购三类，其中系统销售、政府采购、部分经销图书无销售退回条件，发出商品后已将商品所有权上的主要风险或报酬转移给</w:t>
      </w:r>
      <w:r>
        <w:rPr>
          <w:spacing w:val="-64"/>
        </w:rPr>
        <w:t> </w:t>
      </w:r>
      <w:r>
        <w:rPr>
          <w:spacing w:val="-64"/>
        </w:rPr>
      </w:r>
      <w:r>
        <w:rPr>
          <w:spacing w:val="-2"/>
        </w:rPr>
        <w:t>购货方，不再对该商品实施继续管理权和实际控制权，相关的收入已经取得或取得了收款的凭据，且与销售该商品有关的成</w:t>
      </w:r>
      <w:r>
        <w:rPr>
          <w:spacing w:val="-63"/>
        </w:rPr>
        <w:t> </w:t>
      </w:r>
      <w:r>
        <w:rPr>
          <w:spacing w:val="-63"/>
        </w:rPr>
      </w:r>
      <w:r>
        <w:rPr>
          <w:spacing w:val="-2"/>
        </w:rPr>
        <w:t>本能够可靠地计量时，本公司确认商品销售收入的实现；经销图书中合同约定有权退回的部分，退货期满时确认销售收入实</w:t>
      </w:r>
      <w:r>
        <w:rPr>
          <w:spacing w:val="-61"/>
        </w:rPr>
        <w:t> </w:t>
      </w:r>
      <w:r>
        <w:rPr>
          <w:spacing w:val="-61"/>
        </w:rPr>
      </w:r>
      <w:r>
        <w:rPr/>
        <w:t>现。</w:t>
      </w:r>
    </w:p>
    <w:p>
      <w:pPr>
        <w:spacing w:line="240" w:lineRule="auto" w:before="5"/>
        <w:rPr>
          <w:rFonts w:ascii="宋体" w:hAnsi="宋体" w:cs="宋体" w:eastAsia="宋体" w:hint="default"/>
          <w:sz w:val="14"/>
          <w:szCs w:val="14"/>
        </w:rPr>
      </w:pPr>
    </w:p>
    <w:p>
      <w:pPr>
        <w:pStyle w:val="BodyText"/>
        <w:spacing w:line="367" w:lineRule="auto"/>
        <w:ind w:right="112" w:firstLine="360"/>
        <w:jc w:val="both"/>
      </w:pPr>
      <w:r>
        <w:rPr>
          <w:spacing w:val="-2"/>
        </w:rPr>
        <w:t>公司版税收入是指公司向出版社提供已编辑完成的文稿及设计图片等向出版社收取的费用，通常在图书出版后与出版社</w:t>
      </w:r>
      <w:r>
        <w:rPr/>
        <w:t> 结算确认收入。</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2</w:t>
      </w:r>
      <w:r>
        <w:rPr/>
        <w:t>）提供劳务</w:t>
      </w:r>
    </w:p>
    <w:p>
      <w:pPr>
        <w:spacing w:line="240" w:lineRule="auto" w:before="6"/>
        <w:rPr>
          <w:rFonts w:ascii="宋体" w:hAnsi="宋体" w:cs="宋体" w:eastAsia="宋体" w:hint="default"/>
          <w:sz w:val="20"/>
          <w:szCs w:val="20"/>
        </w:rPr>
      </w:pPr>
    </w:p>
    <w:p>
      <w:pPr>
        <w:pStyle w:val="BodyText"/>
        <w:spacing w:line="367" w:lineRule="auto"/>
        <w:ind w:right="110" w:firstLine="360"/>
        <w:jc w:val="both"/>
      </w:pPr>
      <w:r>
        <w:rPr>
          <w:spacing w:val="-2"/>
        </w:rPr>
        <w:t>公司提供的劳务在同一会计年度开始并完成的，在劳务已经提供，收到价款或取得收取价款的证据时，确认营业收入的</w:t>
      </w:r>
      <w:r>
        <w:rPr/>
        <w:t> </w:t>
      </w:r>
      <w:r>
        <w:rPr>
          <w:spacing w:val="-2"/>
        </w:rPr>
        <w:t>实现；劳务的开始和完成分属不同会计年度的，在劳务合同的总收入、劳务的完成程度能够可靠地确定，与交易相关的价款</w:t>
      </w:r>
      <w:r>
        <w:rPr>
          <w:spacing w:val="-65"/>
        </w:rPr>
        <w:t> </w:t>
      </w:r>
      <w:r>
        <w:rPr>
          <w:spacing w:val="-65"/>
        </w:rPr>
      </w:r>
      <w:r>
        <w:rPr>
          <w:spacing w:val="-2"/>
        </w:rPr>
        <w:t>能够流入，已经发生的成本和为完成劳务将要发生的成本能够可靠地计量时，按完工百分比法确认营业收入的实现；长期合</w:t>
      </w:r>
      <w:r>
        <w:rPr>
          <w:spacing w:val="-63"/>
        </w:rPr>
        <w:t> </w:t>
      </w:r>
      <w:r>
        <w:rPr>
          <w:spacing w:val="-63"/>
        </w:rPr>
      </w:r>
      <w:r>
        <w:rPr>
          <w:spacing w:val="-2"/>
        </w:rPr>
        <w:t>同工程在合同结果已经能够合理地预见时，按结账时已完成工程进度的百分比法确认营业收入的实现。提供劳务交易的完工</w:t>
      </w:r>
      <w:r>
        <w:rPr>
          <w:spacing w:val="-64"/>
        </w:rPr>
        <w:t> </w:t>
      </w:r>
      <w:r>
        <w:rPr>
          <w:spacing w:val="-64"/>
        </w:rPr>
      </w:r>
      <w:r>
        <w:rPr/>
        <w:t>进度，根据实际选用下列方法情况确定：</w:t>
      </w:r>
    </w:p>
    <w:p>
      <w:pPr>
        <w:spacing w:line="240" w:lineRule="auto" w:before="2"/>
        <w:rPr>
          <w:rFonts w:ascii="宋体" w:hAnsi="宋体" w:cs="宋体" w:eastAsia="宋体" w:hint="default"/>
          <w:sz w:val="14"/>
          <w:szCs w:val="14"/>
        </w:rPr>
      </w:pPr>
    </w:p>
    <w:p>
      <w:pPr>
        <w:pStyle w:val="BodyText"/>
        <w:spacing w:line="496" w:lineRule="auto"/>
        <w:ind w:left="513" w:right="5653"/>
        <w:jc w:val="left"/>
      </w:pPr>
      <w:r>
        <w:rPr>
          <w:rFonts w:ascii="Times New Roman" w:hAnsi="Times New Roman" w:cs="Times New Roman" w:eastAsia="Times New Roman" w:hint="default"/>
        </w:rPr>
        <w:t>A</w:t>
      </w:r>
      <w:r>
        <w:rPr/>
        <w:t>、已完工作的测量； </w:t>
      </w:r>
      <w:r>
        <w:rPr>
          <w:rFonts w:ascii="Times New Roman" w:hAnsi="Times New Roman" w:cs="Times New Roman" w:eastAsia="Times New Roman" w:hint="default"/>
        </w:rPr>
        <w:t>B</w:t>
      </w:r>
      <w:r>
        <w:rPr/>
        <w:t>、已经提供的劳务占应提供劳务总量的比例； </w:t>
      </w:r>
      <w:r>
        <w:rPr>
          <w:rFonts w:ascii="Times New Roman" w:hAnsi="Times New Roman" w:cs="Times New Roman" w:eastAsia="Times New Roman" w:hint="default"/>
        </w:rPr>
        <w:t>C</w:t>
      </w:r>
      <w:r>
        <w:rPr/>
        <w:t>、已经发生的成本占估计总成本的比例。</w:t>
      </w:r>
    </w:p>
    <w:p>
      <w:pPr>
        <w:pStyle w:val="BodyText"/>
        <w:spacing w:line="367" w:lineRule="auto" w:before="53"/>
        <w:ind w:right="112" w:firstLine="360"/>
        <w:jc w:val="both"/>
      </w:pPr>
      <w:r>
        <w:rPr>
          <w:spacing w:val="-2"/>
        </w:rPr>
        <w:t>公司按照从接受劳务方已收或应收的合同或协议价款确定提供劳务收入总额，但已收或应收的合同或协议价款不公允的</w:t>
      </w:r>
      <w:r>
        <w:rPr/>
        <w:t> </w:t>
      </w:r>
      <w:r>
        <w:rPr>
          <w:spacing w:val="-2"/>
        </w:rPr>
        <w:t>除外。资产负债表日按照提供劳务收入总额乘以完工进度扣除以前会计期间累计已确认提供劳务收入后的金额，确认当期提</w:t>
      </w:r>
      <w:r>
        <w:rPr>
          <w:spacing w:val="-64"/>
        </w:rPr>
        <w:t> </w:t>
      </w:r>
      <w:r>
        <w:rPr>
          <w:spacing w:val="-64"/>
        </w:rPr>
      </w:r>
      <w:r>
        <w:rPr/>
        <w:t>供劳务收入。</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在资产负债表日提供劳务交易结果不能够可靠估计的，分别下列情况处理：</w:t>
      </w:r>
    </w:p>
    <w:p>
      <w:pPr>
        <w:spacing w:line="240" w:lineRule="auto" w:before="6"/>
        <w:rPr>
          <w:rFonts w:ascii="宋体" w:hAnsi="宋体" w:cs="宋体" w:eastAsia="宋体" w:hint="default"/>
          <w:sz w:val="21"/>
          <w:szCs w:val="21"/>
        </w:rPr>
      </w:pPr>
    </w:p>
    <w:p>
      <w:pPr>
        <w:pStyle w:val="BodyText"/>
        <w:spacing w:line="345" w:lineRule="auto"/>
        <w:ind w:right="110" w:firstLine="360"/>
        <w:jc w:val="both"/>
      </w:pPr>
      <w:r>
        <w:rPr>
          <w:rFonts w:ascii="Times New Roman" w:hAnsi="Times New Roman" w:cs="Times New Roman" w:eastAsia="Times New Roman" w:hint="default"/>
          <w:spacing w:val="-1"/>
        </w:rPr>
        <w:t>A</w:t>
      </w:r>
      <w:r>
        <w:rPr>
          <w:spacing w:val="-1"/>
        </w:rPr>
        <w:t>、已经发生的劳务成本预计能够得到补偿的，按照已经发生的劳务成本金额确认提供劳务收入，并按相同金额结转劳</w:t>
      </w:r>
      <w:r>
        <w:rPr/>
        <w:t> 务成本；</w:t>
      </w:r>
    </w:p>
    <w:p>
      <w:pPr>
        <w:spacing w:line="240" w:lineRule="auto" w:before="5"/>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B</w:t>
      </w:r>
      <w:r>
        <w:rPr/>
        <w:t>、已经发生的劳务成本预计不能够得到补偿的，将已经发生的劳务成本计入当期损益，不确认提供劳务收入。</w:t>
      </w:r>
    </w:p>
    <w:p>
      <w:pPr>
        <w:spacing w:line="240" w:lineRule="auto" w:before="5"/>
        <w:rPr>
          <w:rFonts w:ascii="宋体" w:hAnsi="宋体" w:cs="宋体" w:eastAsia="宋体" w:hint="default"/>
          <w:sz w:val="20"/>
          <w:szCs w:val="20"/>
        </w:rPr>
      </w:pPr>
    </w:p>
    <w:p>
      <w:pPr>
        <w:pStyle w:val="BodyText"/>
        <w:spacing w:line="496" w:lineRule="auto"/>
        <w:ind w:left="513" w:right="1813"/>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与资产使用权让渡相关的经济利益能够流入及收入的金额能够可靠地计量时，本公司确认收入。</w:t>
      </w:r>
    </w:p>
    <w:p>
      <w:pPr>
        <w:pStyle w:val="Heading5"/>
        <w:spacing w:line="240" w:lineRule="auto" w:before="142"/>
        <w:ind w:right="0"/>
        <w:jc w:val="left"/>
        <w:rPr>
          <w:b w:val="0"/>
          <w:bCs w:val="0"/>
        </w:rPr>
      </w:pPr>
      <w:r>
        <w:rPr>
          <w:rFonts w:ascii="Times New Roman" w:hAnsi="Times New Roman" w:cs="Times New Roman" w:eastAsia="Times New Roman" w:hint="default"/>
        </w:rPr>
        <w:t>15</w:t>
      </w:r>
      <w:r>
        <w:rPr/>
        <w:t>、政府补助的核算方法</w:t>
      </w:r>
      <w:r>
        <w:rPr>
          <w:b w:val="0"/>
          <w:bCs w:val="0"/>
        </w:rPr>
      </w:r>
    </w:p>
    <w:p>
      <w:pPr>
        <w:spacing w:line="240" w:lineRule="auto" w:before="6"/>
        <w:rPr>
          <w:rFonts w:ascii="宋体" w:hAnsi="宋体" w:cs="宋体" w:eastAsia="宋体" w:hint="default"/>
          <w:b/>
          <w:bCs/>
          <w:sz w:val="31"/>
          <w:szCs w:val="31"/>
        </w:rPr>
      </w:pPr>
    </w:p>
    <w:p>
      <w:pPr>
        <w:pStyle w:val="BodyText"/>
        <w:spacing w:line="417" w:lineRule="auto"/>
        <w:ind w:left="513" w:right="0"/>
        <w:jc w:val="left"/>
      </w:pPr>
      <w:r>
        <w:rPr/>
        <w:t>政府补助为本公司从政府无偿取得货币性资产，包括税费返还、财政补贴等。 政府补助在本公司能够满足政府补助所附条件，且能够收到时，予以确认。政府补助按照收到或应收的金额计量。 </w:t>
      </w:r>
      <w:r>
        <w:rPr>
          <w:spacing w:val="-2"/>
        </w:rPr>
        <w:t>与资产相关的政府补助，确认为其他非流动负债</w:t>
      </w:r>
      <w:r>
        <w:rPr>
          <w:rFonts w:ascii="Times New Roman" w:hAnsi="Times New Roman" w:cs="Times New Roman" w:eastAsia="Times New Roman" w:hint="default"/>
          <w:spacing w:val="-2"/>
        </w:rPr>
        <w:t>——</w:t>
      </w:r>
      <w:r>
        <w:rPr>
          <w:spacing w:val="-2"/>
        </w:rPr>
        <w:t>递延收益，并在相关资产使用寿命内平均分配，计入当期损益。按</w:t>
      </w:r>
    </w:p>
    <w:p>
      <w:pPr>
        <w:pStyle w:val="BodyText"/>
        <w:spacing w:line="196" w:lineRule="exact"/>
        <w:ind w:right="0"/>
        <w:jc w:val="left"/>
      </w:pPr>
      <w:r>
        <w:rPr/>
        <w:t>照名义金额计量的政府补助，直接计入当期损益。</w:t>
      </w:r>
    </w:p>
    <w:p>
      <w:pPr>
        <w:spacing w:after="0" w:line="196" w:lineRule="exact"/>
        <w:jc w:val="left"/>
        <w:sectPr>
          <w:headerReference w:type="default" r:id="rId53"/>
          <w:pgSz w:w="11910" w:h="16840"/>
          <w:pgMar w:header="1104" w:footer="979" w:top="1760" w:bottom="1160" w:left="980" w:right="1020"/>
        </w:sectPr>
      </w:pPr>
    </w:p>
    <w:p>
      <w:pPr>
        <w:spacing w:line="240" w:lineRule="auto" w:before="2"/>
        <w:rPr>
          <w:rFonts w:ascii="宋体" w:hAnsi="宋体" w:cs="宋体" w:eastAsia="宋体" w:hint="default"/>
          <w:sz w:val="27"/>
          <w:szCs w:val="27"/>
        </w:rPr>
      </w:pPr>
    </w:p>
    <w:p>
      <w:pPr>
        <w:pStyle w:val="BodyText"/>
        <w:spacing w:line="348" w:lineRule="auto" w:before="44"/>
        <w:ind w:right="111" w:firstLine="360"/>
        <w:jc w:val="both"/>
      </w:pPr>
      <w:r>
        <w:rPr>
          <w:spacing w:val="-1"/>
        </w:rPr>
        <w:t>与收益相关的政府补助，用于补偿以后期间的相关费用或损失的，确认为其他非流动负债</w:t>
      </w:r>
      <w:r>
        <w:rPr>
          <w:rFonts w:ascii="Times New Roman" w:hAnsi="Times New Roman" w:cs="Times New Roman" w:eastAsia="Times New Roman" w:hint="default"/>
          <w:spacing w:val="-1"/>
        </w:rPr>
        <w:t>--</w:t>
      </w:r>
      <w:r>
        <w:rPr>
          <w:spacing w:val="-1"/>
        </w:rPr>
        <w:t>递延收益，并在确认相关费</w:t>
      </w:r>
      <w:r>
        <w:rPr/>
        <w:t> 用的期间，计入当期损益；用于补偿已发生的相关费用或损失的，直接计入当期损益。</w:t>
      </w:r>
    </w:p>
    <w:p>
      <w:pPr>
        <w:spacing w:line="240" w:lineRule="auto" w:before="5"/>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16</w:t>
      </w:r>
      <w:r>
        <w:rPr/>
        <w:t>、所得税的核算</w:t>
      </w:r>
      <w:r>
        <w:rPr>
          <w:b w:val="0"/>
          <w:bCs w:val="0"/>
        </w:rPr>
      </w:r>
    </w:p>
    <w:p>
      <w:pPr>
        <w:pStyle w:val="BodyText"/>
        <w:spacing w:line="510" w:lineRule="atLeast" w:before="139"/>
        <w:ind w:left="513" w:right="0"/>
        <w:jc w:val="left"/>
      </w:pPr>
      <w:r>
        <w:rPr/>
        <w:t>本公司所得税的会计核算采用资产负债表债务法。 </w:t>
      </w:r>
      <w:r>
        <w:rPr>
          <w:spacing w:val="-2"/>
        </w:rPr>
        <w:t>公司在取得资产、负债时，确定其计税基础。如果资产、负债的账面价值与其计税基础存在差异，则将差异区分为应纳</w:t>
      </w:r>
    </w:p>
    <w:p>
      <w:pPr>
        <w:pStyle w:val="BodyText"/>
        <w:spacing w:line="367" w:lineRule="auto" w:before="124"/>
        <w:ind w:right="110"/>
        <w:jc w:val="both"/>
      </w:pPr>
      <w:r>
        <w:rPr>
          <w:spacing w:val="-2"/>
        </w:rPr>
        <w:t>税暂时性差异和可抵扣暂时性差异分别进行会计处理。按照税法规定允许抵减以后年度所得的可抵扣亏损，视同可抵扣暂时</w:t>
      </w:r>
      <w:r>
        <w:rPr>
          <w:spacing w:val="-64"/>
        </w:rPr>
        <w:t> </w:t>
      </w:r>
      <w:r>
        <w:rPr>
          <w:spacing w:val="-64"/>
        </w:rPr>
      </w:r>
      <w:r>
        <w:rPr>
          <w:spacing w:val="-2"/>
        </w:rPr>
        <w:t>性差异。本公司将应纳税暂时性差异按适用税率确认为递延所得税负债。对可抵扣暂时性差异与可抵扣亏损，按适用税率以</w:t>
      </w:r>
      <w:r>
        <w:rPr>
          <w:spacing w:val="-63"/>
        </w:rPr>
        <w:t> </w:t>
      </w:r>
      <w:r>
        <w:rPr>
          <w:spacing w:val="-63"/>
        </w:rPr>
      </w:r>
      <w:r>
        <w:rPr/>
        <w:t>未来很可能取得用来抵扣可抵扣暂时性差异与可抵扣亏损的应纳税所得额为限，确认相应的递延所得税资产。</w:t>
      </w:r>
    </w:p>
    <w:p>
      <w:pPr>
        <w:spacing w:line="240" w:lineRule="auto" w:before="2"/>
        <w:rPr>
          <w:rFonts w:ascii="宋体" w:hAnsi="宋体" w:cs="宋体" w:eastAsia="宋体" w:hint="default"/>
          <w:sz w:val="14"/>
          <w:szCs w:val="14"/>
        </w:rPr>
      </w:pPr>
    </w:p>
    <w:p>
      <w:pPr>
        <w:pStyle w:val="BodyText"/>
        <w:spacing w:line="367" w:lineRule="auto"/>
        <w:ind w:right="112" w:firstLine="360"/>
        <w:jc w:val="both"/>
      </w:pPr>
      <w:r>
        <w:rPr>
          <w:spacing w:val="-2"/>
        </w:rPr>
        <w:t>在资产负债表日，有确凿证据表明未来期间很可能获得足够的应纳税所得额用来抵扣可抵扣暂时性差异的，公司将确认</w:t>
      </w:r>
      <w:r>
        <w:rPr/>
        <w:t> 以前期间未确认的递延所得税资产。</w:t>
      </w:r>
    </w:p>
    <w:p>
      <w:pPr>
        <w:spacing w:line="240" w:lineRule="auto" w:before="2"/>
        <w:rPr>
          <w:rFonts w:ascii="宋体" w:hAnsi="宋体" w:cs="宋体" w:eastAsia="宋体" w:hint="default"/>
          <w:sz w:val="14"/>
          <w:szCs w:val="14"/>
        </w:rPr>
      </w:pPr>
    </w:p>
    <w:p>
      <w:pPr>
        <w:pStyle w:val="BodyText"/>
        <w:spacing w:line="367" w:lineRule="auto"/>
        <w:ind w:right="110" w:firstLine="360"/>
        <w:jc w:val="both"/>
      </w:pPr>
      <w:r>
        <w:rPr>
          <w:spacing w:val="-2"/>
        </w:rPr>
        <w:t>资产负债表日，公司对递延所得税资产的账面价值进行复核。如果未来期间很可能无法获得足够的应纳税所得额用以抵</w:t>
      </w:r>
      <w:r>
        <w:rPr/>
        <w:t> </w:t>
      </w:r>
      <w:r>
        <w:rPr>
          <w:spacing w:val="-2"/>
        </w:rPr>
        <w:t>扣递延所得税资产的利益，减记递延所得税资产的账面价值；如在未来期间预计很可能获得足够的应纳税所得额时，原减记</w:t>
      </w:r>
      <w:r>
        <w:rPr>
          <w:spacing w:val="-63"/>
        </w:rPr>
        <w:t> </w:t>
      </w:r>
      <w:r>
        <w:rPr>
          <w:spacing w:val="-63"/>
        </w:rPr>
      </w:r>
      <w:r>
        <w:rPr/>
        <w:t>的金额相应予以转回。</w:t>
      </w:r>
    </w:p>
    <w:p>
      <w:pPr>
        <w:spacing w:line="240" w:lineRule="auto" w:before="3"/>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17</w:t>
      </w:r>
      <w:r>
        <w:rPr/>
        <w:t>、会计政策和会计估计变更以及前期差错更正的说明</w:t>
      </w:r>
      <w:r>
        <w:rPr>
          <w:b w:val="0"/>
          <w:bCs w:val="0"/>
        </w:rPr>
      </w:r>
    </w:p>
    <w:p>
      <w:pPr>
        <w:spacing w:line="240" w:lineRule="auto" w:before="6"/>
        <w:rPr>
          <w:rFonts w:ascii="宋体" w:hAnsi="宋体" w:cs="宋体" w:eastAsia="宋体" w:hint="default"/>
          <w:b/>
          <w:bCs/>
          <w:sz w:val="31"/>
          <w:szCs w:val="31"/>
        </w:rPr>
      </w:pPr>
    </w:p>
    <w:p>
      <w:pPr>
        <w:pStyle w:val="BodyText"/>
        <w:spacing w:line="508" w:lineRule="auto"/>
        <w:ind w:left="513" w:right="6313"/>
        <w:jc w:val="left"/>
      </w:pPr>
      <w:r>
        <w:rPr>
          <w:rFonts w:ascii="Times New Roman" w:hAnsi="Times New Roman" w:cs="Times New Roman" w:eastAsia="Times New Roman" w:hint="default"/>
        </w:rPr>
        <w:t>1</w:t>
      </w:r>
      <w:r>
        <w:rPr/>
        <w:t>、会计政策的变更 本公司本期无会计政策变更事项。 </w:t>
      </w:r>
      <w:r>
        <w:rPr>
          <w:rFonts w:ascii="Times New Roman" w:hAnsi="Times New Roman" w:cs="Times New Roman" w:eastAsia="Times New Roman" w:hint="default"/>
        </w:rPr>
        <w:t>2</w:t>
      </w:r>
      <w:r>
        <w:rPr/>
        <w:t>、会计估计的变更 本公司本期无会计估计变更事项。 </w:t>
      </w:r>
      <w:r>
        <w:rPr>
          <w:rFonts w:ascii="Times New Roman" w:hAnsi="Times New Roman" w:cs="Times New Roman" w:eastAsia="Times New Roman" w:hint="default"/>
        </w:rPr>
        <w:t>3</w:t>
      </w:r>
      <w:r>
        <w:rPr/>
        <w:t>、前期会计差错更正 本公司本期无前期会计差错更正事项。</w:t>
      </w:r>
    </w:p>
    <w:p>
      <w:pPr>
        <w:pStyle w:val="Heading3"/>
        <w:spacing w:line="240" w:lineRule="auto" w:before="107"/>
        <w:ind w:right="0"/>
        <w:jc w:val="both"/>
        <w:rPr>
          <w:b w:val="0"/>
          <w:bCs w:val="0"/>
        </w:rPr>
      </w:pPr>
      <w:r>
        <w:rPr/>
        <w:t>五、税</w:t>
      </w:r>
      <w:r>
        <w:rPr>
          <w:spacing w:val="-1"/>
        </w:rPr>
        <w:t> </w:t>
      </w:r>
      <w:r>
        <w:rPr/>
        <w:t>项</w:t>
      </w:r>
      <w:r>
        <w:rPr>
          <w:b w:val="0"/>
          <w:bCs w:val="0"/>
        </w:rPr>
      </w:r>
    </w:p>
    <w:p>
      <w:pPr>
        <w:spacing w:line="240" w:lineRule="auto" w:before="10"/>
        <w:rPr>
          <w:rFonts w:ascii="宋体" w:hAnsi="宋体" w:cs="宋体" w:eastAsia="宋体" w:hint="default"/>
          <w:b/>
          <w:bCs/>
          <w:sz w:val="31"/>
          <w:szCs w:val="31"/>
        </w:rPr>
      </w:pPr>
    </w:p>
    <w:p>
      <w:pPr>
        <w:pStyle w:val="BodyText"/>
        <w:spacing w:line="240" w:lineRule="auto"/>
        <w:ind w:left="513" w:right="0"/>
        <w:jc w:val="left"/>
      </w:pPr>
      <w:r>
        <w:rPr>
          <w:rFonts w:ascii="Times New Roman" w:hAnsi="Times New Roman" w:cs="Times New Roman" w:eastAsia="Times New Roman" w:hint="default"/>
        </w:rPr>
        <w:t>1</w:t>
      </w:r>
      <w:r>
        <w:rPr/>
        <w:t>、增值税</w:t>
      </w:r>
    </w:p>
    <w:p>
      <w:pPr>
        <w:spacing w:line="240" w:lineRule="auto" w:before="5"/>
        <w:rPr>
          <w:rFonts w:ascii="宋体" w:hAnsi="宋体" w:cs="宋体" w:eastAsia="宋体" w:hint="default"/>
          <w:sz w:val="20"/>
          <w:szCs w:val="20"/>
        </w:rPr>
      </w:pPr>
    </w:p>
    <w:p>
      <w:pPr>
        <w:pStyle w:val="BodyText"/>
        <w:spacing w:line="348" w:lineRule="auto"/>
        <w:ind w:right="111" w:firstLine="360"/>
        <w:jc w:val="both"/>
      </w:pPr>
      <w:r>
        <w:rPr/>
        <w:t>本公司按销售商品或提供劳务的增值额计缴增值税，其中书刊销售收入增值税税率为</w:t>
      </w:r>
      <w:r>
        <w:rPr>
          <w:spacing w:val="31"/>
        </w:rPr>
        <w:t> </w:t>
      </w:r>
      <w:r>
        <w:rPr>
          <w:rFonts w:ascii="Times New Roman" w:hAnsi="Times New Roman" w:cs="Times New Roman" w:eastAsia="Times New Roman" w:hint="default"/>
        </w:rPr>
        <w:t>13%</w:t>
      </w:r>
      <w:r>
        <w:rPr/>
        <w:t>，其他货物销售收入增值税 税率为</w:t>
      </w:r>
      <w:r>
        <w:rPr>
          <w:spacing w:val="-48"/>
        </w:rPr>
        <w:t> </w:t>
      </w:r>
      <w:r>
        <w:rPr>
          <w:rFonts w:ascii="Times New Roman" w:hAnsi="Times New Roman" w:cs="Times New Roman" w:eastAsia="Times New Roman" w:hint="default"/>
        </w:rPr>
        <w:t>17%</w:t>
      </w:r>
      <w:r>
        <w:rPr/>
        <w:t>；根据《财政部</w:t>
      </w:r>
      <w:r>
        <w:rPr>
          <w:spacing w:val="-5"/>
        </w:rPr>
        <w:t> </w:t>
      </w:r>
      <w:r>
        <w:rPr/>
        <w:t>国家税务总局关于在北京等</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省市开展交通运输业和部分现代服务业营业税改征增值税试点的 </w:t>
      </w:r>
      <w:r>
        <w:rPr>
          <w:spacing w:val="-7"/>
        </w:rPr>
        <w:t>通知》（财税</w:t>
      </w:r>
      <w:r>
        <w:rPr>
          <w:rFonts w:ascii="Times New Roman" w:hAnsi="Times New Roman" w:cs="Times New Roman" w:eastAsia="Times New Roman" w:hint="default"/>
          <w:spacing w:val="-7"/>
        </w:rPr>
        <w:t>[2012]71</w:t>
      </w:r>
      <w:r>
        <w:rPr>
          <w:rFonts w:ascii="Times New Roman" w:hAnsi="Times New Roman" w:cs="Times New Roman" w:eastAsia="Times New Roman" w:hint="default"/>
          <w:spacing w:val="5"/>
        </w:rPr>
        <w:t> </w:t>
      </w:r>
      <w:r>
        <w:rPr>
          <w:spacing w:val="-3"/>
        </w:rPr>
        <w:t>号），本公司注册地在北京的子公司取得的文化创意及数字信息服务收入自</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
        </w:rPr>
        <w:t>日开始缴纳</w:t>
      </w:r>
      <w:r>
        <w:rPr/>
        <w:t> 增值税。</w:t>
      </w:r>
    </w:p>
    <w:p>
      <w:pPr>
        <w:spacing w:line="240" w:lineRule="auto" w:before="3"/>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2</w:t>
      </w:r>
      <w:r>
        <w:rPr/>
        <w:t>、营业税</w:t>
      </w:r>
    </w:p>
    <w:p>
      <w:pPr>
        <w:spacing w:line="240" w:lineRule="auto" w:before="5"/>
        <w:rPr>
          <w:rFonts w:ascii="宋体" w:hAnsi="宋体" w:cs="宋体" w:eastAsia="宋体" w:hint="default"/>
          <w:sz w:val="20"/>
          <w:szCs w:val="20"/>
        </w:rPr>
      </w:pPr>
    </w:p>
    <w:p>
      <w:pPr>
        <w:pStyle w:val="BodyText"/>
        <w:spacing w:line="240" w:lineRule="auto"/>
        <w:ind w:left="513" w:right="0"/>
        <w:jc w:val="left"/>
        <w:rPr>
          <w:rFonts w:ascii="Times New Roman" w:hAnsi="Times New Roman" w:cs="Times New Roman" w:eastAsia="Times New Roman" w:hint="default"/>
        </w:rPr>
      </w:pPr>
      <w:r>
        <w:rPr/>
        <w:t>本公司发行代理、教育咨询收入以及版税收入缴纳营业税，税率为 </w:t>
      </w:r>
      <w:r>
        <w:rPr>
          <w:rFonts w:ascii="Times New Roman" w:hAnsi="Times New Roman" w:cs="Times New Roman" w:eastAsia="Times New Roman" w:hint="default"/>
        </w:rPr>
        <w:t>5%</w:t>
      </w:r>
      <w:r>
        <w:rPr/>
        <w:t>。根据《财政部 国家税务总局关于在北京等</w:t>
      </w:r>
      <w:r>
        <w:rPr>
          <w:spacing w:val="31"/>
        </w:rPr>
        <w:t> </w:t>
      </w:r>
      <w:r>
        <w:rPr>
          <w:rFonts w:ascii="Times New Roman" w:hAnsi="Times New Roman" w:cs="Times New Roman" w:eastAsia="Times New Roman" w:hint="default"/>
        </w:rPr>
        <w:t>8</w:t>
      </w:r>
    </w:p>
    <w:p>
      <w:pPr>
        <w:pStyle w:val="BodyText"/>
        <w:spacing w:line="240" w:lineRule="auto" w:before="110"/>
        <w:ind w:right="0"/>
        <w:jc w:val="both"/>
      </w:pPr>
      <w:r>
        <w:rPr/>
        <w:t>省市开展交通运输业和部分现代服务业营业税改征增值税试点的通知</w:t>
      </w:r>
      <w:r>
        <w:rPr>
          <w:spacing w:val="-125"/>
        </w:rPr>
        <w:t>》</w:t>
      </w:r>
      <w:r>
        <w:rPr/>
        <w:t>（财税</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spacing w:val="-92"/>
        </w:rPr>
        <w:t>）</w:t>
      </w:r>
      <w:r>
        <w:rPr>
          <w:spacing w:val="-34"/>
        </w:rPr>
        <w:t>，</w:t>
      </w:r>
      <w:r>
        <w:rPr/>
        <w:t>本公司注册地在北京的子公司取</w:t>
      </w:r>
    </w:p>
    <w:p>
      <w:pPr>
        <w:spacing w:after="0" w:line="240" w:lineRule="auto"/>
        <w:jc w:val="both"/>
        <w:sectPr>
          <w:headerReference w:type="default" r:id="rId54"/>
          <w:pgSz w:w="11910" w:h="16840"/>
          <w:pgMar w:header="918" w:footer="979" w:top="1100" w:bottom="1160" w:left="980" w:right="102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t>得的文化创意及数字信息服务收入自</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日开始由征收营业税改为征收增值税。</w:t>
      </w:r>
    </w:p>
    <w:p>
      <w:pPr>
        <w:pStyle w:val="BodyText"/>
        <w:spacing w:line="500" w:lineRule="atLeast" w:before="16"/>
        <w:ind w:left="513" w:right="0"/>
        <w:jc w:val="left"/>
      </w:pPr>
      <w:r>
        <w:rPr>
          <w:rFonts w:ascii="Times New Roman" w:hAnsi="Times New Roman" w:cs="Times New Roman" w:eastAsia="Times New Roman" w:hint="default"/>
        </w:rPr>
        <w:t>3</w:t>
      </w:r>
      <w:r>
        <w:rPr/>
        <w:t>、城市维护建设税 </w:t>
      </w:r>
      <w:r>
        <w:rPr>
          <w:spacing w:val="-2"/>
        </w:rPr>
        <w:t>本公司按当期应纳流转税额计缴城市维护建设税。母公司和子公司湖南天舟教育科技研究有限责任公司城市维护建设税</w:t>
      </w:r>
    </w:p>
    <w:p>
      <w:pPr>
        <w:pStyle w:val="BodyText"/>
        <w:spacing w:line="496" w:lineRule="auto" w:before="124"/>
        <w:ind w:left="513" w:right="3508" w:hanging="360"/>
        <w:jc w:val="left"/>
      </w:pPr>
      <w:r>
        <w:rPr/>
        <w:t>适用税率为</w:t>
      </w:r>
      <w:r>
        <w:rPr>
          <w:spacing w:val="-46"/>
        </w:rPr>
        <w:t> </w:t>
      </w:r>
      <w:r>
        <w:rPr>
          <w:rFonts w:ascii="Times New Roman" w:hAnsi="Times New Roman" w:cs="Times New Roman" w:eastAsia="Times New Roman" w:hint="default"/>
        </w:rPr>
        <w:t>5%</w:t>
      </w:r>
      <w:r>
        <w:rPr/>
        <w:t>，其他公司城市维护建设税适用税率为</w:t>
      </w:r>
      <w:r>
        <w:rPr>
          <w:spacing w:val="-44"/>
        </w:rPr>
        <w:t> </w:t>
      </w:r>
      <w:r>
        <w:rPr>
          <w:rFonts w:ascii="Times New Roman" w:hAnsi="Times New Roman" w:cs="Times New Roman" w:eastAsia="Times New Roman" w:hint="default"/>
        </w:rPr>
        <w:t>7%</w:t>
      </w:r>
      <w:r>
        <w:rPr/>
        <w:t>。 </w:t>
      </w:r>
      <w:r>
        <w:rPr>
          <w:rFonts w:ascii="Times New Roman" w:hAnsi="Times New Roman" w:cs="Times New Roman" w:eastAsia="Times New Roman" w:hint="default"/>
        </w:rPr>
        <w:t>4</w:t>
      </w:r>
      <w:r>
        <w:rPr/>
        <w:t>、教育费附加及地方教育费附加 本公司按当期应纳流转税额计缴教育费附加及地方教育附加，税率为</w:t>
      </w:r>
      <w:r>
        <w:rPr>
          <w:spacing w:val="-45"/>
        </w:rPr>
        <w:t> </w:t>
      </w:r>
      <w:r>
        <w:rPr>
          <w:rFonts w:ascii="Times New Roman" w:hAnsi="Times New Roman" w:cs="Times New Roman" w:eastAsia="Times New Roman" w:hint="default"/>
        </w:rPr>
        <w:t>5%</w:t>
      </w:r>
      <w:r>
        <w:rPr/>
        <w:t>。 </w:t>
      </w:r>
      <w:r>
        <w:rPr>
          <w:rFonts w:ascii="Times New Roman" w:hAnsi="Times New Roman" w:cs="Times New Roman" w:eastAsia="Times New Roman" w:hint="default"/>
        </w:rPr>
        <w:t>5</w:t>
      </w:r>
      <w:r>
        <w:rPr/>
        <w:t>、企业所得税</w:t>
      </w:r>
    </w:p>
    <w:p>
      <w:pPr>
        <w:pStyle w:val="BodyText"/>
        <w:spacing w:line="496" w:lineRule="auto" w:before="53"/>
        <w:ind w:left="513" w:right="4677"/>
        <w:jc w:val="left"/>
      </w:pPr>
      <w:r>
        <w:rPr/>
        <w:t>本公司及子公司均按当期应纳税所得额的</w:t>
      </w:r>
      <w:r>
        <w:rPr>
          <w:spacing w:val="-44"/>
        </w:rPr>
        <w:t> </w:t>
      </w:r>
      <w:r>
        <w:rPr>
          <w:rFonts w:ascii="Times New Roman" w:hAnsi="Times New Roman" w:cs="Times New Roman" w:eastAsia="Times New Roman" w:hint="default"/>
        </w:rPr>
        <w:t>25%</w:t>
      </w:r>
      <w:r>
        <w:rPr/>
        <w:t>计缴所得税。 </w:t>
      </w:r>
      <w:r>
        <w:rPr>
          <w:rFonts w:ascii="Times New Roman" w:hAnsi="Times New Roman" w:cs="Times New Roman" w:eastAsia="Times New Roman" w:hint="default"/>
        </w:rPr>
        <w:t>6</w:t>
      </w:r>
      <w:r>
        <w:rPr/>
        <w:t>、房产税</w:t>
      </w:r>
    </w:p>
    <w:p>
      <w:pPr>
        <w:pStyle w:val="BodyText"/>
        <w:spacing w:line="345" w:lineRule="auto" w:before="53"/>
        <w:ind w:right="110" w:firstLine="360"/>
        <w:jc w:val="both"/>
      </w:pPr>
      <w:r>
        <w:rPr/>
        <w:t>本公司用于出租的房屋，按照租金收入的</w:t>
      </w:r>
      <w:r>
        <w:rPr>
          <w:spacing w:val="-44"/>
        </w:rPr>
        <w:t> </w:t>
      </w:r>
      <w:r>
        <w:rPr>
          <w:rFonts w:ascii="Times New Roman" w:hAnsi="Times New Roman" w:cs="Times New Roman" w:eastAsia="Times New Roman" w:hint="default"/>
        </w:rPr>
        <w:t>12%</w:t>
      </w:r>
      <w:r>
        <w:rPr/>
        <w:t>缴纳房产税；自用的房屋，按照房产原值扣除</w:t>
      </w:r>
      <w:r>
        <w:rPr>
          <w:spacing w:val="-44"/>
        </w:rPr>
        <w:t> </w:t>
      </w:r>
      <w:r>
        <w:rPr>
          <w:rFonts w:ascii="Times New Roman" w:hAnsi="Times New Roman" w:cs="Times New Roman" w:eastAsia="Times New Roman" w:hint="default"/>
        </w:rPr>
        <w:t>20%</w:t>
      </w:r>
      <w:r>
        <w:rPr/>
        <w:t>后的余额，按</w:t>
      </w:r>
      <w:r>
        <w:rPr>
          <w:spacing w:val="-44"/>
        </w:rPr>
        <w:t> </w:t>
      </w:r>
      <w:r>
        <w:rPr>
          <w:rFonts w:ascii="Times New Roman" w:hAnsi="Times New Roman" w:cs="Times New Roman" w:eastAsia="Times New Roman" w:hint="default"/>
        </w:rPr>
        <w:t>1.2%</w:t>
      </w:r>
      <w:r>
        <w:rPr/>
        <w:t>的 税率缴纳房产税。</w:t>
      </w:r>
    </w:p>
    <w:p>
      <w:pPr>
        <w:spacing w:line="240" w:lineRule="auto" w:before="5"/>
        <w:rPr>
          <w:rFonts w:ascii="宋体" w:hAnsi="宋体" w:cs="宋体" w:eastAsia="宋体" w:hint="default"/>
          <w:sz w:val="15"/>
          <w:szCs w:val="15"/>
        </w:rPr>
      </w:pPr>
    </w:p>
    <w:p>
      <w:pPr>
        <w:pStyle w:val="BodyText"/>
        <w:spacing w:line="496" w:lineRule="auto"/>
        <w:ind w:left="513" w:right="7753"/>
        <w:jc w:val="left"/>
      </w:pPr>
      <w:r>
        <w:rPr>
          <w:rFonts w:ascii="Times New Roman" w:hAnsi="Times New Roman" w:cs="Times New Roman" w:eastAsia="Times New Roman" w:hint="default"/>
        </w:rPr>
        <w:t>7</w:t>
      </w:r>
      <w:r>
        <w:rPr/>
        <w:t>、其他税项 依据税法规定计缴。</w:t>
      </w:r>
    </w:p>
    <w:p>
      <w:pPr>
        <w:pStyle w:val="Heading3"/>
        <w:spacing w:line="240" w:lineRule="auto" w:before="116"/>
        <w:ind w:right="0"/>
        <w:jc w:val="left"/>
        <w:rPr>
          <w:b w:val="0"/>
          <w:bCs w:val="0"/>
        </w:rPr>
      </w:pPr>
      <w:r>
        <w:rPr/>
        <w:t>六、企业合并及合并财务报表</w:t>
      </w:r>
      <w:r>
        <w:rPr>
          <w:b w:val="0"/>
          <w:bCs w:val="0"/>
        </w:rPr>
      </w:r>
    </w:p>
    <w:p>
      <w:pPr>
        <w:pStyle w:val="BodyText"/>
        <w:spacing w:line="510" w:lineRule="atLeast" w:before="141"/>
        <w:ind w:left="513" w:right="0"/>
        <w:jc w:val="left"/>
      </w:pPr>
      <w:r>
        <w:rPr/>
        <w:t>（一）同一控制下和非同一控制下企业合并的会计处理方法 </w:t>
      </w:r>
      <w:r>
        <w:rPr>
          <w:spacing w:val="-2"/>
        </w:rPr>
        <w:t>同一控制下的企业合并，合并方在企业合并中取得的资产和负债，按照合并日在被合并方的账面价值计量。合并方取得</w:t>
      </w:r>
    </w:p>
    <w:p>
      <w:pPr>
        <w:pStyle w:val="BodyText"/>
        <w:spacing w:line="367" w:lineRule="auto" w:before="124"/>
        <w:ind w:right="110"/>
        <w:jc w:val="both"/>
      </w:pPr>
      <w:r>
        <w:rPr>
          <w:spacing w:val="-2"/>
        </w:rPr>
        <w:t>的净资产账面价值与支付的合并对价账面价值（或发行股份面值总额）的差额，调整资本公积；资本公积不足冲减的，调整</w:t>
      </w:r>
      <w:r>
        <w:rPr>
          <w:spacing w:val="-67"/>
        </w:rPr>
        <w:t> </w:t>
      </w:r>
      <w:r>
        <w:rPr>
          <w:spacing w:val="-67"/>
        </w:rPr>
      </w:r>
      <w:r>
        <w:rPr>
          <w:spacing w:val="-2"/>
        </w:rPr>
        <w:t>留存收益。合并方为进行企业合并发生的各项直接相关费用，包括为进行企业合并而支付的审计费用、评估费用、法律服务</w:t>
      </w:r>
      <w:r>
        <w:rPr>
          <w:spacing w:val="-64"/>
        </w:rPr>
        <w:t> </w:t>
      </w:r>
      <w:r>
        <w:rPr>
          <w:spacing w:val="-64"/>
        </w:rPr>
      </w:r>
      <w:r>
        <w:rPr>
          <w:spacing w:val="-2"/>
        </w:rPr>
        <w:t>费用等，于发生时计入当期损益。合并形成母子公司关系的，母公司编制合并日的合并资产负债表、合并利润表和合并现金</w:t>
      </w:r>
      <w:r>
        <w:rPr>
          <w:spacing w:val="-65"/>
        </w:rPr>
        <w:t> </w:t>
      </w:r>
      <w:r>
        <w:rPr>
          <w:spacing w:val="-65"/>
        </w:rPr>
      </w:r>
      <w:r>
        <w:rPr>
          <w:spacing w:val="-2"/>
        </w:rPr>
        <w:t>流量表。合并资产负债表中被合并方的各项资产、负债，按其账面价值计量。被合并方在合并前实现的净利润，在合并利润</w:t>
      </w:r>
      <w:r>
        <w:rPr>
          <w:spacing w:val="-67"/>
        </w:rPr>
        <w:t> </w:t>
      </w:r>
      <w:r>
        <w:rPr>
          <w:spacing w:val="-67"/>
        </w:rPr>
      </w:r>
      <w:r>
        <w:rPr/>
        <w:t>表中单列项目反映。</w:t>
      </w:r>
    </w:p>
    <w:p>
      <w:pPr>
        <w:spacing w:line="240" w:lineRule="auto" w:before="2"/>
        <w:rPr>
          <w:rFonts w:ascii="宋体" w:hAnsi="宋体" w:cs="宋体" w:eastAsia="宋体" w:hint="default"/>
          <w:sz w:val="14"/>
          <w:szCs w:val="14"/>
        </w:rPr>
      </w:pPr>
    </w:p>
    <w:p>
      <w:pPr>
        <w:pStyle w:val="BodyText"/>
        <w:spacing w:line="367" w:lineRule="auto"/>
        <w:ind w:right="110" w:firstLine="360"/>
        <w:jc w:val="both"/>
      </w:pPr>
      <w:r>
        <w:rPr>
          <w:spacing w:val="-2"/>
        </w:rPr>
        <w:t>非同一控制下的企业合并，购买方在购买日为取得对被购买方的控制权而付出的资产、发生或承担的负债以及发行的权</w:t>
      </w:r>
      <w:r>
        <w:rPr/>
        <w:t> </w:t>
      </w:r>
      <w:r>
        <w:rPr>
          <w:spacing w:val="-2"/>
        </w:rPr>
        <w:t>益性证券的公允价值加上各项直接相关费用为合并成本。购买方在购买日对作为企业合并对价付出的资产、发生或承担的负</w:t>
      </w:r>
      <w:r>
        <w:rPr>
          <w:spacing w:val="-64"/>
        </w:rPr>
        <w:t> </w:t>
      </w:r>
      <w:r>
        <w:rPr>
          <w:spacing w:val="-64"/>
        </w:rPr>
      </w:r>
      <w:r>
        <w:rPr>
          <w:spacing w:val="-2"/>
        </w:rPr>
        <w:t>债按照公允价值计量，公允价值与其账面价值的差额，计入当期损益。购买方对合并成本大于合并中取得的被购买方可辨认</w:t>
      </w:r>
      <w:r>
        <w:rPr>
          <w:spacing w:val="-63"/>
        </w:rPr>
        <w:t> </w:t>
      </w:r>
      <w:r>
        <w:rPr>
          <w:spacing w:val="-63"/>
        </w:rPr>
      </w:r>
      <w:r>
        <w:rPr>
          <w:spacing w:val="-2"/>
        </w:rPr>
        <w:t>净资产公允价值份额的差额，确认为商誉。购买方合并成本小于合并中取得的被购买方可辨认净资产公允价值份额时，应对</w:t>
      </w:r>
      <w:r>
        <w:rPr>
          <w:spacing w:val="-63"/>
        </w:rPr>
        <w:t> </w:t>
      </w:r>
      <w:r>
        <w:rPr>
          <w:spacing w:val="-63"/>
        </w:rPr>
      </w:r>
      <w:r>
        <w:rPr>
          <w:spacing w:val="-2"/>
        </w:rPr>
        <w:t>取得的被购买方各项可辨认资产、负债及或有负债的公允价值以及合并成本的计量进行复核；经复核后合并成本仍小于合并</w:t>
      </w:r>
      <w:r>
        <w:rPr>
          <w:spacing w:val="-64"/>
        </w:rPr>
        <w:t> </w:t>
      </w:r>
      <w:r>
        <w:rPr>
          <w:spacing w:val="-64"/>
        </w:rPr>
      </w:r>
      <w:r>
        <w:rPr>
          <w:spacing w:val="-2"/>
        </w:rPr>
        <w:t>中取得的被购买方可辨认净资产公允价值份额的，其差额计入当期损益。企业合并形成母子关系的，母公司编制购买日的合</w:t>
      </w:r>
      <w:r>
        <w:rPr>
          <w:spacing w:val="-63"/>
        </w:rPr>
        <w:t> </w:t>
      </w:r>
      <w:r>
        <w:rPr>
          <w:spacing w:val="-63"/>
        </w:rPr>
      </w:r>
      <w:r>
        <w:rPr/>
        <w:t>并资产负债表，因企业合并取得的被购买方各项可辨认资产、负债及或有负债以公允价值列示。</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通过多次交易分步实现非同一控制下企业合并的，区分个别财务报表和合并财务报表进行相关会计处理：</w:t>
      </w:r>
    </w:p>
    <w:p>
      <w:pPr>
        <w:spacing w:line="240" w:lineRule="auto" w:before="6"/>
        <w:rPr>
          <w:rFonts w:ascii="宋体" w:hAnsi="宋体" w:cs="宋体" w:eastAsia="宋体" w:hint="default"/>
          <w:sz w:val="21"/>
          <w:szCs w:val="21"/>
        </w:rPr>
      </w:pPr>
    </w:p>
    <w:p>
      <w:pPr>
        <w:pStyle w:val="BodyText"/>
        <w:spacing w:line="345" w:lineRule="auto"/>
        <w:ind w:right="112" w:firstLine="360"/>
        <w:jc w:val="both"/>
      </w:pPr>
      <w:r>
        <w:rPr/>
        <w:t>（</w:t>
      </w:r>
      <w:r>
        <w:rPr>
          <w:rFonts w:ascii="Times New Roman" w:hAnsi="Times New Roman" w:cs="Times New Roman" w:eastAsia="Times New Roman" w:hint="default"/>
        </w:rPr>
        <w:t>1</w:t>
      </w:r>
      <w:r>
        <w:rPr/>
        <w:t>）在个别财务报表中，以购买日之前所持被购买方的股权投资的账面价值与购买日新增投资成本之和，作为该项投 </w:t>
      </w:r>
      <w:r>
        <w:rPr>
          <w:spacing w:val="-2"/>
        </w:rPr>
        <w:t>资的初始投资成本；购买日之前持有的被购买方的股权涉及其他综合收益的，应当在处置该项投资时将与其相关的其他综合</w:t>
      </w:r>
    </w:p>
    <w:p>
      <w:pPr>
        <w:spacing w:after="0" w:line="345" w:lineRule="auto"/>
        <w:jc w:val="both"/>
        <w:sectPr>
          <w:footerReference w:type="default" r:id="rId55"/>
          <w:pgSz w:w="11910" w:h="16840"/>
          <w:pgMar w:footer="999" w:header="918" w:top="1100" w:bottom="1180" w:left="980" w:right="1020"/>
          <w:pgNumType w:start="79"/>
        </w:sectPr>
      </w:pPr>
    </w:p>
    <w:p>
      <w:pPr>
        <w:spacing w:line="240" w:lineRule="auto" w:before="4"/>
        <w:rPr>
          <w:rFonts w:ascii="宋体" w:hAnsi="宋体" w:cs="宋体" w:eastAsia="宋体" w:hint="default"/>
          <w:sz w:val="17"/>
          <w:szCs w:val="17"/>
        </w:rPr>
      </w:pPr>
    </w:p>
    <w:p>
      <w:pPr>
        <w:pStyle w:val="BodyText"/>
        <w:spacing w:line="360" w:lineRule="auto" w:before="44"/>
        <w:ind w:right="93" w:firstLine="360"/>
        <w:jc w:val="left"/>
      </w:pPr>
      <w:r>
        <w:rPr>
          <w:spacing w:val="-2"/>
        </w:rPr>
        <w:t>（</w:t>
      </w:r>
      <w:r>
        <w:rPr>
          <w:rFonts w:ascii="Times New Roman" w:hAnsi="Times New Roman" w:cs="Times New Roman" w:eastAsia="Times New Roman" w:hint="default"/>
          <w:spacing w:val="-2"/>
        </w:rPr>
        <w:t>2</w:t>
      </w:r>
      <w:r>
        <w:rPr>
          <w:spacing w:val="-2"/>
        </w:rPr>
        <w:t>）在合并财务报表中，对于购买日之前持有的被购买方的股权，应当按照该股权在购买日的公允价值进行重新计量，</w:t>
      </w:r>
      <w:r>
        <w:rPr/>
        <w:t> </w:t>
      </w:r>
      <w:r>
        <w:rPr>
          <w:spacing w:val="-2"/>
        </w:rPr>
        <w:t>公允价值与其账面价值的差额计入当期投资收益；购买日之前持有的被购买方的股权涉及其他综合收益的，与其相关的其他</w:t>
      </w:r>
      <w:r>
        <w:rPr>
          <w:spacing w:val="-64"/>
        </w:rPr>
        <w:t> </w:t>
      </w:r>
      <w:r>
        <w:rPr>
          <w:spacing w:val="-64"/>
        </w:rPr>
      </w:r>
      <w:r>
        <w:rPr>
          <w:spacing w:val="-2"/>
        </w:rPr>
        <w:t>综合收益应当转为购买日所属当期投资收益。购买方应当在附注中披露其在购买日之前持有的被购买方的股权在购买日的公</w:t>
      </w:r>
      <w:r>
        <w:rPr>
          <w:spacing w:val="-65"/>
        </w:rPr>
        <w:t> </w:t>
      </w:r>
      <w:r>
        <w:rPr>
          <w:spacing w:val="-65"/>
        </w:rPr>
      </w:r>
      <w:r>
        <w:rPr/>
        <w:t>允价值、按照公允价值重新计量产生的相关利得或损失的金额。</w:t>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t>因处置部分股权投资或其他原因丧失了对原有子公司控制权的，区分个别财务报表和合并财务报表进行相关会计处理：</w:t>
      </w:r>
    </w:p>
    <w:p>
      <w:pPr>
        <w:spacing w:line="240" w:lineRule="auto" w:before="6"/>
        <w:rPr>
          <w:rFonts w:ascii="宋体" w:hAnsi="宋体" w:cs="宋体" w:eastAsia="宋体" w:hint="default"/>
          <w:sz w:val="21"/>
          <w:szCs w:val="21"/>
        </w:rPr>
      </w:pPr>
    </w:p>
    <w:p>
      <w:pPr>
        <w:pStyle w:val="BodyText"/>
        <w:spacing w:line="357" w:lineRule="auto"/>
        <w:ind w:right="89" w:firstLine="360"/>
        <w:jc w:val="left"/>
      </w:pPr>
      <w:r>
        <w:rPr>
          <w:spacing w:val="-3"/>
        </w:rPr>
        <w:t>（</w:t>
      </w:r>
      <w:r>
        <w:rPr>
          <w:rFonts w:ascii="Times New Roman" w:hAnsi="Times New Roman" w:cs="Times New Roman" w:eastAsia="Times New Roman" w:hint="default"/>
          <w:spacing w:val="-3"/>
        </w:rPr>
        <w:t>1</w:t>
      </w:r>
      <w:r>
        <w:rPr>
          <w:spacing w:val="-3"/>
        </w:rPr>
        <w:t>）在个别财务报表中，对于处置的股权，应当按照《企业会计准则第</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长期股权投资》的规定进行会计处理； </w:t>
      </w:r>
      <w:r>
        <w:rPr>
          <w:spacing w:val="-2"/>
        </w:rPr>
        <w:t>同时，对于剩余股权，应当按其账面价值确认为长期股权投资或其他相关金融资产。处置后的剩余股权能够对原有子公司实</w:t>
      </w:r>
      <w:r>
        <w:rPr>
          <w:spacing w:val="-66"/>
        </w:rPr>
        <w:t> </w:t>
      </w:r>
      <w:r>
        <w:rPr>
          <w:spacing w:val="-66"/>
        </w:rPr>
      </w:r>
      <w:r>
        <w:rPr/>
        <w:t>施共同控制或重大影响的，按有关成本法转为权益法的相关规定进行会计处理。</w:t>
      </w:r>
    </w:p>
    <w:p>
      <w:pPr>
        <w:spacing w:line="240" w:lineRule="auto" w:before="10"/>
        <w:rPr>
          <w:rFonts w:ascii="宋体" w:hAnsi="宋体" w:cs="宋体" w:eastAsia="宋体" w:hint="default"/>
          <w:sz w:val="14"/>
          <w:szCs w:val="14"/>
        </w:rPr>
      </w:pPr>
    </w:p>
    <w:p>
      <w:pPr>
        <w:pStyle w:val="BodyText"/>
        <w:spacing w:line="360" w:lineRule="auto"/>
        <w:ind w:right="190" w:firstLine="360"/>
        <w:jc w:val="both"/>
      </w:pPr>
      <w:r>
        <w:rPr/>
        <w:t>（</w:t>
      </w:r>
      <w:r>
        <w:rPr>
          <w:rFonts w:ascii="Times New Roman" w:hAnsi="Times New Roman" w:cs="Times New Roman" w:eastAsia="Times New Roman" w:hint="default"/>
        </w:rPr>
        <w:t>2</w:t>
      </w:r>
      <w:r>
        <w:rPr/>
        <w:t>）在合并财务报表中，对于剩余股权，应当按照其在丧失控制权日的公允价值进行重新计量。处置股权取得的对价 </w:t>
      </w:r>
      <w:r>
        <w:rPr>
          <w:spacing w:val="-2"/>
        </w:rPr>
        <w:t>与剩余股权公允价值之和，减去按原持股比例计算应享有原有子公司自购买日开始持续计算的净资产的份额之间的差额，计</w:t>
      </w:r>
      <w:r>
        <w:rPr>
          <w:spacing w:val="-64"/>
        </w:rPr>
        <w:t> </w:t>
      </w:r>
      <w:r>
        <w:rPr>
          <w:spacing w:val="-64"/>
        </w:rPr>
      </w:r>
      <w:r>
        <w:rPr>
          <w:spacing w:val="-2"/>
        </w:rPr>
        <w:t>入丧失控制权当期的投资收益。与原有子公司股权投资相关的其他综合收益，应当在丧失控制权时转为当期投资收益。企业</w:t>
      </w:r>
      <w:r>
        <w:rPr>
          <w:spacing w:val="-63"/>
        </w:rPr>
        <w:t> </w:t>
      </w:r>
      <w:r>
        <w:rPr>
          <w:spacing w:val="-63"/>
        </w:rPr>
      </w:r>
      <w:r>
        <w:rPr/>
        <w:t>应当在附注中披露处置后的剩余股权在丧失控制权日的公允价值、按照公允价值重新计量产生的相关利得或损失的金额。</w:t>
      </w:r>
    </w:p>
    <w:p>
      <w:pPr>
        <w:spacing w:line="240" w:lineRule="auto" w:before="7"/>
        <w:rPr>
          <w:rFonts w:ascii="宋体" w:hAnsi="宋体" w:cs="宋体" w:eastAsia="宋体" w:hint="default"/>
          <w:sz w:val="14"/>
          <w:szCs w:val="14"/>
        </w:rPr>
      </w:pPr>
    </w:p>
    <w:p>
      <w:pPr>
        <w:pStyle w:val="BodyText"/>
        <w:spacing w:line="367" w:lineRule="auto"/>
        <w:ind w:right="191" w:firstLine="360"/>
        <w:jc w:val="both"/>
      </w:pPr>
      <w:r>
        <w:rPr>
          <w:spacing w:val="-2"/>
        </w:rPr>
        <w:t>在合并财务报表中，子公司少数股东分担的当期亏损超过了少数股东在该子公司期初所有者权益中所享有的份额的，其</w:t>
      </w:r>
      <w:r>
        <w:rPr/>
        <w:t> 余额仍应当冲减少数股东权益。</w:t>
      </w:r>
    </w:p>
    <w:p>
      <w:pPr>
        <w:spacing w:line="240" w:lineRule="auto" w:before="2"/>
        <w:rPr>
          <w:rFonts w:ascii="宋体" w:hAnsi="宋体" w:cs="宋体" w:eastAsia="宋体" w:hint="default"/>
          <w:sz w:val="14"/>
          <w:szCs w:val="14"/>
        </w:rPr>
      </w:pPr>
    </w:p>
    <w:p>
      <w:pPr>
        <w:pStyle w:val="BodyText"/>
        <w:spacing w:line="240" w:lineRule="auto"/>
        <w:ind w:left="513" w:right="109"/>
        <w:jc w:val="left"/>
      </w:pPr>
      <w:r>
        <w:rPr/>
        <w:t>（二）合并范围的确定原则、合并报表编制的依据及方法</w:t>
      </w:r>
    </w:p>
    <w:p>
      <w:pPr>
        <w:spacing w:line="240" w:lineRule="auto" w:before="6"/>
        <w:rPr>
          <w:rFonts w:ascii="宋体" w:hAnsi="宋体" w:cs="宋体" w:eastAsia="宋体" w:hint="default"/>
          <w:sz w:val="21"/>
          <w:szCs w:val="21"/>
        </w:rPr>
      </w:pPr>
    </w:p>
    <w:p>
      <w:pPr>
        <w:pStyle w:val="BodyText"/>
        <w:spacing w:line="352" w:lineRule="auto"/>
        <w:ind w:right="191" w:firstLine="360"/>
        <w:jc w:val="both"/>
      </w:pPr>
      <w:r>
        <w:rPr>
          <w:rFonts w:ascii="Times New Roman" w:hAnsi="Times New Roman" w:cs="Times New Roman" w:eastAsia="Times New Roman" w:hint="default"/>
        </w:rPr>
        <w:t>1</w:t>
      </w:r>
      <w:r>
        <w:rPr/>
        <w:t>、合并财务报表的合并范围以控制为基础予以确定。母公司将其全部子公司纳入合并财务报表的合并范围。控制是指 </w:t>
      </w:r>
      <w:r>
        <w:rPr>
          <w:spacing w:val="-2"/>
        </w:rPr>
        <w:t>本公司能够决定被投资单位的财务和经营政策，并能据以从被投资单位的经营活动中获取利益的权力。本公司对其他单位投</w:t>
      </w:r>
      <w:r>
        <w:rPr>
          <w:spacing w:val="-64"/>
        </w:rPr>
        <w:t> </w:t>
      </w:r>
      <w:r>
        <w:rPr>
          <w:spacing w:val="-64"/>
        </w:rPr>
      </w:r>
      <w:r>
        <w:rPr/>
        <w:t>资占被投资单位有表决权资本总额</w:t>
      </w:r>
      <w:r>
        <w:rPr>
          <w:spacing w:val="-38"/>
        </w:rPr>
        <w:t> </w:t>
      </w:r>
      <w:r>
        <w:rPr>
          <w:rFonts w:ascii="Times New Roman" w:hAnsi="Times New Roman" w:cs="Times New Roman" w:eastAsia="Times New Roman" w:hint="default"/>
          <w:spacing w:val="-2"/>
        </w:rPr>
        <w:t>50</w:t>
      </w:r>
      <w:r>
        <w:rPr>
          <w:spacing w:val="-2"/>
        </w:rPr>
        <w:t>％以上（不含</w:t>
      </w:r>
      <w:r>
        <w:rPr>
          <w:spacing w:val="-41"/>
        </w:rPr>
        <w:t> </w:t>
      </w:r>
      <w:r>
        <w:rPr>
          <w:rFonts w:ascii="Times New Roman" w:hAnsi="Times New Roman" w:cs="Times New Roman" w:eastAsia="Times New Roman" w:hint="default"/>
          <w:spacing w:val="-13"/>
        </w:rPr>
        <w:t>50%</w:t>
      </w:r>
      <w:r>
        <w:rPr>
          <w:spacing w:val="-13"/>
        </w:rPr>
        <w:t>），或虽不足</w:t>
      </w:r>
      <w:r>
        <w:rPr>
          <w:spacing w:val="-38"/>
        </w:rPr>
        <w:t> </w:t>
      </w:r>
      <w:r>
        <w:rPr>
          <w:rFonts w:ascii="Times New Roman" w:hAnsi="Times New Roman" w:cs="Times New Roman" w:eastAsia="Times New Roman" w:hint="default"/>
          <w:spacing w:val="-2"/>
        </w:rPr>
        <w:t>50%</w:t>
      </w:r>
      <w:r>
        <w:rPr>
          <w:spacing w:val="-2"/>
        </w:rPr>
        <w:t>但有实质控制权的，全部纳入合并范围。有证据表</w:t>
      </w:r>
      <w:r>
        <w:rPr/>
        <w:t> 明公司不能控制被投资单位的，不纳入合并报表范围。</w:t>
      </w:r>
    </w:p>
    <w:p>
      <w:pPr>
        <w:spacing w:line="240" w:lineRule="auto" w:before="13"/>
        <w:rPr>
          <w:rFonts w:ascii="宋体" w:hAnsi="宋体" w:cs="宋体" w:eastAsia="宋体" w:hint="default"/>
          <w:sz w:val="14"/>
          <w:szCs w:val="14"/>
        </w:rPr>
      </w:pPr>
    </w:p>
    <w:p>
      <w:pPr>
        <w:pStyle w:val="BodyText"/>
        <w:spacing w:line="345" w:lineRule="auto"/>
        <w:ind w:right="193" w:firstLine="360"/>
        <w:jc w:val="both"/>
      </w:pPr>
      <w:r>
        <w:rPr>
          <w:rFonts w:ascii="Times New Roman" w:hAnsi="Times New Roman" w:cs="Times New Roman" w:eastAsia="Times New Roman" w:hint="default"/>
        </w:rPr>
        <w:t>2</w:t>
      </w:r>
      <w:r>
        <w:rPr/>
        <w:t>、合并财务报表以母公司和其子公司的财务报表为基础，根据其他有关资料，按照权益法调整对子公司的长期股权投 资后，由母公司编制。</w:t>
      </w:r>
    </w:p>
    <w:p>
      <w:pPr>
        <w:spacing w:line="240" w:lineRule="auto" w:before="5"/>
        <w:rPr>
          <w:rFonts w:ascii="宋体" w:hAnsi="宋体" w:cs="宋体" w:eastAsia="宋体" w:hint="default"/>
          <w:sz w:val="15"/>
          <w:szCs w:val="15"/>
        </w:rPr>
      </w:pPr>
    </w:p>
    <w:p>
      <w:pPr>
        <w:pStyle w:val="BodyText"/>
        <w:spacing w:line="367" w:lineRule="auto"/>
        <w:ind w:right="192" w:firstLine="360"/>
        <w:jc w:val="both"/>
      </w:pPr>
      <w:r>
        <w:rPr>
          <w:spacing w:val="-2"/>
        </w:rPr>
        <w:t>子公司所采用的会计政策与母公司不一致的，按照母公司的会计政策对子公司财务报表进行必要的调整；或者要求子公</w:t>
      </w:r>
      <w:r>
        <w:rPr/>
        <w:t> 司按照母公司的会计政策另行编报财务报表，使子公司采用的会计政策与母公司保持一致。</w:t>
      </w:r>
    </w:p>
    <w:p>
      <w:pPr>
        <w:spacing w:line="240" w:lineRule="auto" w:before="2"/>
        <w:rPr>
          <w:rFonts w:ascii="宋体" w:hAnsi="宋体" w:cs="宋体" w:eastAsia="宋体" w:hint="default"/>
          <w:sz w:val="14"/>
          <w:szCs w:val="14"/>
        </w:rPr>
      </w:pPr>
    </w:p>
    <w:p>
      <w:pPr>
        <w:pStyle w:val="BodyText"/>
        <w:spacing w:line="367" w:lineRule="auto"/>
        <w:ind w:right="192" w:firstLine="360"/>
        <w:jc w:val="both"/>
      </w:pPr>
      <w:r>
        <w:rPr>
          <w:spacing w:val="-2"/>
        </w:rPr>
        <w:t>子公司的会计期间与母公司不一致的，按照母公司的会计期间对子公司财务报表进行调整；或者要求子公司按照母公司</w:t>
      </w:r>
      <w:r>
        <w:rPr/>
        <w:t> 的会计期间另行编报财务报表，使子公司的会计期间与母公司保持一致。</w:t>
      </w:r>
    </w:p>
    <w:p>
      <w:pPr>
        <w:spacing w:line="240" w:lineRule="auto" w:before="2"/>
        <w:rPr>
          <w:rFonts w:ascii="宋体" w:hAnsi="宋体" w:cs="宋体" w:eastAsia="宋体" w:hint="default"/>
          <w:sz w:val="14"/>
          <w:szCs w:val="14"/>
        </w:rPr>
      </w:pPr>
    </w:p>
    <w:p>
      <w:pPr>
        <w:pStyle w:val="BodyText"/>
        <w:spacing w:line="240" w:lineRule="auto"/>
        <w:ind w:left="513" w:right="109"/>
        <w:jc w:val="left"/>
      </w:pPr>
      <w:r>
        <w:rPr>
          <w:rFonts w:ascii="Times New Roman" w:hAnsi="Times New Roman" w:cs="Times New Roman" w:eastAsia="Times New Roman" w:hint="default"/>
        </w:rPr>
        <w:t>3</w:t>
      </w:r>
      <w:r>
        <w:rPr/>
        <w:t>、报告期内因企业合并增加的子公司的合并财务报表编制</w:t>
      </w:r>
    </w:p>
    <w:p>
      <w:pPr>
        <w:spacing w:line="240" w:lineRule="auto" w:before="5"/>
        <w:rPr>
          <w:rFonts w:ascii="宋体" w:hAnsi="宋体" w:cs="宋体" w:eastAsia="宋体" w:hint="default"/>
          <w:sz w:val="20"/>
          <w:szCs w:val="20"/>
        </w:rPr>
      </w:pPr>
    </w:p>
    <w:p>
      <w:pPr>
        <w:pStyle w:val="BodyText"/>
        <w:spacing w:line="357" w:lineRule="auto"/>
        <w:ind w:right="192" w:firstLine="360"/>
        <w:jc w:val="both"/>
      </w:pPr>
      <w:r>
        <w:rPr/>
        <w:t>（</w:t>
      </w:r>
      <w:r>
        <w:rPr>
          <w:rFonts w:ascii="Times New Roman" w:hAnsi="Times New Roman" w:cs="Times New Roman" w:eastAsia="Times New Roman" w:hint="default"/>
        </w:rPr>
        <w:t>1</w:t>
      </w:r>
      <w:r>
        <w:rPr/>
        <w:t>）母公司在报告期内因同一控制下企业合并增加的子公司，自其与本公司同受最终控制方控制之日起纳入本公司合 </w:t>
      </w:r>
      <w:r>
        <w:rPr>
          <w:spacing w:val="-2"/>
        </w:rPr>
        <w:t>并范围，并将其在合并日前实现的净利润在合并利润表中单列项目反映在编制的合并财务报表中，子公司与本公司采用的会</w:t>
      </w:r>
      <w:r>
        <w:rPr>
          <w:spacing w:val="-64"/>
        </w:rPr>
        <w:t> </w:t>
      </w:r>
      <w:r>
        <w:rPr>
          <w:spacing w:val="-64"/>
        </w:rPr>
      </w:r>
      <w:r>
        <w:rPr/>
        <w:t>计政策或会计期间不一致的，按照本公司的会计政策和会计期间对子公司财务报表进行必要的调整。</w:t>
      </w:r>
    </w:p>
    <w:p>
      <w:pPr>
        <w:spacing w:line="240" w:lineRule="auto" w:before="9"/>
        <w:rPr>
          <w:rFonts w:ascii="宋体" w:hAnsi="宋体" w:cs="宋体" w:eastAsia="宋体" w:hint="default"/>
          <w:sz w:val="14"/>
          <w:szCs w:val="14"/>
        </w:rPr>
      </w:pPr>
    </w:p>
    <w:p>
      <w:pPr>
        <w:pStyle w:val="BodyText"/>
        <w:spacing w:line="357" w:lineRule="auto"/>
        <w:ind w:right="193" w:firstLine="360"/>
        <w:jc w:val="both"/>
      </w:pPr>
      <w:r>
        <w:rPr/>
        <w:t>（</w:t>
      </w:r>
      <w:r>
        <w:rPr>
          <w:rFonts w:ascii="Times New Roman" w:hAnsi="Times New Roman" w:cs="Times New Roman" w:eastAsia="Times New Roman" w:hint="default"/>
        </w:rPr>
        <w:t>2</w:t>
      </w:r>
      <w:r>
        <w:rPr/>
        <w:t>）因非同一控制下企业合并增加的子公司，编制合并资产负债表时，不调整合并资产负债表的年初数；编制合并利 </w:t>
      </w:r>
      <w:r>
        <w:rPr>
          <w:spacing w:val="-2"/>
        </w:rPr>
        <w:t>润表时，将该子公司购买日至报告期末的收入、费用、利润纳入合并利润表；编制合并现金流量表时，将该子公司购买日至</w:t>
      </w:r>
      <w:r>
        <w:rPr>
          <w:spacing w:val="-66"/>
        </w:rPr>
        <w:t> </w:t>
      </w:r>
      <w:r>
        <w:rPr>
          <w:spacing w:val="-66"/>
        </w:rPr>
      </w:r>
      <w:r>
        <w:rPr/>
        <w:t>报告期末的现金流量纳入合并现金流量表。</w:t>
      </w:r>
    </w:p>
    <w:p>
      <w:pPr>
        <w:spacing w:after="0" w:line="357" w:lineRule="auto"/>
        <w:jc w:val="both"/>
        <w:sectPr>
          <w:headerReference w:type="default" r:id="rId56"/>
          <w:footerReference w:type="default" r:id="rId57"/>
          <w:pgSz w:w="11910" w:h="16840"/>
          <w:pgMar w:header="1104" w:footer="999" w:top="1760" w:bottom="1180" w:left="980" w:right="940"/>
          <w:pgNumType w:start="80"/>
        </w:sectPr>
      </w:pPr>
    </w:p>
    <w:p>
      <w:pPr>
        <w:spacing w:line="240" w:lineRule="auto" w:before="2"/>
        <w:rPr>
          <w:rFonts w:ascii="宋体" w:hAnsi="宋体" w:cs="宋体" w:eastAsia="宋体" w:hint="default"/>
          <w:sz w:val="27"/>
          <w:szCs w:val="27"/>
        </w:rPr>
      </w:pPr>
    </w:p>
    <w:p>
      <w:pPr>
        <w:pStyle w:val="BodyText"/>
        <w:spacing w:line="240" w:lineRule="auto" w:before="44"/>
        <w:ind w:left="573" w:right="5558"/>
        <w:jc w:val="left"/>
      </w:pPr>
      <w:r>
        <w:rPr>
          <w:rFonts w:ascii="Times New Roman" w:hAnsi="Times New Roman" w:cs="Times New Roman" w:eastAsia="Times New Roman" w:hint="default"/>
        </w:rPr>
        <w:t>4</w:t>
      </w:r>
      <w:r>
        <w:rPr/>
        <w:t>、在报告期内处置子公司的合并财务报表编制</w:t>
      </w:r>
    </w:p>
    <w:p>
      <w:pPr>
        <w:spacing w:line="240" w:lineRule="auto" w:before="6"/>
        <w:rPr>
          <w:rFonts w:ascii="宋体" w:hAnsi="宋体" w:cs="宋体" w:eastAsia="宋体" w:hint="default"/>
          <w:sz w:val="20"/>
          <w:szCs w:val="20"/>
        </w:rPr>
      </w:pPr>
    </w:p>
    <w:p>
      <w:pPr>
        <w:pStyle w:val="BodyText"/>
        <w:spacing w:line="367" w:lineRule="auto"/>
        <w:ind w:left="213" w:right="211" w:firstLine="360"/>
        <w:jc w:val="both"/>
      </w:pPr>
      <w:r>
        <w:rPr>
          <w:spacing w:val="-2"/>
        </w:rPr>
        <w:t>母公司在报告期内处置子公司，编制合并资产负债表时，不调整合并资产负债表的年初数；编制合并利润表时，将该子</w:t>
      </w:r>
      <w:r>
        <w:rPr/>
        <w:t> </w:t>
      </w:r>
      <w:r>
        <w:rPr>
          <w:spacing w:val="-2"/>
        </w:rPr>
        <w:t>公司年初至处置日的收入、费用、利润纳入合并利润表；编制合并现金流量表时，将该子公司年初至处置日的现金流量纳入</w:t>
      </w:r>
      <w:r>
        <w:rPr>
          <w:spacing w:val="-64"/>
        </w:rPr>
        <w:t> </w:t>
      </w:r>
      <w:r>
        <w:rPr>
          <w:spacing w:val="-64"/>
        </w:rPr>
      </w:r>
      <w:r>
        <w:rPr/>
        <w:t>合并现金流量表。</w:t>
      </w:r>
    </w:p>
    <w:p>
      <w:pPr>
        <w:spacing w:line="240" w:lineRule="auto" w:before="2"/>
        <w:rPr>
          <w:rFonts w:ascii="宋体" w:hAnsi="宋体" w:cs="宋体" w:eastAsia="宋体" w:hint="default"/>
          <w:sz w:val="14"/>
          <w:szCs w:val="14"/>
        </w:rPr>
      </w:pPr>
    </w:p>
    <w:p>
      <w:pPr>
        <w:pStyle w:val="BodyText"/>
        <w:spacing w:line="240" w:lineRule="auto"/>
        <w:ind w:left="573" w:right="5558"/>
        <w:jc w:val="left"/>
      </w:pPr>
      <w:r>
        <w:rPr/>
        <w:t>（三）本公司子公司情况</w:t>
      </w:r>
    </w:p>
    <w:p>
      <w:pPr>
        <w:spacing w:line="240" w:lineRule="auto" w:before="6"/>
        <w:rPr>
          <w:rFonts w:ascii="宋体" w:hAnsi="宋体" w:cs="宋体" w:eastAsia="宋体" w:hint="default"/>
          <w:sz w:val="21"/>
          <w:szCs w:val="21"/>
        </w:rPr>
      </w:pPr>
    </w:p>
    <w:p>
      <w:pPr>
        <w:pStyle w:val="BodyText"/>
        <w:spacing w:line="240" w:lineRule="auto"/>
        <w:ind w:left="573" w:right="5558"/>
        <w:jc w:val="left"/>
      </w:pPr>
      <w:r>
        <w:rPr>
          <w:rFonts w:ascii="Times New Roman" w:hAnsi="Times New Roman" w:cs="Times New Roman" w:eastAsia="Times New Roman" w:hint="default"/>
        </w:rPr>
        <w:t>1</w:t>
      </w:r>
      <w:r>
        <w:rPr/>
        <w:t>、通过设立或投资等方式取得的子公司</w:t>
      </w:r>
    </w:p>
    <w:p>
      <w:pPr>
        <w:spacing w:line="240" w:lineRule="auto" w:before="6"/>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1785"/>
        <w:gridCol w:w="1086"/>
        <w:gridCol w:w="723"/>
        <w:gridCol w:w="1002"/>
        <w:gridCol w:w="921"/>
        <w:gridCol w:w="3499"/>
        <w:gridCol w:w="841"/>
      </w:tblGrid>
      <w:tr>
        <w:trPr>
          <w:trHeight w:val="1054" w:hRule="exact"/>
        </w:trPr>
        <w:tc>
          <w:tcPr>
            <w:tcW w:w="178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4" w:right="0"/>
              <w:jc w:val="left"/>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108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89" w:lineRule="auto"/>
              <w:ind w:left="382" w:right="324" w:hanging="77"/>
              <w:jc w:val="left"/>
              <w:rPr>
                <w:rFonts w:ascii="宋体" w:hAnsi="宋体" w:cs="宋体" w:eastAsia="宋体" w:hint="default"/>
                <w:sz w:val="15"/>
                <w:szCs w:val="15"/>
              </w:rPr>
            </w:pPr>
            <w:r>
              <w:rPr>
                <w:rFonts w:ascii="宋体" w:hAnsi="宋体" w:cs="宋体" w:eastAsia="宋体" w:hint="default"/>
                <w:b/>
                <w:bCs/>
                <w:sz w:val="15"/>
                <w:szCs w:val="15"/>
              </w:rPr>
              <w:t>子公司</w:t>
            </w:r>
            <w:r>
              <w:rPr>
                <w:rFonts w:ascii="宋体" w:hAnsi="宋体" w:cs="宋体" w:eastAsia="宋体" w:hint="default"/>
                <w:b/>
                <w:bCs/>
                <w:w w:val="100"/>
                <w:sz w:val="15"/>
                <w:szCs w:val="15"/>
              </w:rPr>
              <w:t> </w:t>
            </w:r>
            <w:r>
              <w:rPr>
                <w:rFonts w:ascii="宋体" w:hAnsi="宋体" w:cs="宋体" w:eastAsia="宋体" w:hint="default"/>
                <w:b/>
                <w:bCs/>
                <w:sz w:val="15"/>
                <w:szCs w:val="15"/>
              </w:rPr>
              <w:t>类型</w:t>
            </w:r>
            <w:r>
              <w:rPr>
                <w:rFonts w:ascii="宋体" w:hAnsi="宋体" w:cs="宋体" w:eastAsia="宋体" w:hint="default"/>
                <w:sz w:val="15"/>
                <w:szCs w:val="15"/>
              </w:rPr>
            </w:r>
          </w:p>
        </w:tc>
        <w:tc>
          <w:tcPr>
            <w:tcW w:w="72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100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92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349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8"/>
              <w:jc w:val="center"/>
              <w:rPr>
                <w:rFonts w:ascii="宋体" w:hAnsi="宋体" w:cs="宋体" w:eastAsia="宋体" w:hint="default"/>
                <w:sz w:val="15"/>
                <w:szCs w:val="15"/>
              </w:rPr>
            </w:pPr>
            <w:r>
              <w:rPr>
                <w:rFonts w:ascii="宋体" w:hAnsi="宋体" w:cs="宋体" w:eastAsia="宋体" w:hint="default"/>
                <w:b/>
                <w:bCs/>
                <w:sz w:val="15"/>
                <w:szCs w:val="15"/>
              </w:rPr>
              <w:t>经营范围</w:t>
            </w:r>
            <w:r>
              <w:rPr>
                <w:rFonts w:ascii="宋体" w:hAnsi="宋体" w:cs="宋体" w:eastAsia="宋体" w:hint="default"/>
                <w:sz w:val="15"/>
                <w:szCs w:val="15"/>
              </w:rPr>
            </w:r>
          </w:p>
        </w:tc>
        <w:tc>
          <w:tcPr>
            <w:tcW w:w="841" w:type="dxa"/>
            <w:tcBorders>
              <w:top w:val="nil" w:sz="6" w:space="0" w:color="auto"/>
              <w:left w:val="nil" w:sz="6" w:space="0" w:color="auto"/>
              <w:bottom w:val="single" w:sz="8" w:space="0" w:color="000000"/>
              <w:right w:val="nil" w:sz="6" w:space="0" w:color="auto"/>
            </w:tcBorders>
          </w:tcPr>
          <w:p>
            <w:pPr>
              <w:pStyle w:val="TableParagraph"/>
              <w:spacing w:line="151" w:lineRule="exact"/>
              <w:ind w:left="183" w:right="0" w:hanging="75"/>
              <w:jc w:val="left"/>
              <w:rPr>
                <w:rFonts w:ascii="宋体" w:hAnsi="宋体" w:cs="宋体" w:eastAsia="宋体" w:hint="default"/>
                <w:sz w:val="15"/>
                <w:szCs w:val="15"/>
              </w:rPr>
            </w:pPr>
            <w:r>
              <w:rPr>
                <w:rFonts w:ascii="宋体" w:hAnsi="宋体" w:cs="宋体" w:eastAsia="宋体" w:hint="default"/>
                <w:b/>
                <w:bCs/>
                <w:sz w:val="15"/>
                <w:szCs w:val="15"/>
              </w:rPr>
              <w:t>期末实际</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5"/>
                <w:szCs w:val="15"/>
              </w:rPr>
            </w:pPr>
            <w:r>
              <w:rPr>
                <w:rFonts w:ascii="宋体" w:hAnsi="宋体" w:cs="宋体" w:eastAsia="宋体" w:hint="default"/>
                <w:b/>
                <w:bCs/>
                <w:sz w:val="15"/>
                <w:szCs w:val="15"/>
              </w:rPr>
              <w:t>出资额</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r>
      <w:tr>
        <w:trPr>
          <w:trHeight w:val="862" w:hRule="exact"/>
        </w:trPr>
        <w:tc>
          <w:tcPr>
            <w:tcW w:w="1785"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15" w:lineRule="auto"/>
              <w:ind w:left="108" w:right="106"/>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1.</w:t>
            </w:r>
            <w:r>
              <w:rPr>
                <w:rFonts w:ascii="宋体" w:hAnsi="宋体" w:cs="宋体" w:eastAsia="宋体" w:hint="default"/>
                <w:spacing w:val="7"/>
                <w:sz w:val="15"/>
                <w:szCs w:val="15"/>
              </w:rPr>
              <w:t>湖南天舟华文俪制传</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媒有限责任公司</w:t>
            </w:r>
          </w:p>
        </w:tc>
        <w:tc>
          <w:tcPr>
            <w:tcW w:w="1086"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39" w:lineRule="auto"/>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7" w:right="0"/>
              <w:jc w:val="left"/>
              <w:rPr>
                <w:rFonts w:ascii="宋体" w:hAnsi="宋体" w:cs="宋体" w:eastAsia="宋体" w:hint="default"/>
                <w:sz w:val="15"/>
                <w:szCs w:val="15"/>
              </w:rPr>
            </w:pPr>
            <w:r>
              <w:rPr>
                <w:rFonts w:ascii="宋体" w:hAnsi="宋体" w:cs="宋体" w:eastAsia="宋体" w:hint="default"/>
                <w:sz w:val="15"/>
                <w:szCs w:val="15"/>
              </w:rPr>
              <w:t>长沙市</w:t>
            </w:r>
          </w:p>
        </w:tc>
        <w:tc>
          <w:tcPr>
            <w:tcW w:w="1002"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921"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spacing w:val="-1"/>
                <w:sz w:val="15"/>
              </w:rPr>
              <w:t>3,000.00</w:t>
            </w:r>
          </w:p>
        </w:tc>
        <w:tc>
          <w:tcPr>
            <w:tcW w:w="3499"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39" w:lineRule="auto"/>
              <w:ind w:left="114" w:right="181"/>
              <w:jc w:val="left"/>
              <w:rPr>
                <w:rFonts w:ascii="宋体" w:hAnsi="宋体" w:cs="宋体" w:eastAsia="宋体" w:hint="default"/>
                <w:sz w:val="15"/>
                <w:szCs w:val="15"/>
              </w:rPr>
            </w:pPr>
            <w:r>
              <w:rPr>
                <w:rFonts w:ascii="宋体" w:hAnsi="宋体" w:cs="宋体" w:eastAsia="宋体" w:hint="default"/>
                <w:spacing w:val="-7"/>
                <w:sz w:val="15"/>
                <w:szCs w:val="15"/>
              </w:rPr>
              <w:t>出版物批发；文化用品、纸张的销售；文化项目策</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10"/>
                <w:sz w:val="15"/>
                <w:szCs w:val="15"/>
              </w:rPr>
              <w:t>划。</w:t>
            </w:r>
            <w:r>
              <w:rPr>
                <w:rFonts w:ascii="宋体" w:hAnsi="宋体" w:cs="宋体" w:eastAsia="宋体" w:hint="default"/>
                <w:sz w:val="15"/>
                <w:szCs w:val="15"/>
              </w:rPr>
            </w:r>
          </w:p>
        </w:tc>
        <w:tc>
          <w:tcPr>
            <w:tcW w:w="841"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3,082.92</w:t>
            </w:r>
          </w:p>
        </w:tc>
      </w:tr>
      <w:tr>
        <w:trPr>
          <w:trHeight w:val="80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415" w:lineRule="auto" w:before="98"/>
              <w:ind w:left="108" w:right="106"/>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2.</w:t>
            </w:r>
            <w:r>
              <w:rPr>
                <w:rFonts w:ascii="宋体" w:hAnsi="宋体" w:cs="宋体" w:eastAsia="宋体" w:hint="default"/>
                <w:spacing w:val="7"/>
                <w:sz w:val="15"/>
                <w:szCs w:val="15"/>
              </w:rPr>
              <w:t>北京北方天舟文化有</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限责任公司</w:t>
            </w:r>
          </w:p>
        </w:tc>
        <w:tc>
          <w:tcPr>
            <w:tcW w:w="1086" w:type="dxa"/>
            <w:tcBorders>
              <w:top w:val="nil" w:sz="6" w:space="0" w:color="auto"/>
              <w:left w:val="nil" w:sz="6" w:space="0" w:color="auto"/>
              <w:bottom w:val="nil" w:sz="6" w:space="0" w:color="auto"/>
              <w:right w:val="nil" w:sz="6" w:space="0" w:color="auto"/>
            </w:tcBorders>
          </w:tcPr>
          <w:p>
            <w:pPr>
              <w:pStyle w:val="TableParagraph"/>
              <w:spacing w:line="439" w:lineRule="auto" w:before="98"/>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9"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spacing w:val="-1"/>
                <w:sz w:val="15"/>
              </w:rPr>
              <w:t>500.00</w:t>
            </w:r>
          </w:p>
        </w:tc>
        <w:tc>
          <w:tcPr>
            <w:tcW w:w="3499" w:type="dxa"/>
            <w:tcBorders>
              <w:top w:val="nil" w:sz="6" w:space="0" w:color="auto"/>
              <w:left w:val="nil" w:sz="6" w:space="0" w:color="auto"/>
              <w:bottom w:val="nil" w:sz="6" w:space="0" w:color="auto"/>
              <w:right w:val="nil" w:sz="6" w:space="0" w:color="auto"/>
            </w:tcBorders>
          </w:tcPr>
          <w:p>
            <w:pPr>
              <w:pStyle w:val="TableParagraph"/>
              <w:spacing w:line="439" w:lineRule="auto" w:before="98"/>
              <w:ind w:left="114" w:right="118"/>
              <w:jc w:val="left"/>
              <w:rPr>
                <w:rFonts w:ascii="宋体" w:hAnsi="宋体" w:cs="宋体" w:eastAsia="宋体" w:hint="default"/>
                <w:sz w:val="15"/>
                <w:szCs w:val="15"/>
              </w:rPr>
            </w:pPr>
            <w:r>
              <w:rPr>
                <w:rFonts w:ascii="宋体" w:hAnsi="宋体" w:cs="宋体" w:eastAsia="宋体" w:hint="default"/>
                <w:spacing w:val="-10"/>
                <w:sz w:val="15"/>
                <w:szCs w:val="15"/>
              </w:rPr>
              <w:t>组织文化艺术交流活动；承办展览演示；市场调查；</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10"/>
                <w:sz w:val="15"/>
                <w:szCs w:val="15"/>
              </w:rPr>
              <w:t>销售图书、报纸、期刊、电子出版物。</w:t>
            </w:r>
            <w:r>
              <w:rPr>
                <w:rFonts w:ascii="宋体" w:hAnsi="宋体" w:cs="宋体" w:eastAsia="宋体" w:hint="default"/>
                <w:sz w:val="15"/>
                <w:szCs w:val="15"/>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500.00</w:t>
            </w:r>
          </w:p>
        </w:tc>
      </w:tr>
      <w:tr>
        <w:trPr>
          <w:trHeight w:val="1159"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412" w:lineRule="auto" w:before="100"/>
              <w:ind w:left="108" w:right="106"/>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3.</w:t>
            </w:r>
            <w:r>
              <w:rPr>
                <w:rFonts w:ascii="宋体" w:hAnsi="宋体" w:cs="宋体" w:eastAsia="宋体" w:hint="default"/>
                <w:spacing w:val="7"/>
                <w:sz w:val="15"/>
                <w:szCs w:val="15"/>
              </w:rPr>
              <w:t>湖南天舟教育科技研</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究有限责任公司</w:t>
            </w:r>
          </w:p>
        </w:tc>
        <w:tc>
          <w:tcPr>
            <w:tcW w:w="1086" w:type="dxa"/>
            <w:tcBorders>
              <w:top w:val="nil" w:sz="6" w:space="0" w:color="auto"/>
              <w:left w:val="nil" w:sz="6" w:space="0" w:color="auto"/>
              <w:bottom w:val="nil" w:sz="6" w:space="0" w:color="auto"/>
              <w:right w:val="nil" w:sz="6" w:space="0" w:color="auto"/>
            </w:tcBorders>
          </w:tcPr>
          <w:p>
            <w:pPr>
              <w:pStyle w:val="TableParagraph"/>
              <w:spacing w:line="436" w:lineRule="auto" w:before="100"/>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 w:right="0"/>
              <w:jc w:val="left"/>
              <w:rPr>
                <w:rFonts w:ascii="宋体" w:hAnsi="宋体" w:cs="宋体" w:eastAsia="宋体" w:hint="default"/>
                <w:sz w:val="15"/>
                <w:szCs w:val="15"/>
              </w:rPr>
            </w:pPr>
            <w:r>
              <w:rPr>
                <w:rFonts w:ascii="宋体" w:hAnsi="宋体" w:cs="宋体" w:eastAsia="宋体" w:hint="default"/>
                <w:sz w:val="15"/>
                <w:szCs w:val="15"/>
              </w:rPr>
              <w:t>长沙市</w:t>
            </w:r>
          </w:p>
        </w:tc>
        <w:tc>
          <w:tcPr>
            <w:tcW w:w="1002" w:type="dxa"/>
            <w:tcBorders>
              <w:top w:val="nil" w:sz="6" w:space="0" w:color="auto"/>
              <w:left w:val="nil" w:sz="6" w:space="0" w:color="auto"/>
              <w:bottom w:val="nil" w:sz="6" w:space="0" w:color="auto"/>
              <w:right w:val="nil" w:sz="6" w:space="0" w:color="auto"/>
            </w:tcBorders>
          </w:tcPr>
          <w:p>
            <w:pPr>
              <w:pStyle w:val="TableParagraph"/>
              <w:spacing w:line="487" w:lineRule="auto" w:before="100"/>
              <w:ind w:left="129" w:right="268"/>
              <w:jc w:val="left"/>
              <w:rPr>
                <w:rFonts w:ascii="宋体" w:hAnsi="宋体" w:cs="宋体" w:eastAsia="宋体" w:hint="default"/>
                <w:sz w:val="15"/>
                <w:szCs w:val="15"/>
              </w:rPr>
            </w:pPr>
            <w:r>
              <w:rPr>
                <w:rFonts w:ascii="宋体" w:hAnsi="宋体" w:cs="宋体" w:eastAsia="宋体" w:hint="default"/>
                <w:spacing w:val="-1"/>
                <w:sz w:val="15"/>
                <w:szCs w:val="15"/>
              </w:rPr>
              <w:t>图书内容</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策划</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spacing w:val="-1"/>
                <w:sz w:val="15"/>
              </w:rPr>
              <w:t>1,450.00</w:t>
            </w:r>
          </w:p>
        </w:tc>
        <w:tc>
          <w:tcPr>
            <w:tcW w:w="3499"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114" w:right="179"/>
              <w:jc w:val="both"/>
              <w:rPr>
                <w:rFonts w:ascii="宋体" w:hAnsi="宋体" w:cs="宋体" w:eastAsia="宋体" w:hint="default"/>
                <w:sz w:val="15"/>
                <w:szCs w:val="15"/>
              </w:rPr>
            </w:pPr>
            <w:r>
              <w:rPr>
                <w:rFonts w:ascii="宋体" w:hAnsi="宋体" w:cs="宋体" w:eastAsia="宋体" w:hint="default"/>
                <w:spacing w:val="-7"/>
                <w:sz w:val="15"/>
                <w:szCs w:val="15"/>
              </w:rPr>
              <w:t>教育技术的研究，文化和教育科技产品的开发及应</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7"/>
                <w:sz w:val="15"/>
                <w:szCs w:val="15"/>
              </w:rPr>
              <w:t>用推广执行服务，文化项目、书刊项目的设计、策</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10"/>
                <w:sz w:val="15"/>
                <w:szCs w:val="15"/>
              </w:rPr>
              <w:t>划服务，著作权代理服务。</w:t>
            </w:r>
            <w:r>
              <w:rPr>
                <w:rFonts w:ascii="宋体" w:hAnsi="宋体" w:cs="宋体" w:eastAsia="宋体" w:hint="default"/>
                <w:sz w:val="15"/>
                <w:szCs w:val="15"/>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1,450.00</w:t>
            </w:r>
          </w:p>
        </w:tc>
      </w:tr>
      <w:tr>
        <w:trPr>
          <w:trHeight w:val="1521"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415" w:lineRule="auto" w:before="100"/>
              <w:ind w:left="108" w:right="106"/>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4.</w:t>
            </w:r>
            <w:r>
              <w:rPr>
                <w:rFonts w:ascii="宋体" w:hAnsi="宋体" w:cs="宋体" w:eastAsia="宋体" w:hint="default"/>
                <w:spacing w:val="7"/>
                <w:sz w:val="15"/>
                <w:szCs w:val="15"/>
              </w:rPr>
              <w:t>广州天瑞文化传播有</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限责任公司</w:t>
            </w:r>
          </w:p>
        </w:tc>
        <w:tc>
          <w:tcPr>
            <w:tcW w:w="1086"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9"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spacing w:val="-1"/>
                <w:sz w:val="15"/>
              </w:rPr>
              <w:t>300.00</w:t>
            </w:r>
          </w:p>
        </w:tc>
        <w:tc>
          <w:tcPr>
            <w:tcW w:w="3499"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114" w:right="181"/>
              <w:jc w:val="both"/>
              <w:rPr>
                <w:rFonts w:ascii="宋体" w:hAnsi="宋体" w:cs="宋体" w:eastAsia="宋体" w:hint="default"/>
                <w:sz w:val="15"/>
                <w:szCs w:val="15"/>
              </w:rPr>
            </w:pPr>
            <w:r>
              <w:rPr>
                <w:rFonts w:ascii="宋体" w:hAnsi="宋体" w:cs="宋体" w:eastAsia="宋体" w:hint="default"/>
                <w:spacing w:val="-7"/>
                <w:sz w:val="15"/>
                <w:szCs w:val="15"/>
              </w:rPr>
              <w:t>国内版图书、报纸、期刊批发零售；企业文化活动</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7"/>
                <w:sz w:val="15"/>
                <w:szCs w:val="15"/>
              </w:rPr>
              <w:t>策划；设计、制作、代理、发布国内外各类广告；</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7"/>
                <w:sz w:val="15"/>
                <w:szCs w:val="15"/>
              </w:rPr>
              <w:t>会议服务；展览服务；商品信息咨询；批发和零售</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10"/>
                <w:sz w:val="15"/>
                <w:szCs w:val="15"/>
              </w:rPr>
              <w:t>贸易。</w:t>
            </w:r>
            <w:r>
              <w:rPr>
                <w:rFonts w:ascii="宋体" w:hAnsi="宋体" w:cs="宋体" w:eastAsia="宋体" w:hint="default"/>
                <w:sz w:val="15"/>
                <w:szCs w:val="15"/>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180.00</w:t>
            </w:r>
          </w:p>
        </w:tc>
      </w:tr>
      <w:tr>
        <w:trPr>
          <w:trHeight w:val="188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415" w:lineRule="auto" w:before="98"/>
              <w:ind w:left="108" w:right="104"/>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5.</w:t>
            </w:r>
            <w:r>
              <w:rPr>
                <w:rFonts w:ascii="宋体" w:hAnsi="宋体" w:cs="宋体" w:eastAsia="宋体" w:hint="default"/>
                <w:spacing w:val="7"/>
                <w:sz w:val="15"/>
                <w:szCs w:val="15"/>
              </w:rPr>
              <w:t>浙江天舟图书有限责</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任公司</w:t>
            </w:r>
          </w:p>
        </w:tc>
        <w:tc>
          <w:tcPr>
            <w:tcW w:w="1086" w:type="dxa"/>
            <w:tcBorders>
              <w:top w:val="nil" w:sz="6" w:space="0" w:color="auto"/>
              <w:left w:val="nil" w:sz="6" w:space="0" w:color="auto"/>
              <w:bottom w:val="nil" w:sz="6" w:space="0" w:color="auto"/>
              <w:right w:val="nil" w:sz="6" w:space="0" w:color="auto"/>
            </w:tcBorders>
          </w:tcPr>
          <w:p>
            <w:pPr>
              <w:pStyle w:val="TableParagraph"/>
              <w:spacing w:line="439" w:lineRule="auto" w:before="98"/>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7" w:right="0"/>
              <w:jc w:val="left"/>
              <w:rPr>
                <w:rFonts w:ascii="宋体" w:hAnsi="宋体" w:cs="宋体" w:eastAsia="宋体" w:hint="default"/>
                <w:sz w:val="15"/>
                <w:szCs w:val="15"/>
              </w:rPr>
            </w:pPr>
            <w:r>
              <w:rPr>
                <w:rFonts w:ascii="宋体" w:hAnsi="宋体" w:cs="宋体" w:eastAsia="宋体" w:hint="default"/>
                <w:sz w:val="15"/>
                <w:szCs w:val="15"/>
              </w:rPr>
              <w:t>杭州市</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9"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spacing w:val="-1"/>
                <w:sz w:val="15"/>
              </w:rPr>
              <w:t>500.00</w:t>
            </w:r>
          </w:p>
        </w:tc>
        <w:tc>
          <w:tcPr>
            <w:tcW w:w="3499" w:type="dxa"/>
            <w:tcBorders>
              <w:top w:val="nil" w:sz="6" w:space="0" w:color="auto"/>
              <w:left w:val="nil" w:sz="6" w:space="0" w:color="auto"/>
              <w:bottom w:val="nil" w:sz="6" w:space="0" w:color="auto"/>
              <w:right w:val="nil" w:sz="6" w:space="0" w:color="auto"/>
            </w:tcBorders>
          </w:tcPr>
          <w:p>
            <w:pPr>
              <w:pStyle w:val="TableParagraph"/>
              <w:spacing w:line="434" w:lineRule="auto" w:before="98"/>
              <w:ind w:left="114" w:right="107"/>
              <w:jc w:val="left"/>
              <w:rPr>
                <w:rFonts w:ascii="宋体" w:hAnsi="宋体" w:cs="宋体" w:eastAsia="宋体" w:hint="default"/>
                <w:sz w:val="15"/>
                <w:szCs w:val="15"/>
              </w:rPr>
            </w:pPr>
            <w:r>
              <w:rPr>
                <w:rFonts w:ascii="宋体" w:hAnsi="宋体" w:cs="宋体" w:eastAsia="宋体" w:hint="default"/>
                <w:spacing w:val="-11"/>
                <w:sz w:val="15"/>
                <w:szCs w:val="15"/>
              </w:rPr>
              <w:t>许可经营项目</w:t>
            </w:r>
            <w:r>
              <w:rPr>
                <w:rFonts w:ascii="Times New Roman" w:hAnsi="Times New Roman" w:cs="Times New Roman" w:eastAsia="Times New Roman" w:hint="default"/>
                <w:spacing w:val="-11"/>
                <w:sz w:val="15"/>
                <w:szCs w:val="15"/>
              </w:rPr>
              <w:t>:</w:t>
            </w:r>
            <w:r>
              <w:rPr>
                <w:rFonts w:ascii="宋体" w:hAnsi="宋体" w:cs="宋体" w:eastAsia="宋体" w:hint="default"/>
                <w:spacing w:val="-11"/>
                <w:sz w:val="15"/>
                <w:szCs w:val="15"/>
              </w:rPr>
              <w:t>批发、零售：图书报刊、电子出版物。</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pacing w:val="-7"/>
                <w:sz w:val="15"/>
                <w:szCs w:val="15"/>
              </w:rPr>
              <w:t>一般经营项目：服务：图文设计、制作，教育信息</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10"/>
                <w:sz w:val="15"/>
                <w:szCs w:val="15"/>
              </w:rPr>
              <w:t>咨询（除出国留学外），版权代理，企业形象策划；</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7"/>
                <w:sz w:val="15"/>
                <w:szCs w:val="15"/>
              </w:rPr>
              <w:t>批发、零售：文教用品，教学设备，工艺美术品；</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10"/>
                <w:sz w:val="15"/>
                <w:szCs w:val="15"/>
              </w:rPr>
              <w:t>其他无需报经审批的一切合法项目。</w:t>
            </w:r>
            <w:r>
              <w:rPr>
                <w:rFonts w:ascii="宋体" w:hAnsi="宋体" w:cs="宋体" w:eastAsia="宋体" w:hint="default"/>
                <w:sz w:val="15"/>
                <w:szCs w:val="15"/>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350.00</w:t>
            </w:r>
          </w:p>
        </w:tc>
      </w:tr>
      <w:tr>
        <w:trPr>
          <w:trHeight w:val="260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412" w:lineRule="auto" w:before="100"/>
              <w:ind w:left="108" w:right="104"/>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6.</w:t>
            </w:r>
            <w:r>
              <w:rPr>
                <w:rFonts w:ascii="宋体" w:hAnsi="宋体" w:cs="宋体" w:eastAsia="宋体" w:hint="default"/>
                <w:spacing w:val="7"/>
                <w:sz w:val="15"/>
                <w:szCs w:val="15"/>
              </w:rPr>
              <w:t>北京永载文化有限责</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任公司</w:t>
            </w:r>
          </w:p>
        </w:tc>
        <w:tc>
          <w:tcPr>
            <w:tcW w:w="1086" w:type="dxa"/>
            <w:tcBorders>
              <w:top w:val="nil" w:sz="6" w:space="0" w:color="auto"/>
              <w:left w:val="nil" w:sz="6" w:space="0" w:color="auto"/>
              <w:bottom w:val="nil" w:sz="6" w:space="0" w:color="auto"/>
              <w:right w:val="nil" w:sz="6" w:space="0" w:color="auto"/>
            </w:tcBorders>
          </w:tcPr>
          <w:p>
            <w:pPr>
              <w:pStyle w:val="TableParagraph"/>
              <w:spacing w:line="436" w:lineRule="auto" w:before="100"/>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9"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spacing w:val="-1"/>
                <w:sz w:val="15"/>
              </w:rPr>
              <w:t>500.00</w:t>
            </w:r>
          </w:p>
        </w:tc>
        <w:tc>
          <w:tcPr>
            <w:tcW w:w="3499" w:type="dxa"/>
            <w:tcBorders>
              <w:top w:val="nil" w:sz="6" w:space="0" w:color="auto"/>
              <w:left w:val="nil" w:sz="6" w:space="0" w:color="auto"/>
              <w:bottom w:val="nil" w:sz="6" w:space="0" w:color="auto"/>
              <w:right w:val="nil" w:sz="6" w:space="0" w:color="auto"/>
            </w:tcBorders>
          </w:tcPr>
          <w:p>
            <w:pPr>
              <w:pStyle w:val="TableParagraph"/>
              <w:spacing w:line="436" w:lineRule="auto" w:before="100"/>
              <w:ind w:left="114" w:right="118"/>
              <w:jc w:val="left"/>
              <w:rPr>
                <w:rFonts w:ascii="宋体" w:hAnsi="宋体" w:cs="宋体" w:eastAsia="宋体" w:hint="default"/>
                <w:sz w:val="15"/>
                <w:szCs w:val="15"/>
              </w:rPr>
            </w:pPr>
            <w:r>
              <w:rPr>
                <w:rFonts w:ascii="宋体" w:hAnsi="宋体" w:cs="宋体" w:eastAsia="宋体" w:hint="default"/>
                <w:spacing w:val="-8"/>
                <w:sz w:val="15"/>
                <w:szCs w:val="15"/>
              </w:rPr>
              <w:t>许可经营项目</w:t>
            </w:r>
            <w:r>
              <w:rPr>
                <w:rFonts w:ascii="Times New Roman" w:hAnsi="Times New Roman" w:cs="Times New Roman" w:eastAsia="Times New Roman" w:hint="default"/>
                <w:spacing w:val="-8"/>
                <w:sz w:val="15"/>
                <w:szCs w:val="15"/>
              </w:rPr>
              <w:t>:</w:t>
            </w:r>
            <w:r>
              <w:rPr>
                <w:rFonts w:ascii="宋体" w:hAnsi="宋体" w:cs="宋体" w:eastAsia="宋体" w:hint="default"/>
                <w:spacing w:val="-8"/>
                <w:sz w:val="15"/>
                <w:szCs w:val="15"/>
              </w:rPr>
              <w:t>批发、零售图书、报纸、期刊、电子</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13"/>
                <w:sz w:val="15"/>
                <w:szCs w:val="15"/>
              </w:rPr>
              <w:t>出版物。一般经营项目：组织文化艺术交流活动（不</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7"/>
                <w:sz w:val="15"/>
                <w:szCs w:val="15"/>
              </w:rPr>
              <w:t>含演出）；承办展览展示活动；平面设计；文艺创</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10"/>
                <w:sz w:val="15"/>
                <w:szCs w:val="15"/>
              </w:rPr>
              <w:t>作；设计、制作、代理、发布广告；经济贸易咨询；</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7"/>
                <w:sz w:val="15"/>
                <w:szCs w:val="15"/>
              </w:rPr>
              <w:t>计算机系统服务；数据处理；基础软件服务；应用</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7"/>
                <w:sz w:val="15"/>
                <w:szCs w:val="15"/>
              </w:rPr>
              <w:t>软件报务（不含医用软件）；销售文具用品、工艺</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10"/>
                <w:sz w:val="15"/>
                <w:szCs w:val="15"/>
              </w:rPr>
              <w:t>品、日用品；技术推广服务；资料编辑。</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255.00</w:t>
            </w:r>
          </w:p>
        </w:tc>
      </w:tr>
      <w:tr>
        <w:trPr>
          <w:trHeight w:val="1019"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415" w:lineRule="auto" w:before="100"/>
              <w:ind w:left="108" w:right="106"/>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7.</w:t>
            </w:r>
            <w:r>
              <w:rPr>
                <w:rFonts w:ascii="宋体" w:hAnsi="宋体" w:cs="宋体" w:eastAsia="宋体" w:hint="default"/>
                <w:spacing w:val="7"/>
                <w:sz w:val="15"/>
                <w:szCs w:val="15"/>
              </w:rPr>
              <w:t>北京东方天舟教育科</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技有限责任公司</w:t>
            </w:r>
          </w:p>
        </w:tc>
        <w:tc>
          <w:tcPr>
            <w:tcW w:w="1086"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106"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9" w:right="0"/>
              <w:jc w:val="left"/>
              <w:rPr>
                <w:rFonts w:ascii="宋体" w:hAnsi="宋体" w:cs="宋体" w:eastAsia="宋体" w:hint="default"/>
                <w:sz w:val="15"/>
                <w:szCs w:val="15"/>
              </w:rPr>
            </w:pPr>
            <w:r>
              <w:rPr>
                <w:rFonts w:ascii="宋体" w:hAnsi="宋体" w:cs="宋体" w:eastAsia="宋体" w:hint="default"/>
                <w:sz w:val="15"/>
                <w:szCs w:val="15"/>
              </w:rPr>
              <w:t>教育咨询</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spacing w:val="-1"/>
                <w:sz w:val="15"/>
              </w:rPr>
              <w:t>2,000.00</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4" w:right="0"/>
              <w:jc w:val="left"/>
              <w:rPr>
                <w:rFonts w:ascii="宋体" w:hAnsi="宋体" w:cs="宋体" w:eastAsia="宋体" w:hint="default"/>
                <w:sz w:val="15"/>
                <w:szCs w:val="15"/>
              </w:rPr>
            </w:pPr>
            <w:r>
              <w:rPr>
                <w:rFonts w:ascii="宋体" w:hAnsi="宋体" w:cs="宋体" w:eastAsia="宋体" w:hint="default"/>
                <w:sz w:val="15"/>
                <w:szCs w:val="15"/>
              </w:rPr>
              <w:t>技术开发、推广、咨询、转让，技术服务；教育</w:t>
            </w:r>
          </w:p>
          <w:p>
            <w:pPr>
              <w:pStyle w:val="TableParagraph"/>
              <w:spacing w:line="360" w:lineRule="atLeast" w:before="2"/>
              <w:ind w:left="114" w:right="186"/>
              <w:jc w:val="left"/>
              <w:rPr>
                <w:rFonts w:ascii="宋体" w:hAnsi="宋体" w:cs="宋体" w:eastAsia="宋体" w:hint="default"/>
                <w:sz w:val="15"/>
                <w:szCs w:val="15"/>
              </w:rPr>
            </w:pPr>
            <w:r>
              <w:rPr>
                <w:rFonts w:ascii="宋体" w:hAnsi="宋体" w:cs="宋体" w:eastAsia="宋体" w:hint="default"/>
                <w:sz w:val="15"/>
                <w:szCs w:val="15"/>
              </w:rPr>
              <w:t>咨询；经济贸易、管理、投资咨询；会务服务；</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承办展览展示；劳务派遣；计算机技术培训；音</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1,500.00</w:t>
            </w:r>
          </w:p>
        </w:tc>
      </w:tr>
    </w:tbl>
    <w:p>
      <w:pPr>
        <w:spacing w:after="0" w:line="240" w:lineRule="auto"/>
        <w:jc w:val="right"/>
        <w:rPr>
          <w:rFonts w:ascii="Times New Roman" w:hAnsi="Times New Roman" w:cs="Times New Roman" w:eastAsia="Times New Roman" w:hint="default"/>
          <w:sz w:val="15"/>
          <w:szCs w:val="15"/>
        </w:rPr>
        <w:sectPr>
          <w:headerReference w:type="default" r:id="rId58"/>
          <w:pgSz w:w="11910" w:h="16840"/>
          <w:pgMar w:header="918" w:footer="999" w:top="1100" w:bottom="118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1784"/>
        <w:gridCol w:w="1087"/>
        <w:gridCol w:w="723"/>
        <w:gridCol w:w="1002"/>
        <w:gridCol w:w="911"/>
        <w:gridCol w:w="3508"/>
        <w:gridCol w:w="842"/>
      </w:tblGrid>
      <w:tr>
        <w:trPr>
          <w:trHeight w:val="1054" w:hRule="exact"/>
        </w:trPr>
        <w:tc>
          <w:tcPr>
            <w:tcW w:w="178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54" w:right="0"/>
              <w:jc w:val="left"/>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108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89" w:lineRule="auto"/>
              <w:ind w:left="383" w:right="324" w:hanging="77"/>
              <w:jc w:val="left"/>
              <w:rPr>
                <w:rFonts w:ascii="宋体" w:hAnsi="宋体" w:cs="宋体" w:eastAsia="宋体" w:hint="default"/>
                <w:sz w:val="15"/>
                <w:szCs w:val="15"/>
              </w:rPr>
            </w:pPr>
            <w:r>
              <w:rPr>
                <w:rFonts w:ascii="宋体" w:hAnsi="宋体" w:cs="宋体" w:eastAsia="宋体" w:hint="default"/>
                <w:b/>
                <w:bCs/>
                <w:sz w:val="15"/>
                <w:szCs w:val="15"/>
              </w:rPr>
              <w:t>子公司</w:t>
            </w:r>
            <w:r>
              <w:rPr>
                <w:rFonts w:ascii="宋体" w:hAnsi="宋体" w:cs="宋体" w:eastAsia="宋体" w:hint="default"/>
                <w:b/>
                <w:bCs/>
                <w:w w:val="100"/>
                <w:sz w:val="15"/>
                <w:szCs w:val="15"/>
              </w:rPr>
              <w:t> </w:t>
            </w:r>
            <w:r>
              <w:rPr>
                <w:rFonts w:ascii="宋体" w:hAnsi="宋体" w:cs="宋体" w:eastAsia="宋体" w:hint="default"/>
                <w:b/>
                <w:bCs/>
                <w:sz w:val="15"/>
                <w:szCs w:val="15"/>
              </w:rPr>
              <w:t>类型</w:t>
            </w:r>
            <w:r>
              <w:rPr>
                <w:rFonts w:ascii="宋体" w:hAnsi="宋体" w:cs="宋体" w:eastAsia="宋体" w:hint="default"/>
                <w:sz w:val="15"/>
                <w:szCs w:val="15"/>
              </w:rPr>
            </w:r>
          </w:p>
        </w:tc>
        <w:tc>
          <w:tcPr>
            <w:tcW w:w="72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100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91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350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8"/>
              <w:jc w:val="center"/>
              <w:rPr>
                <w:rFonts w:ascii="宋体" w:hAnsi="宋体" w:cs="宋体" w:eastAsia="宋体" w:hint="default"/>
                <w:sz w:val="15"/>
                <w:szCs w:val="15"/>
              </w:rPr>
            </w:pPr>
            <w:r>
              <w:rPr>
                <w:rFonts w:ascii="宋体" w:hAnsi="宋体" w:cs="宋体" w:eastAsia="宋体" w:hint="default"/>
                <w:b/>
                <w:bCs/>
                <w:sz w:val="15"/>
                <w:szCs w:val="15"/>
              </w:rPr>
              <w:t>经营范围</w:t>
            </w:r>
            <w:r>
              <w:rPr>
                <w:rFonts w:ascii="宋体" w:hAnsi="宋体" w:cs="宋体" w:eastAsia="宋体" w:hint="default"/>
                <w:sz w:val="15"/>
                <w:szCs w:val="15"/>
              </w:rPr>
            </w:r>
          </w:p>
        </w:tc>
        <w:tc>
          <w:tcPr>
            <w:tcW w:w="842" w:type="dxa"/>
            <w:tcBorders>
              <w:top w:val="nil" w:sz="6" w:space="0" w:color="auto"/>
              <w:left w:val="nil" w:sz="6" w:space="0" w:color="auto"/>
              <w:bottom w:val="single" w:sz="8" w:space="0" w:color="000000"/>
              <w:right w:val="nil" w:sz="6" w:space="0" w:color="auto"/>
            </w:tcBorders>
          </w:tcPr>
          <w:p>
            <w:pPr>
              <w:pStyle w:val="TableParagraph"/>
              <w:spacing w:line="151" w:lineRule="exact"/>
              <w:ind w:left="184" w:right="0" w:hanging="75"/>
              <w:jc w:val="left"/>
              <w:rPr>
                <w:rFonts w:ascii="宋体" w:hAnsi="宋体" w:cs="宋体" w:eastAsia="宋体" w:hint="default"/>
                <w:sz w:val="15"/>
                <w:szCs w:val="15"/>
              </w:rPr>
            </w:pPr>
            <w:r>
              <w:rPr>
                <w:rFonts w:ascii="宋体" w:hAnsi="宋体" w:cs="宋体" w:eastAsia="宋体" w:hint="default"/>
                <w:b/>
                <w:bCs/>
                <w:sz w:val="15"/>
                <w:szCs w:val="15"/>
              </w:rPr>
              <w:t>期末实际</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b/>
                <w:bCs/>
                <w:sz w:val="15"/>
                <w:szCs w:val="15"/>
              </w:rPr>
              <w:t>出资额</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r>
      <w:tr>
        <w:trPr>
          <w:trHeight w:val="462" w:hRule="exact"/>
        </w:trPr>
        <w:tc>
          <w:tcPr>
            <w:tcW w:w="1784" w:type="dxa"/>
            <w:tcBorders>
              <w:top w:val="single" w:sz="8" w:space="0" w:color="000000"/>
              <w:left w:val="nil" w:sz="6" w:space="0" w:color="auto"/>
              <w:bottom w:val="nil" w:sz="6" w:space="0" w:color="auto"/>
              <w:right w:val="nil" w:sz="6" w:space="0" w:color="auto"/>
            </w:tcBorders>
          </w:tcPr>
          <w:p>
            <w:pPr/>
          </w:p>
        </w:tc>
        <w:tc>
          <w:tcPr>
            <w:tcW w:w="1087" w:type="dxa"/>
            <w:tcBorders>
              <w:top w:val="single" w:sz="8" w:space="0" w:color="000000"/>
              <w:left w:val="nil" w:sz="6" w:space="0" w:color="auto"/>
              <w:bottom w:val="nil" w:sz="6" w:space="0" w:color="auto"/>
              <w:right w:val="nil" w:sz="6" w:space="0" w:color="auto"/>
            </w:tcBorders>
          </w:tcPr>
          <w:p>
            <w:pPr/>
          </w:p>
        </w:tc>
        <w:tc>
          <w:tcPr>
            <w:tcW w:w="723" w:type="dxa"/>
            <w:tcBorders>
              <w:top w:val="single" w:sz="8" w:space="0" w:color="000000"/>
              <w:left w:val="nil" w:sz="6" w:space="0" w:color="auto"/>
              <w:bottom w:val="nil" w:sz="6" w:space="0" w:color="auto"/>
              <w:right w:val="nil" w:sz="6" w:space="0" w:color="auto"/>
            </w:tcBorders>
          </w:tcPr>
          <w:p>
            <w:pPr/>
          </w:p>
        </w:tc>
        <w:tc>
          <w:tcPr>
            <w:tcW w:w="1002" w:type="dxa"/>
            <w:tcBorders>
              <w:top w:val="single" w:sz="8" w:space="0" w:color="000000"/>
              <w:left w:val="nil" w:sz="6" w:space="0" w:color="auto"/>
              <w:bottom w:val="nil" w:sz="6" w:space="0" w:color="auto"/>
              <w:right w:val="nil" w:sz="6" w:space="0" w:color="auto"/>
            </w:tcBorders>
          </w:tcPr>
          <w:p>
            <w:pPr/>
          </w:p>
        </w:tc>
        <w:tc>
          <w:tcPr>
            <w:tcW w:w="911" w:type="dxa"/>
            <w:tcBorders>
              <w:top w:val="single" w:sz="8" w:space="0" w:color="000000"/>
              <w:left w:val="nil" w:sz="6" w:space="0" w:color="auto"/>
              <w:bottom w:val="nil" w:sz="6" w:space="0" w:color="auto"/>
              <w:right w:val="nil" w:sz="6" w:space="0" w:color="auto"/>
            </w:tcBorders>
          </w:tcPr>
          <w:p>
            <w:pPr/>
          </w:p>
        </w:tc>
        <w:tc>
          <w:tcPr>
            <w:tcW w:w="3508"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124" w:right="0"/>
              <w:jc w:val="left"/>
              <w:rPr>
                <w:rFonts w:ascii="宋体" w:hAnsi="宋体" w:cs="宋体" w:eastAsia="宋体" w:hint="default"/>
                <w:sz w:val="15"/>
                <w:szCs w:val="15"/>
              </w:rPr>
            </w:pPr>
            <w:r>
              <w:rPr>
                <w:rFonts w:ascii="宋体" w:hAnsi="宋体" w:cs="宋体" w:eastAsia="宋体" w:hint="default"/>
                <w:sz w:val="15"/>
                <w:szCs w:val="15"/>
              </w:rPr>
              <w:t>乐、舞蹈培训。</w:t>
            </w:r>
          </w:p>
        </w:tc>
        <w:tc>
          <w:tcPr>
            <w:tcW w:w="842" w:type="dxa"/>
            <w:tcBorders>
              <w:top w:val="single" w:sz="8" w:space="0" w:color="000000"/>
              <w:left w:val="nil" w:sz="6" w:space="0" w:color="auto"/>
              <w:bottom w:val="nil" w:sz="6" w:space="0" w:color="auto"/>
              <w:right w:val="nil" w:sz="6" w:space="0" w:color="auto"/>
            </w:tcBorders>
          </w:tcPr>
          <w:p>
            <w:pPr/>
          </w:p>
        </w:tc>
      </w:tr>
      <w:tr>
        <w:trPr>
          <w:trHeight w:val="2094" w:hRule="exact"/>
        </w:trPr>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 </w:t>
            </w:r>
            <w:r>
              <w:rPr>
                <w:rFonts w:ascii="Times New Roman" w:hAnsi="Times New Roman" w:cs="Times New Roman" w:eastAsia="Times New Roman" w:hint="default"/>
                <w:spacing w:val="26"/>
                <w:sz w:val="15"/>
                <w:szCs w:val="15"/>
              </w:rPr>
              <w:t> </w:t>
            </w:r>
            <w:r>
              <w:rPr>
                <w:rFonts w:ascii="宋体" w:hAnsi="宋体" w:cs="宋体" w:eastAsia="宋体" w:hint="default"/>
                <w:sz w:val="15"/>
                <w:szCs w:val="15"/>
              </w:rPr>
              <w:t>云</w:t>
            </w:r>
            <w:r>
              <w:rPr>
                <w:rFonts w:ascii="宋体" w:hAnsi="宋体" w:cs="宋体" w:eastAsia="宋体" w:hint="default"/>
                <w:spacing w:val="-53"/>
                <w:sz w:val="15"/>
                <w:szCs w:val="15"/>
              </w:rPr>
              <w:t> </w:t>
            </w:r>
            <w:r>
              <w:rPr>
                <w:rFonts w:ascii="宋体" w:hAnsi="宋体" w:cs="宋体" w:eastAsia="宋体" w:hint="default"/>
                <w:sz w:val="15"/>
                <w:szCs w:val="15"/>
              </w:rPr>
              <w:t>上</w:t>
            </w:r>
            <w:r>
              <w:rPr>
                <w:rFonts w:ascii="宋体" w:hAnsi="宋体" w:cs="宋体" w:eastAsia="宋体" w:hint="default"/>
                <w:spacing w:val="-53"/>
                <w:sz w:val="15"/>
                <w:szCs w:val="15"/>
              </w:rPr>
              <w:t> </w:t>
            </w:r>
            <w:r>
              <w:rPr>
                <w:rFonts w:ascii="宋体" w:hAnsi="宋体" w:cs="宋体" w:eastAsia="宋体" w:hint="default"/>
                <w:sz w:val="15"/>
                <w:szCs w:val="15"/>
              </w:rPr>
              <w:t>森</w:t>
            </w:r>
            <w:r>
              <w:rPr>
                <w:rFonts w:ascii="宋体" w:hAnsi="宋体" w:cs="宋体" w:eastAsia="宋体" w:hint="default"/>
                <w:spacing w:val="-53"/>
                <w:sz w:val="15"/>
                <w:szCs w:val="15"/>
              </w:rPr>
              <w:t> </w:t>
            </w:r>
            <w:r>
              <w:rPr>
                <w:rFonts w:ascii="宋体" w:hAnsi="宋体" w:cs="宋体" w:eastAsia="宋体" w:hint="default"/>
                <w:sz w:val="15"/>
                <w:szCs w:val="15"/>
              </w:rPr>
              <w:t>林</w:t>
            </w:r>
            <w:r>
              <w:rPr>
                <w:rFonts w:ascii="宋体" w:hAnsi="宋体" w:cs="宋体" w:eastAsia="宋体" w:hint="default"/>
                <w:spacing w:val="-53"/>
                <w:sz w:val="15"/>
                <w:szCs w:val="15"/>
              </w:rPr>
              <w:t> </w:t>
            </w:r>
            <w:r>
              <w:rPr>
                <w:rFonts w:ascii="宋体" w:hAnsi="宋体" w:cs="宋体" w:eastAsia="宋体" w:hint="default"/>
                <w:sz w:val="15"/>
                <w:szCs w:val="15"/>
              </w:rPr>
              <w:t>信</w:t>
            </w:r>
            <w:r>
              <w:rPr>
                <w:rFonts w:ascii="宋体" w:hAnsi="宋体" w:cs="宋体" w:eastAsia="宋体" w:hint="default"/>
                <w:spacing w:val="-53"/>
                <w:sz w:val="15"/>
                <w:szCs w:val="15"/>
              </w:rPr>
              <w:t> </w:t>
            </w:r>
            <w:r>
              <w:rPr>
                <w:rFonts w:ascii="宋体" w:hAnsi="宋体" w:cs="宋体" w:eastAsia="宋体" w:hint="default"/>
                <w:sz w:val="15"/>
                <w:szCs w:val="15"/>
              </w:rPr>
              <w:t>息</w:t>
            </w:r>
            <w:r>
              <w:rPr>
                <w:rFonts w:ascii="宋体" w:hAnsi="宋体" w:cs="宋体" w:eastAsia="宋体" w:hint="default"/>
                <w:spacing w:val="-56"/>
                <w:sz w:val="15"/>
                <w:szCs w:val="15"/>
              </w:rPr>
              <w:t> </w:t>
            </w:r>
            <w:r>
              <w:rPr>
                <w:rFonts w:ascii="宋体" w:hAnsi="宋体" w:cs="宋体" w:eastAsia="宋体" w:hint="default"/>
                <w:sz w:val="15"/>
                <w:szCs w:val="15"/>
              </w:rPr>
              <w:t>技</w:t>
            </w:r>
            <w:r>
              <w:rPr>
                <w:rFonts w:ascii="宋体" w:hAnsi="宋体" w:cs="宋体" w:eastAsia="宋体" w:hint="default"/>
                <w:spacing w:val="-53"/>
                <w:sz w:val="15"/>
                <w:szCs w:val="15"/>
              </w:rPr>
              <w:t> </w:t>
            </w:r>
            <w:r>
              <w:rPr>
                <w:rFonts w:ascii="宋体" w:hAnsi="宋体" w:cs="宋体" w:eastAsia="宋体" w:hint="default"/>
                <w:sz w:val="15"/>
                <w:szCs w:val="15"/>
              </w:rPr>
              <w:t>术</w:t>
            </w: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北京</w:t>
            </w:r>
            <w:r>
              <w:rPr>
                <w:rFonts w:ascii="Times New Roman" w:hAnsi="Times New Roman" w:cs="Times New Roman" w:eastAsia="Times New Roman" w:hint="default"/>
                <w:sz w:val="15"/>
                <w:szCs w:val="15"/>
              </w:rPr>
              <w:t>)</w:t>
            </w:r>
            <w:r>
              <w:rPr>
                <w:rFonts w:ascii="宋体" w:hAnsi="宋体" w:cs="宋体" w:eastAsia="宋体" w:hint="default"/>
                <w:sz w:val="15"/>
                <w:szCs w:val="15"/>
              </w:rPr>
              <w:t>有限责任公司</w:t>
            </w:r>
          </w:p>
        </w:tc>
        <w:tc>
          <w:tcPr>
            <w:tcW w:w="1087" w:type="dxa"/>
            <w:tcBorders>
              <w:top w:val="nil" w:sz="6" w:space="0" w:color="auto"/>
              <w:left w:val="nil" w:sz="6" w:space="0" w:color="auto"/>
              <w:bottom w:val="nil" w:sz="6" w:space="0" w:color="auto"/>
              <w:right w:val="nil" w:sz="6" w:space="0" w:color="auto"/>
            </w:tcBorders>
          </w:tcPr>
          <w:p>
            <w:pPr>
              <w:pStyle w:val="TableParagraph"/>
              <w:spacing w:line="436" w:lineRule="auto" w:before="100"/>
              <w:ind w:left="107" w:right="75"/>
              <w:jc w:val="left"/>
              <w:rPr>
                <w:rFonts w:ascii="宋体" w:hAnsi="宋体" w:cs="宋体" w:eastAsia="宋体" w:hint="default"/>
                <w:sz w:val="15"/>
                <w:szCs w:val="15"/>
              </w:rPr>
            </w:pPr>
            <w:r>
              <w:rPr>
                <w:rFonts w:ascii="宋体" w:hAnsi="宋体" w:cs="宋体" w:eastAsia="宋体" w:hint="default"/>
                <w:spacing w:val="-1"/>
                <w:sz w:val="15"/>
                <w:szCs w:val="15"/>
              </w:rPr>
              <w:t>境内非金融公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9" w:right="0"/>
              <w:jc w:val="left"/>
              <w:rPr>
                <w:rFonts w:ascii="宋体" w:hAnsi="宋体" w:cs="宋体" w:eastAsia="宋体" w:hint="default"/>
                <w:sz w:val="15"/>
                <w:szCs w:val="15"/>
              </w:rPr>
            </w:pPr>
            <w:r>
              <w:rPr>
                <w:rFonts w:ascii="宋体" w:hAnsi="宋体" w:cs="宋体" w:eastAsia="宋体" w:hint="default"/>
                <w:sz w:val="15"/>
                <w:szCs w:val="15"/>
              </w:rPr>
              <w:t>信息技术</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37" w:right="0"/>
              <w:jc w:val="left"/>
              <w:rPr>
                <w:rFonts w:ascii="Times New Roman" w:hAnsi="Times New Roman" w:cs="Times New Roman" w:eastAsia="Times New Roman" w:hint="default"/>
                <w:sz w:val="15"/>
                <w:szCs w:val="15"/>
              </w:rPr>
            </w:pPr>
            <w:r>
              <w:rPr>
                <w:rFonts w:ascii="Times New Roman"/>
                <w:sz w:val="15"/>
              </w:rPr>
              <w:t>300.00</w:t>
            </w:r>
          </w:p>
        </w:tc>
        <w:tc>
          <w:tcPr>
            <w:tcW w:w="3508"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124" w:right="107"/>
              <w:jc w:val="left"/>
              <w:rPr>
                <w:rFonts w:ascii="宋体" w:hAnsi="宋体" w:cs="宋体" w:eastAsia="宋体" w:hint="default"/>
                <w:sz w:val="15"/>
                <w:szCs w:val="15"/>
              </w:rPr>
            </w:pPr>
            <w:r>
              <w:rPr>
                <w:rFonts w:ascii="宋体" w:hAnsi="宋体" w:cs="宋体" w:eastAsia="宋体" w:hint="default"/>
                <w:sz w:val="15"/>
                <w:szCs w:val="15"/>
              </w:rPr>
              <w:t>计算机技术咨询服务；网络科技、网络技术、通</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讯工程、网络工程、电子计算机与电子技术信息</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pacing w:val="-3"/>
                <w:sz w:val="15"/>
                <w:szCs w:val="15"/>
              </w:rPr>
              <w:t>服务；企业营销策划；企业形象策划；市场调研；</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商务咨询；文化教育信息咨询；销售电脑软硬件</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及配件、电子产品；服装服饰、工艺品、礼品、</w:t>
            </w:r>
          </w:p>
          <w:p>
            <w:pPr>
              <w:pStyle w:val="TableParagraph"/>
              <w:spacing w:line="240" w:lineRule="auto" w:before="37"/>
              <w:ind w:left="124" w:right="0"/>
              <w:jc w:val="left"/>
              <w:rPr>
                <w:rFonts w:ascii="宋体" w:hAnsi="宋体" w:cs="宋体" w:eastAsia="宋体" w:hint="default"/>
                <w:sz w:val="15"/>
                <w:szCs w:val="15"/>
              </w:rPr>
            </w:pPr>
            <w:r>
              <w:rPr>
                <w:rFonts w:ascii="宋体" w:hAnsi="宋体" w:cs="宋体" w:eastAsia="宋体" w:hint="default"/>
                <w:sz w:val="15"/>
                <w:szCs w:val="15"/>
              </w:rPr>
              <w:t>玩具、文体用品、办公用品。</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260.00</w:t>
            </w:r>
          </w:p>
        </w:tc>
      </w:tr>
    </w:tbl>
    <w:p>
      <w:pPr>
        <w:spacing w:line="240" w:lineRule="auto" w:before="9"/>
        <w:rPr>
          <w:rFonts w:ascii="宋体" w:hAnsi="宋体" w:cs="宋体" w:eastAsia="宋体" w:hint="default"/>
          <w:sz w:val="21"/>
          <w:szCs w:val="21"/>
        </w:rPr>
      </w:pPr>
    </w:p>
    <w:p>
      <w:pPr>
        <w:pStyle w:val="BodyText"/>
        <w:spacing w:line="240" w:lineRule="auto" w:before="44"/>
        <w:ind w:left="573" w:right="5558"/>
        <w:jc w:val="left"/>
      </w:pPr>
      <w:r>
        <w:rPr/>
        <w:t>续上表：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59"/>
          <w:pgSz w:w="11910" w:h="16840"/>
          <w:pgMar w:header="918" w:footer="999" w:top="1100" w:bottom="1180" w:left="920" w:right="920"/>
        </w:sectPr>
      </w:pPr>
    </w:p>
    <w:p>
      <w:pPr>
        <w:spacing w:line="188" w:lineRule="exact" w:before="54"/>
        <w:ind w:left="253" w:right="568" w:firstLine="0"/>
        <w:jc w:val="center"/>
        <w:rPr>
          <w:rFonts w:ascii="宋体" w:hAnsi="宋体" w:cs="宋体" w:eastAsia="宋体" w:hint="default"/>
          <w:sz w:val="15"/>
          <w:szCs w:val="15"/>
        </w:rPr>
      </w:pPr>
      <w:r>
        <w:rPr>
          <w:rFonts w:ascii="宋体" w:hAnsi="宋体" w:cs="宋体" w:eastAsia="宋体" w:hint="default"/>
          <w:b/>
          <w:bCs/>
          <w:sz w:val="15"/>
          <w:szCs w:val="15"/>
        </w:rPr>
        <w:t>实质上构成对子公</w:t>
      </w:r>
      <w:r>
        <w:rPr>
          <w:rFonts w:ascii="宋体" w:hAnsi="宋体" w:cs="宋体" w:eastAsia="宋体" w:hint="default"/>
          <w:sz w:val="15"/>
          <w:szCs w:val="15"/>
        </w:rPr>
      </w:r>
    </w:p>
    <w:p>
      <w:pPr>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持股</w:t>
      </w:r>
      <w:r>
        <w:rPr>
          <w:rFonts w:ascii="宋体" w:hAnsi="宋体" w:cs="宋体" w:eastAsia="宋体" w:hint="default"/>
          <w:sz w:val="15"/>
          <w:szCs w:val="15"/>
        </w:rPr>
      </w:r>
    </w:p>
    <w:p>
      <w:pPr>
        <w:spacing w:line="188" w:lineRule="exact" w:before="0"/>
        <w:ind w:left="253" w:right="568" w:firstLine="0"/>
        <w:jc w:val="center"/>
        <w:rPr>
          <w:rFonts w:ascii="宋体" w:hAnsi="宋体" w:cs="宋体" w:eastAsia="宋体" w:hint="default"/>
          <w:sz w:val="15"/>
          <w:szCs w:val="15"/>
        </w:rPr>
      </w:pPr>
      <w:r>
        <w:rPr>
          <w:rFonts w:ascii="宋体" w:hAnsi="宋体" w:cs="宋体" w:eastAsia="宋体" w:hint="default"/>
          <w:b/>
          <w:bCs/>
          <w:sz w:val="15"/>
          <w:szCs w:val="15"/>
        </w:rPr>
        <w:t>司净投资的</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before="0"/>
        <w:ind w:left="270" w:right="-18" w:firstLine="0"/>
        <w:jc w:val="left"/>
        <w:rPr>
          <w:rFonts w:ascii="宋体" w:hAnsi="宋体" w:cs="宋体" w:eastAsia="宋体" w:hint="default"/>
          <w:sz w:val="15"/>
          <w:szCs w:val="15"/>
        </w:rPr>
      </w:pPr>
      <w:r>
        <w:rPr>
          <w:rFonts w:ascii="宋体" w:hAnsi="宋体" w:cs="宋体" w:eastAsia="宋体" w:hint="default"/>
          <w:b/>
          <w:bCs/>
          <w:sz w:val="15"/>
          <w:szCs w:val="15"/>
        </w:rPr>
        <w:t>表决权</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before="0"/>
        <w:ind w:left="219" w:right="-18" w:firstLine="0"/>
        <w:jc w:val="left"/>
        <w:rPr>
          <w:rFonts w:ascii="宋体" w:hAnsi="宋体" w:cs="宋体" w:eastAsia="宋体" w:hint="default"/>
          <w:sz w:val="15"/>
          <w:szCs w:val="15"/>
        </w:rPr>
      </w:pPr>
      <w:r>
        <w:rPr>
          <w:rFonts w:ascii="宋体" w:hAnsi="宋体" w:cs="宋体" w:eastAsia="宋体" w:hint="default"/>
          <w:b/>
          <w:bCs/>
          <w:sz w:val="15"/>
          <w:szCs w:val="15"/>
        </w:rPr>
        <w:t>是否合并</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2"/>
        <w:rPr>
          <w:rFonts w:ascii="宋体" w:hAnsi="宋体" w:cs="宋体" w:eastAsia="宋体" w:hint="default"/>
          <w:b/>
          <w:bCs/>
          <w:sz w:val="19"/>
          <w:szCs w:val="19"/>
        </w:rPr>
      </w:pPr>
    </w:p>
    <w:p>
      <w:pPr>
        <w:spacing w:before="0"/>
        <w:ind w:left="235" w:right="-12" w:firstLine="0"/>
        <w:jc w:val="left"/>
        <w:rPr>
          <w:rFonts w:ascii="宋体" w:hAnsi="宋体" w:cs="宋体" w:eastAsia="宋体" w:hint="default"/>
          <w:sz w:val="15"/>
          <w:szCs w:val="15"/>
        </w:rPr>
      </w:pPr>
      <w:r>
        <w:rPr>
          <w:rFonts w:ascii="宋体" w:hAnsi="宋体" w:cs="宋体" w:eastAsia="宋体" w:hint="default"/>
          <w:b/>
          <w:bCs/>
          <w:spacing w:val="-1"/>
          <w:sz w:val="15"/>
          <w:szCs w:val="15"/>
        </w:rPr>
        <w:t>少数股东权益</w:t>
      </w:r>
      <w:r>
        <w:rPr>
          <w:rFonts w:ascii="宋体" w:hAnsi="宋体" w:cs="宋体" w:eastAsia="宋体" w:hint="default"/>
          <w:spacing w:val="-1"/>
          <w:sz w:val="15"/>
          <w:szCs w:val="15"/>
        </w:rPr>
      </w:r>
    </w:p>
    <w:p>
      <w:pPr>
        <w:spacing w:before="74"/>
        <w:ind w:left="193" w:right="-7" w:firstLine="0"/>
        <w:jc w:val="left"/>
        <w:rPr>
          <w:rFonts w:ascii="宋体" w:hAnsi="宋体" w:cs="宋体" w:eastAsia="宋体" w:hint="default"/>
          <w:sz w:val="15"/>
          <w:szCs w:val="15"/>
        </w:rPr>
      </w:pPr>
      <w:r>
        <w:rPr>
          <w:spacing w:val="-1"/>
        </w:rPr>
        <w:br w:type="column"/>
      </w:r>
      <w:r>
        <w:rPr>
          <w:rFonts w:ascii="宋体" w:hAnsi="宋体" w:cs="宋体" w:eastAsia="宋体" w:hint="default"/>
          <w:b/>
          <w:bCs/>
          <w:spacing w:val="-1"/>
          <w:sz w:val="15"/>
          <w:szCs w:val="15"/>
        </w:rPr>
        <w:t>少数股东权益中用于冲减</w:t>
      </w:r>
      <w:r>
        <w:rPr>
          <w:rFonts w:ascii="宋体" w:hAnsi="宋体" w:cs="宋体" w:eastAsia="宋体" w:hint="default"/>
          <w:spacing w:val="-1"/>
          <w:sz w:val="15"/>
          <w:szCs w:val="15"/>
        </w:rPr>
      </w:r>
    </w:p>
    <w:p>
      <w:pPr>
        <w:spacing w:line="240" w:lineRule="auto" w:before="9"/>
        <w:rPr>
          <w:rFonts w:ascii="宋体" w:hAnsi="宋体" w:cs="宋体" w:eastAsia="宋体" w:hint="default"/>
          <w:b/>
          <w:bCs/>
          <w:sz w:val="12"/>
          <w:szCs w:val="12"/>
        </w:rPr>
      </w:pPr>
    </w:p>
    <w:p>
      <w:pPr>
        <w:spacing w:before="0"/>
        <w:ind w:left="193" w:right="-7" w:firstLine="0"/>
        <w:jc w:val="left"/>
        <w:rPr>
          <w:rFonts w:ascii="宋体" w:hAnsi="宋体" w:cs="宋体" w:eastAsia="宋体" w:hint="default"/>
          <w:sz w:val="15"/>
          <w:szCs w:val="15"/>
        </w:rPr>
      </w:pPr>
      <w:r>
        <w:rPr>
          <w:rFonts w:ascii="宋体" w:hAnsi="宋体" w:cs="宋体" w:eastAsia="宋体" w:hint="default"/>
          <w:b/>
          <w:bCs/>
          <w:spacing w:val="-1"/>
          <w:sz w:val="15"/>
          <w:szCs w:val="15"/>
        </w:rPr>
        <w:t>少数股东损益的金额（万</w:t>
      </w:r>
      <w:r>
        <w:rPr>
          <w:rFonts w:ascii="宋体" w:hAnsi="宋体" w:cs="宋体" w:eastAsia="宋体" w:hint="default"/>
          <w:spacing w:val="-1"/>
          <w:sz w:val="15"/>
          <w:szCs w:val="15"/>
        </w:rPr>
      </w:r>
    </w:p>
    <w:p>
      <w:pPr>
        <w:spacing w:before="74"/>
        <w:ind w:left="83"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从母公司所有者权益冲减子公司少数股东分</w:t>
      </w:r>
      <w:r>
        <w:rPr>
          <w:rFonts w:ascii="宋体" w:hAnsi="宋体" w:cs="宋体" w:eastAsia="宋体" w:hint="default"/>
          <w:sz w:val="15"/>
          <w:szCs w:val="15"/>
        </w:rPr>
      </w:r>
    </w:p>
    <w:p>
      <w:pPr>
        <w:spacing w:line="240" w:lineRule="auto" w:before="9"/>
        <w:rPr>
          <w:rFonts w:ascii="宋体" w:hAnsi="宋体" w:cs="宋体" w:eastAsia="宋体" w:hint="default"/>
          <w:b/>
          <w:bCs/>
          <w:sz w:val="12"/>
          <w:szCs w:val="12"/>
        </w:rPr>
      </w:pPr>
    </w:p>
    <w:p>
      <w:pPr>
        <w:spacing w:before="0"/>
        <w:ind w:left="83" w:right="0" w:firstLine="0"/>
        <w:jc w:val="left"/>
        <w:rPr>
          <w:rFonts w:ascii="宋体" w:hAnsi="宋体" w:cs="宋体" w:eastAsia="宋体" w:hint="default"/>
          <w:sz w:val="15"/>
          <w:szCs w:val="15"/>
        </w:rPr>
      </w:pPr>
      <w:r>
        <w:rPr>
          <w:rFonts w:ascii="宋体" w:hAnsi="宋体" w:cs="宋体" w:eastAsia="宋体" w:hint="default"/>
          <w:b/>
          <w:bCs/>
          <w:sz w:val="15"/>
          <w:szCs w:val="15"/>
        </w:rPr>
        <w:t>担的本期亏损超过少数股东在该子公司期初</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180" w:left="920" w:right="920"/>
          <w:cols w:num="6" w:equalWidth="0">
            <w:col w:w="2067" w:space="94"/>
            <w:col w:w="725" w:space="40"/>
            <w:col w:w="825" w:space="40"/>
            <w:col w:w="1141" w:space="40"/>
            <w:col w:w="1852" w:space="40"/>
            <w:col w:w="3206"/>
          </w:cols>
        </w:sectPr>
      </w:pPr>
    </w:p>
    <w:p>
      <w:pPr>
        <w:tabs>
          <w:tab w:pos="3295" w:val="left" w:leader="none"/>
        </w:tabs>
        <w:spacing w:before="0"/>
        <w:ind w:left="1593" w:right="5558" w:firstLine="0"/>
        <w:jc w:val="left"/>
        <w:rPr>
          <w:rFonts w:ascii="宋体" w:hAnsi="宋体" w:cs="宋体" w:eastAsia="宋体" w:hint="default"/>
          <w:sz w:val="15"/>
          <w:szCs w:val="15"/>
        </w:rPr>
      </w:pPr>
      <w:r>
        <w:rPr>
          <w:rFonts w:ascii="宋体" w:hAnsi="宋体" w:cs="宋体" w:eastAsia="宋体" w:hint="default"/>
          <w:b/>
          <w:bCs/>
          <w:spacing w:val="-6"/>
          <w:sz w:val="15"/>
          <w:szCs w:val="15"/>
        </w:rPr>
        <w:t>比例（</w:t>
      </w:r>
      <w:r>
        <w:rPr>
          <w:rFonts w:ascii="Times New Roman" w:hAnsi="Times New Roman" w:cs="Times New Roman" w:eastAsia="Times New Roman" w:hint="default"/>
          <w:b/>
          <w:bCs/>
          <w:spacing w:val="-6"/>
          <w:sz w:val="15"/>
          <w:szCs w:val="15"/>
        </w:rPr>
        <w:t>%</w:t>
      </w:r>
      <w:r>
        <w:rPr>
          <w:rFonts w:ascii="宋体" w:hAnsi="宋体" w:cs="宋体" w:eastAsia="宋体" w:hint="default"/>
          <w:b/>
          <w:bCs/>
          <w:spacing w:val="-6"/>
          <w:sz w:val="15"/>
          <w:szCs w:val="15"/>
        </w:rPr>
        <w:t>）比例（</w:t>
      </w:r>
      <w:r>
        <w:rPr>
          <w:rFonts w:ascii="Times New Roman" w:hAnsi="Times New Roman" w:cs="Times New Roman" w:eastAsia="Times New Roman" w:hint="default"/>
          <w:b/>
          <w:bCs/>
          <w:spacing w:val="-6"/>
          <w:sz w:val="15"/>
          <w:szCs w:val="15"/>
        </w:rPr>
        <w:t>%</w:t>
      </w:r>
      <w:r>
        <w:rPr>
          <w:rFonts w:ascii="宋体" w:hAnsi="宋体" w:cs="宋体" w:eastAsia="宋体" w:hint="default"/>
          <w:b/>
          <w:bCs/>
          <w:spacing w:val="-6"/>
          <w:sz w:val="15"/>
          <w:szCs w:val="15"/>
        </w:rPr>
        <w:t>）</w:t>
        <w:tab/>
      </w:r>
      <w:r>
        <w:rPr>
          <w:rFonts w:ascii="宋体" w:hAnsi="宋体" w:cs="宋体" w:eastAsia="宋体" w:hint="default"/>
          <w:b/>
          <w:bCs/>
          <w:sz w:val="15"/>
          <w:szCs w:val="15"/>
        </w:rPr>
        <w:t>报表</w:t>
      </w:r>
      <w:r>
        <w:rPr>
          <w:rFonts w:ascii="宋体" w:hAnsi="宋体" w:cs="宋体" w:eastAsia="宋体" w:hint="default"/>
          <w:sz w:val="15"/>
          <w:szCs w:val="15"/>
        </w:rPr>
      </w:r>
    </w:p>
    <w:tbl>
      <w:tblPr>
        <w:tblW w:w="0" w:type="auto"/>
        <w:jc w:val="left"/>
        <w:tblInd w:w="182" w:type="dxa"/>
        <w:tblLayout w:type="fixed"/>
        <w:tblCellMar>
          <w:top w:w="0" w:type="dxa"/>
          <w:left w:w="0" w:type="dxa"/>
          <w:bottom w:w="0" w:type="dxa"/>
          <w:right w:w="0" w:type="dxa"/>
        </w:tblCellMar>
        <w:tblLook w:val="01E0"/>
      </w:tblPr>
      <w:tblGrid>
        <w:gridCol w:w="1354"/>
        <w:gridCol w:w="751"/>
        <w:gridCol w:w="813"/>
        <w:gridCol w:w="812"/>
        <w:gridCol w:w="1555"/>
        <w:gridCol w:w="1079"/>
        <w:gridCol w:w="3338"/>
      </w:tblGrid>
      <w:tr>
        <w:trPr>
          <w:trHeight w:val="269" w:hRule="exact"/>
        </w:trPr>
        <w:tc>
          <w:tcPr>
            <w:tcW w:w="1354" w:type="dxa"/>
            <w:tcBorders>
              <w:top w:val="nil" w:sz="6" w:space="0" w:color="auto"/>
              <w:left w:val="nil" w:sz="6" w:space="0" w:color="auto"/>
              <w:bottom w:val="single" w:sz="4" w:space="0" w:color="000000"/>
              <w:right w:val="nil" w:sz="6" w:space="0" w:color="auto"/>
            </w:tcBorders>
          </w:tcPr>
          <w:p>
            <w:pPr>
              <w:pStyle w:val="TableParagraph"/>
              <w:spacing w:line="170" w:lineRule="exact"/>
              <w:ind w:left="31" w:right="0"/>
              <w:jc w:val="center"/>
              <w:rPr>
                <w:rFonts w:ascii="宋体" w:hAnsi="宋体" w:cs="宋体" w:eastAsia="宋体" w:hint="default"/>
                <w:sz w:val="15"/>
                <w:szCs w:val="15"/>
              </w:rPr>
            </w:pPr>
            <w:r>
              <w:rPr>
                <w:rFonts w:ascii="宋体" w:hAnsi="宋体" w:cs="宋体" w:eastAsia="宋体" w:hint="default"/>
                <w:b/>
                <w:bCs/>
                <w:sz w:val="15"/>
                <w:szCs w:val="15"/>
              </w:rPr>
              <w:t>其他项目余额</w:t>
            </w:r>
            <w:r>
              <w:rPr>
                <w:rFonts w:ascii="宋体" w:hAnsi="宋体" w:cs="宋体" w:eastAsia="宋体" w:hint="default"/>
                <w:sz w:val="15"/>
                <w:szCs w:val="15"/>
              </w:rPr>
            </w:r>
          </w:p>
        </w:tc>
        <w:tc>
          <w:tcPr>
            <w:tcW w:w="751" w:type="dxa"/>
            <w:tcBorders>
              <w:top w:val="nil" w:sz="6" w:space="0" w:color="auto"/>
              <w:left w:val="nil" w:sz="6" w:space="0" w:color="auto"/>
              <w:bottom w:val="single" w:sz="4" w:space="0" w:color="000000"/>
              <w:right w:val="nil" w:sz="6" w:space="0" w:color="auto"/>
            </w:tcBorders>
          </w:tcPr>
          <w:p>
            <w:pPr/>
          </w:p>
        </w:tc>
        <w:tc>
          <w:tcPr>
            <w:tcW w:w="813" w:type="dxa"/>
            <w:tcBorders>
              <w:top w:val="nil" w:sz="6" w:space="0" w:color="auto"/>
              <w:left w:val="nil" w:sz="6" w:space="0" w:color="auto"/>
              <w:bottom w:val="single" w:sz="4" w:space="0" w:color="000000"/>
              <w:right w:val="nil" w:sz="6" w:space="0" w:color="auto"/>
            </w:tcBorders>
          </w:tcPr>
          <w:p>
            <w:pPr/>
          </w:p>
        </w:tc>
        <w:tc>
          <w:tcPr>
            <w:tcW w:w="812"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Style w:val="TableParagraph"/>
              <w:spacing w:line="151" w:lineRule="exact"/>
              <w:ind w:right="21"/>
              <w:jc w:val="center"/>
              <w:rPr>
                <w:rFonts w:ascii="宋体" w:hAnsi="宋体" w:cs="宋体" w:eastAsia="宋体" w:hint="default"/>
                <w:sz w:val="15"/>
                <w:szCs w:val="15"/>
              </w:rPr>
            </w:pPr>
            <w:r>
              <w:rPr>
                <w:rFonts w:ascii="宋体" w:hAnsi="宋体" w:cs="宋体" w:eastAsia="宋体" w:hint="default"/>
                <w:b/>
                <w:bCs/>
                <w:sz w:val="15"/>
                <w:szCs w:val="15"/>
              </w:rPr>
              <w:t>元）</w:t>
            </w:r>
            <w:r>
              <w:rPr>
                <w:rFonts w:ascii="宋体" w:hAnsi="宋体" w:cs="宋体" w:eastAsia="宋体" w:hint="default"/>
                <w:sz w:val="15"/>
                <w:szCs w:val="15"/>
              </w:rPr>
            </w:r>
          </w:p>
        </w:tc>
        <w:tc>
          <w:tcPr>
            <w:tcW w:w="3338" w:type="dxa"/>
            <w:tcBorders>
              <w:top w:val="nil" w:sz="6" w:space="0" w:color="auto"/>
              <w:left w:val="nil" w:sz="6" w:space="0" w:color="auto"/>
              <w:bottom w:val="single" w:sz="4" w:space="0" w:color="000000"/>
              <w:right w:val="nil" w:sz="6" w:space="0" w:color="auto"/>
            </w:tcBorders>
          </w:tcPr>
          <w:p>
            <w:pPr>
              <w:pStyle w:val="TableParagraph"/>
              <w:spacing w:line="151" w:lineRule="exact"/>
              <w:ind w:left="399" w:right="0"/>
              <w:jc w:val="left"/>
              <w:rPr>
                <w:rFonts w:ascii="宋体" w:hAnsi="宋体" w:cs="宋体" w:eastAsia="宋体" w:hint="default"/>
                <w:sz w:val="15"/>
                <w:szCs w:val="15"/>
              </w:rPr>
            </w:pPr>
            <w:r>
              <w:rPr>
                <w:rFonts w:ascii="宋体" w:hAnsi="宋体" w:cs="宋体" w:eastAsia="宋体" w:hint="default"/>
                <w:b/>
                <w:bCs/>
                <w:sz w:val="15"/>
                <w:szCs w:val="15"/>
              </w:rPr>
              <w:t>所有者权益中所享有份额后的余额（万元）</w:t>
            </w:r>
            <w:r>
              <w:rPr>
                <w:rFonts w:ascii="宋体" w:hAnsi="宋体" w:cs="宋体" w:eastAsia="宋体" w:hint="default"/>
                <w:sz w:val="15"/>
                <w:szCs w:val="15"/>
              </w:rPr>
            </w:r>
          </w:p>
        </w:tc>
      </w:tr>
      <w:tr>
        <w:trPr>
          <w:trHeight w:val="502" w:hRule="exact"/>
        </w:trPr>
        <w:tc>
          <w:tcPr>
            <w:tcW w:w="1354" w:type="dxa"/>
            <w:tcBorders>
              <w:top w:val="single" w:sz="4" w:space="0" w:color="000000"/>
              <w:left w:val="nil" w:sz="6" w:space="0" w:color="auto"/>
              <w:bottom w:val="nil" w:sz="6" w:space="0" w:color="auto"/>
              <w:right w:val="nil" w:sz="6" w:space="0" w:color="auto"/>
            </w:tcBorders>
          </w:tcPr>
          <w:p>
            <w:pPr/>
          </w:p>
        </w:tc>
        <w:tc>
          <w:tcPr>
            <w:tcW w:w="75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57" w:right="0"/>
              <w:jc w:val="left"/>
              <w:rPr>
                <w:rFonts w:ascii="Times New Roman" w:hAnsi="Times New Roman" w:cs="Times New Roman" w:eastAsia="Times New Roman" w:hint="default"/>
                <w:sz w:val="15"/>
                <w:szCs w:val="15"/>
              </w:rPr>
            </w:pPr>
            <w:r>
              <w:rPr>
                <w:rFonts w:ascii="Times New Roman"/>
                <w:sz w:val="15"/>
              </w:rPr>
              <w:t>100</w:t>
            </w:r>
          </w:p>
        </w:tc>
        <w:tc>
          <w:tcPr>
            <w:tcW w:w="8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single" w:sz="4" w:space="0" w:color="000000"/>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
        </w:tc>
        <w:tc>
          <w:tcPr>
            <w:tcW w:w="333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left="257" w:right="0"/>
              <w:jc w:val="left"/>
              <w:rPr>
                <w:rFonts w:ascii="Times New Roman" w:hAnsi="Times New Roman" w:cs="Times New Roman" w:eastAsia="Times New Roman" w:hint="default"/>
                <w:sz w:val="15"/>
                <w:szCs w:val="15"/>
              </w:rPr>
            </w:pPr>
            <w:r>
              <w:rPr>
                <w:rFonts w:ascii="Times New Roman"/>
                <w:sz w:val="15"/>
              </w:rPr>
              <w:t>100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439"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57" w:right="0"/>
              <w:jc w:val="left"/>
              <w:rPr>
                <w:rFonts w:ascii="Times New Roman" w:hAnsi="Times New Roman" w:cs="Times New Roman" w:eastAsia="Times New Roman" w:hint="default"/>
                <w:sz w:val="15"/>
                <w:szCs w:val="15"/>
              </w:rPr>
            </w:pPr>
            <w:r>
              <w:rPr>
                <w:rFonts w:ascii="Times New Roman"/>
                <w:sz w:val="15"/>
              </w:rPr>
              <w:t>100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441"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60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96" w:right="0"/>
              <w:jc w:val="left"/>
              <w:rPr>
                <w:rFonts w:ascii="Times New Roman" w:hAnsi="Times New Roman" w:cs="Times New Roman" w:eastAsia="Times New Roman" w:hint="default"/>
                <w:sz w:val="15"/>
                <w:szCs w:val="15"/>
              </w:rPr>
            </w:pPr>
            <w:r>
              <w:rPr>
                <w:rFonts w:ascii="Times New Roman"/>
                <w:sz w:val="15"/>
              </w:rPr>
              <w:t>60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1,559,251.36</w:t>
            </w: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441"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70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296" w:right="0"/>
              <w:jc w:val="left"/>
              <w:rPr>
                <w:rFonts w:ascii="Times New Roman" w:hAnsi="Times New Roman" w:cs="Times New Roman" w:eastAsia="Times New Roman" w:hint="default"/>
                <w:sz w:val="15"/>
                <w:szCs w:val="15"/>
              </w:rPr>
            </w:pPr>
            <w:r>
              <w:rPr>
                <w:rFonts w:ascii="Times New Roman"/>
                <w:sz w:val="15"/>
              </w:rPr>
              <w:t>70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1,186,720.22</w:t>
            </w: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439"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51</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96" w:right="0"/>
              <w:jc w:val="left"/>
              <w:rPr>
                <w:rFonts w:ascii="Times New Roman" w:hAnsi="Times New Roman" w:cs="Times New Roman" w:eastAsia="Times New Roman" w:hint="default"/>
                <w:sz w:val="15"/>
                <w:szCs w:val="15"/>
              </w:rPr>
            </w:pPr>
            <w:r>
              <w:rPr>
                <w:rFonts w:ascii="Times New Roman"/>
                <w:sz w:val="15"/>
              </w:rPr>
              <w:t>51</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3,799,479.03</w:t>
            </w: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440"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96.77</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96.77</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328,691.71</w:t>
            </w: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440" w:hRule="exact"/>
        </w:trPr>
        <w:tc>
          <w:tcPr>
            <w:tcW w:w="135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86.67</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86.76</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7"/>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269,415.67</w:t>
            </w: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r>
        <w:trPr>
          <w:trHeight w:val="399"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751"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7,143,557.99</w:t>
            </w:r>
            <w:r>
              <w:rPr>
                <w:rFonts w:ascii="Times New Roman"/>
                <w:sz w:val="15"/>
              </w:rPr>
            </w:r>
          </w:p>
        </w:tc>
        <w:tc>
          <w:tcPr>
            <w:tcW w:w="107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22"/>
          <w:szCs w:val="22"/>
        </w:rPr>
      </w:pPr>
    </w:p>
    <w:p>
      <w:pPr>
        <w:pStyle w:val="BodyText"/>
        <w:spacing w:line="240" w:lineRule="auto" w:before="44"/>
        <w:ind w:left="573" w:right="5558"/>
        <w:jc w:val="left"/>
      </w:pPr>
      <w:r>
        <w:rPr>
          <w:rFonts w:ascii="Times New Roman" w:hAnsi="Times New Roman" w:cs="Times New Roman" w:eastAsia="Times New Roman" w:hint="default"/>
        </w:rPr>
        <w:t>2</w:t>
      </w:r>
      <w:r>
        <w:rPr/>
        <w:t>、同一控制下企业合并取得的子公司</w:t>
      </w:r>
    </w:p>
    <w:p>
      <w:pPr>
        <w:spacing w:line="240" w:lineRule="auto" w:before="8"/>
        <w:rPr>
          <w:rFonts w:ascii="宋体" w:hAnsi="宋体" w:cs="宋体" w:eastAsia="宋体" w:hint="default"/>
          <w:sz w:val="29"/>
          <w:szCs w:val="29"/>
        </w:rPr>
      </w:pPr>
    </w:p>
    <w:tbl>
      <w:tblPr>
        <w:tblW w:w="0" w:type="auto"/>
        <w:jc w:val="left"/>
        <w:tblInd w:w="182" w:type="dxa"/>
        <w:tblLayout w:type="fixed"/>
        <w:tblCellMar>
          <w:top w:w="0" w:type="dxa"/>
          <w:left w:w="0" w:type="dxa"/>
          <w:bottom w:w="0" w:type="dxa"/>
          <w:right w:w="0" w:type="dxa"/>
        </w:tblCellMar>
        <w:tblLook w:val="01E0"/>
      </w:tblPr>
      <w:tblGrid>
        <w:gridCol w:w="1488"/>
        <w:gridCol w:w="1384"/>
        <w:gridCol w:w="917"/>
        <w:gridCol w:w="1024"/>
        <w:gridCol w:w="865"/>
        <w:gridCol w:w="2505"/>
        <w:gridCol w:w="1518"/>
      </w:tblGrid>
      <w:tr>
        <w:trPr>
          <w:trHeight w:val="649" w:hRule="exact"/>
        </w:trPr>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7"/>
              <w:jc w:val="right"/>
              <w:rPr>
                <w:rFonts w:ascii="宋体" w:hAnsi="宋体" w:cs="宋体" w:eastAsia="宋体" w:hint="default"/>
                <w:sz w:val="15"/>
                <w:szCs w:val="15"/>
              </w:rPr>
            </w:pPr>
            <w:r>
              <w:rPr>
                <w:rFonts w:ascii="宋体" w:hAnsi="宋体" w:cs="宋体" w:eastAsia="宋体" w:hint="default"/>
                <w:b/>
                <w:bCs/>
                <w:sz w:val="15"/>
                <w:szCs w:val="15"/>
              </w:rPr>
              <w:t>子公司类型</w:t>
            </w:r>
            <w:r>
              <w:rPr>
                <w:rFonts w:ascii="宋体" w:hAnsi="宋体" w:cs="宋体" w:eastAsia="宋体" w:hint="default"/>
                <w:sz w:val="15"/>
                <w:szCs w:val="15"/>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80"/>
              <w:jc w:val="right"/>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865" w:type="dxa"/>
            <w:tcBorders>
              <w:top w:val="nil" w:sz="6" w:space="0" w:color="auto"/>
              <w:left w:val="nil" w:sz="6" w:space="0" w:color="auto"/>
              <w:bottom w:val="single" w:sz="4" w:space="0" w:color="000000"/>
              <w:right w:val="nil" w:sz="6" w:space="0" w:color="auto"/>
            </w:tcBorders>
          </w:tcPr>
          <w:p>
            <w:pPr>
              <w:pStyle w:val="TableParagraph"/>
              <w:spacing w:line="170" w:lineRule="exact"/>
              <w:ind w:left="182"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25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6"/>
              <w:jc w:val="center"/>
              <w:rPr>
                <w:rFonts w:ascii="宋体" w:hAnsi="宋体" w:cs="宋体" w:eastAsia="宋体" w:hint="default"/>
                <w:sz w:val="15"/>
                <w:szCs w:val="15"/>
              </w:rPr>
            </w:pPr>
            <w:r>
              <w:rPr>
                <w:rFonts w:ascii="宋体" w:hAnsi="宋体" w:cs="宋体" w:eastAsia="宋体" w:hint="default"/>
                <w:b/>
                <w:bCs/>
                <w:sz w:val="15"/>
                <w:szCs w:val="15"/>
              </w:rPr>
              <w:t>经营范围</w:t>
            </w:r>
            <w:r>
              <w:rPr>
                <w:rFonts w:ascii="宋体" w:hAnsi="宋体" w:cs="宋体" w:eastAsia="宋体" w:hint="default"/>
                <w:sz w:val="15"/>
                <w:szCs w:val="15"/>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151" w:lineRule="exact"/>
              <w:ind w:right="113"/>
              <w:jc w:val="center"/>
              <w:rPr>
                <w:rFonts w:ascii="宋体" w:hAnsi="宋体" w:cs="宋体" w:eastAsia="宋体" w:hint="default"/>
                <w:sz w:val="15"/>
                <w:szCs w:val="15"/>
              </w:rPr>
            </w:pPr>
            <w:r>
              <w:rPr>
                <w:rFonts w:ascii="宋体" w:hAnsi="宋体" w:cs="宋体" w:eastAsia="宋体" w:hint="default"/>
                <w:b/>
                <w:bCs/>
                <w:sz w:val="15"/>
                <w:szCs w:val="15"/>
              </w:rPr>
              <w:t>期末实际出资额</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3"/>
              <w:jc w:val="center"/>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r>
      <w:tr>
        <w:trPr>
          <w:trHeight w:val="712" w:hRule="exact"/>
        </w:trPr>
        <w:tc>
          <w:tcPr>
            <w:tcW w:w="1488" w:type="dxa"/>
            <w:tcBorders>
              <w:top w:val="single" w:sz="4" w:space="0" w:color="000000"/>
              <w:left w:val="nil" w:sz="6" w:space="0" w:color="auto"/>
              <w:bottom w:val="nil" w:sz="6" w:space="0" w:color="auto"/>
              <w:right w:val="nil" w:sz="6" w:space="0" w:color="auto"/>
            </w:tcBorders>
          </w:tcPr>
          <w:p>
            <w:pPr>
              <w:pStyle w:val="TableParagraph"/>
              <w:spacing w:line="360" w:lineRule="exact" w:before="38"/>
              <w:ind w:left="31" w:right="101"/>
              <w:jc w:val="left"/>
              <w:rPr>
                <w:rFonts w:ascii="宋体" w:hAnsi="宋体" w:cs="宋体" w:eastAsia="宋体" w:hint="default"/>
                <w:sz w:val="15"/>
                <w:szCs w:val="15"/>
              </w:rPr>
            </w:pPr>
            <w:r>
              <w:rPr>
                <w:rFonts w:ascii="宋体" w:hAnsi="宋体" w:cs="宋体" w:eastAsia="宋体" w:hint="default"/>
                <w:spacing w:val="-1"/>
                <w:sz w:val="15"/>
                <w:szCs w:val="15"/>
              </w:rPr>
              <w:t>怀化天舟教育有限责</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任公司</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25"/>
              <w:jc w:val="right"/>
              <w:rPr>
                <w:rFonts w:ascii="宋体" w:hAnsi="宋体" w:cs="宋体" w:eastAsia="宋体" w:hint="default"/>
                <w:sz w:val="15"/>
                <w:szCs w:val="15"/>
              </w:rPr>
            </w:pPr>
            <w:r>
              <w:rPr>
                <w:rFonts w:ascii="宋体" w:hAnsi="宋体" w:cs="宋体" w:eastAsia="宋体" w:hint="default"/>
                <w:spacing w:val="-1"/>
                <w:sz w:val="15"/>
                <w:szCs w:val="15"/>
              </w:rPr>
              <w:t>境内非金融公司</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怀化市</w:t>
            </w: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3"/>
              <w:jc w:val="right"/>
              <w:rPr>
                <w:rFonts w:ascii="宋体" w:hAnsi="宋体" w:cs="宋体" w:eastAsia="宋体" w:hint="default"/>
                <w:sz w:val="15"/>
                <w:szCs w:val="15"/>
              </w:rPr>
            </w:pPr>
            <w:r>
              <w:rPr>
                <w:rFonts w:ascii="宋体" w:hAnsi="宋体" w:cs="宋体" w:eastAsia="宋体" w:hint="default"/>
                <w:spacing w:val="-1"/>
                <w:sz w:val="15"/>
                <w:szCs w:val="15"/>
              </w:rPr>
              <w:t>图书销售</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72" w:right="0"/>
              <w:jc w:val="left"/>
              <w:rPr>
                <w:rFonts w:ascii="Times New Roman" w:hAnsi="Times New Roman" w:cs="Times New Roman" w:eastAsia="Times New Roman" w:hint="default"/>
                <w:sz w:val="15"/>
                <w:szCs w:val="15"/>
              </w:rPr>
            </w:pPr>
            <w:r>
              <w:rPr>
                <w:rFonts w:ascii="Times New Roman"/>
                <w:sz w:val="15"/>
              </w:rPr>
              <w:t>500</w:t>
            </w:r>
          </w:p>
        </w:tc>
        <w:tc>
          <w:tcPr>
            <w:tcW w:w="2505" w:type="dxa"/>
            <w:tcBorders>
              <w:top w:val="single" w:sz="4" w:space="0" w:color="000000"/>
              <w:left w:val="nil" w:sz="6" w:space="0" w:color="auto"/>
              <w:bottom w:val="nil" w:sz="6" w:space="0" w:color="auto"/>
              <w:right w:val="nil" w:sz="6" w:space="0" w:color="auto"/>
            </w:tcBorders>
          </w:tcPr>
          <w:p>
            <w:pPr>
              <w:pStyle w:val="TableParagraph"/>
              <w:spacing w:line="360" w:lineRule="exact" w:before="38"/>
              <w:ind w:left="77" w:right="171"/>
              <w:jc w:val="left"/>
              <w:rPr>
                <w:rFonts w:ascii="宋体" w:hAnsi="宋体" w:cs="宋体" w:eastAsia="宋体" w:hint="default"/>
                <w:sz w:val="15"/>
                <w:szCs w:val="15"/>
              </w:rPr>
            </w:pPr>
            <w:r>
              <w:rPr>
                <w:rFonts w:ascii="宋体" w:hAnsi="宋体" w:cs="宋体" w:eastAsia="宋体" w:hint="default"/>
                <w:spacing w:val="-2"/>
                <w:sz w:val="15"/>
                <w:szCs w:val="15"/>
              </w:rPr>
              <w:t>出版物批发；文化用品、纸张的销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售；文化项目策划。</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92" w:right="0"/>
              <w:jc w:val="left"/>
              <w:rPr>
                <w:rFonts w:ascii="Times New Roman" w:hAnsi="Times New Roman" w:cs="Times New Roman" w:eastAsia="Times New Roman" w:hint="default"/>
                <w:sz w:val="15"/>
                <w:szCs w:val="15"/>
              </w:rPr>
            </w:pPr>
            <w:r>
              <w:rPr>
                <w:rFonts w:ascii="Times New Roman"/>
                <w:sz w:val="15"/>
              </w:rPr>
              <w:t>569.30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73" w:right="5558"/>
        <w:jc w:val="left"/>
      </w:pPr>
      <w:r>
        <w:rPr/>
        <w:t>续上表：</w:t>
      </w:r>
    </w:p>
    <w:p>
      <w:pPr>
        <w:spacing w:after="0" w:line="240" w:lineRule="auto"/>
        <w:jc w:val="left"/>
        <w:sectPr>
          <w:type w:val="continuous"/>
          <w:pgSz w:w="11910" w:h="16840"/>
          <w:pgMar w:top="1100" w:bottom="118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82" w:type="dxa"/>
        <w:tblLayout w:type="fixed"/>
        <w:tblCellMar>
          <w:top w:w="0" w:type="dxa"/>
          <w:left w:w="0" w:type="dxa"/>
          <w:bottom w:w="0" w:type="dxa"/>
          <w:right w:w="0" w:type="dxa"/>
        </w:tblCellMar>
        <w:tblLook w:val="01E0"/>
      </w:tblPr>
      <w:tblGrid>
        <w:gridCol w:w="1572"/>
        <w:gridCol w:w="792"/>
        <w:gridCol w:w="838"/>
        <w:gridCol w:w="724"/>
        <w:gridCol w:w="1010"/>
        <w:gridCol w:w="1468"/>
        <w:gridCol w:w="3297"/>
      </w:tblGrid>
      <w:tr>
        <w:trPr>
          <w:trHeight w:val="1009" w:hRule="exact"/>
        </w:trPr>
        <w:tc>
          <w:tcPr>
            <w:tcW w:w="1572" w:type="dxa"/>
            <w:tcBorders>
              <w:top w:val="nil" w:sz="6" w:space="0" w:color="auto"/>
              <w:left w:val="nil" w:sz="6" w:space="0" w:color="auto"/>
              <w:bottom w:val="single" w:sz="4" w:space="0" w:color="000000"/>
              <w:right w:val="nil" w:sz="6" w:space="0" w:color="auto"/>
            </w:tcBorders>
          </w:tcPr>
          <w:p>
            <w:pPr>
              <w:pStyle w:val="TableParagraph"/>
              <w:spacing w:line="151"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实质上构成对子公司净</w:t>
            </w:r>
            <w:r>
              <w:rPr>
                <w:rFonts w:ascii="宋体" w:hAnsi="宋体" w:cs="宋体" w:eastAsia="宋体" w:hint="default"/>
                <w:sz w:val="15"/>
                <w:szCs w:val="15"/>
              </w:rPr>
            </w:r>
          </w:p>
          <w:p>
            <w:pPr>
              <w:pStyle w:val="TableParagraph"/>
              <w:spacing w:line="398" w:lineRule="exact" w:before="21"/>
              <w:ind w:left="408" w:right="405"/>
              <w:jc w:val="center"/>
              <w:rPr>
                <w:rFonts w:ascii="宋体" w:hAnsi="宋体" w:cs="宋体" w:eastAsia="宋体" w:hint="default"/>
                <w:sz w:val="15"/>
                <w:szCs w:val="15"/>
              </w:rPr>
            </w:pPr>
            <w:r>
              <w:rPr>
                <w:rFonts w:ascii="宋体" w:hAnsi="宋体" w:cs="宋体" w:eastAsia="宋体" w:hint="default"/>
                <w:b/>
                <w:bCs/>
                <w:sz w:val="15"/>
                <w:szCs w:val="15"/>
              </w:rPr>
              <w:t>投资的其他</w:t>
            </w:r>
            <w:r>
              <w:rPr>
                <w:rFonts w:ascii="宋体" w:hAnsi="宋体" w:cs="宋体" w:eastAsia="宋体" w:hint="default"/>
                <w:b/>
                <w:bCs/>
                <w:w w:val="100"/>
                <w:sz w:val="15"/>
                <w:szCs w:val="15"/>
              </w:rPr>
              <w:t> </w:t>
            </w:r>
            <w:r>
              <w:rPr>
                <w:rFonts w:ascii="宋体" w:hAnsi="宋体" w:cs="宋体" w:eastAsia="宋体" w:hint="default"/>
                <w:b/>
                <w:bCs/>
                <w:sz w:val="15"/>
                <w:szCs w:val="15"/>
              </w:rPr>
              <w:t>项目余额</w:t>
            </w:r>
            <w:r>
              <w:rPr>
                <w:rFonts w:ascii="宋体" w:hAnsi="宋体" w:cs="宋体" w:eastAsia="宋体" w:hint="default"/>
                <w:sz w:val="15"/>
                <w:szCs w:val="15"/>
              </w:rPr>
            </w:r>
          </w:p>
        </w:tc>
        <w:tc>
          <w:tcPr>
            <w:tcW w:w="792" w:type="dxa"/>
            <w:tcBorders>
              <w:top w:val="nil" w:sz="6" w:space="0" w:color="auto"/>
              <w:left w:val="nil" w:sz="6" w:space="0" w:color="auto"/>
              <w:bottom w:val="single" w:sz="4" w:space="0" w:color="000000"/>
              <w:right w:val="nil" w:sz="6" w:space="0" w:color="auto"/>
            </w:tcBorders>
          </w:tcPr>
          <w:p>
            <w:pPr>
              <w:pStyle w:val="TableParagraph"/>
              <w:spacing w:line="487" w:lineRule="auto" w:before="135"/>
              <w:ind w:left="31" w:right="15" w:firstLine="182"/>
              <w:jc w:val="left"/>
              <w:rPr>
                <w:rFonts w:ascii="宋体" w:hAnsi="宋体" w:cs="宋体" w:eastAsia="宋体" w:hint="default"/>
                <w:sz w:val="15"/>
                <w:szCs w:val="15"/>
              </w:rPr>
            </w:pPr>
            <w:r>
              <w:rPr>
                <w:rFonts w:ascii="宋体" w:hAnsi="宋体" w:cs="宋体" w:eastAsia="宋体" w:hint="default"/>
                <w:b/>
                <w:bCs/>
                <w:sz w:val="15"/>
                <w:szCs w:val="15"/>
              </w:rPr>
              <w:t>持股</w:t>
            </w:r>
            <w:r>
              <w:rPr>
                <w:rFonts w:ascii="宋体" w:hAnsi="宋体" w:cs="宋体" w:eastAsia="宋体" w:hint="default"/>
                <w:b/>
                <w:bCs/>
                <w:w w:val="100"/>
                <w:sz w:val="15"/>
                <w:szCs w:val="15"/>
              </w:rPr>
              <w:t> </w:t>
            </w:r>
            <w:r>
              <w:rPr>
                <w:rFonts w:ascii="宋体" w:hAnsi="宋体" w:cs="宋体" w:eastAsia="宋体" w:hint="default"/>
                <w:b/>
                <w:bCs/>
                <w:spacing w:val="-3"/>
                <w:sz w:val="15"/>
                <w:szCs w:val="15"/>
              </w:rPr>
              <w:t>比例（</w:t>
            </w:r>
            <w:r>
              <w:rPr>
                <w:rFonts w:ascii="Times New Roman" w:hAnsi="Times New Roman" w:cs="Times New Roman" w:eastAsia="Times New Roman" w:hint="default"/>
                <w:b/>
                <w:bCs/>
                <w:spacing w:val="-3"/>
                <w:sz w:val="15"/>
                <w:szCs w:val="15"/>
              </w:rPr>
              <w:t>%</w:t>
            </w:r>
            <w:r>
              <w:rPr>
                <w:rFonts w:ascii="宋体" w:hAnsi="宋体" w:cs="宋体" w:eastAsia="宋体" w:hint="default"/>
                <w:b/>
                <w:bCs/>
                <w:spacing w:val="-3"/>
                <w:sz w:val="15"/>
                <w:szCs w:val="15"/>
              </w:rPr>
              <w:t>）</w:t>
            </w:r>
            <w:r>
              <w:rPr>
                <w:rFonts w:ascii="宋体" w:hAnsi="宋体" w:cs="宋体" w:eastAsia="宋体" w:hint="default"/>
                <w:spacing w:val="-3"/>
                <w:sz w:val="15"/>
                <w:szCs w:val="15"/>
              </w:rPr>
            </w:r>
          </w:p>
        </w:tc>
        <w:tc>
          <w:tcPr>
            <w:tcW w:w="838" w:type="dxa"/>
            <w:tcBorders>
              <w:top w:val="nil" w:sz="6" w:space="0" w:color="auto"/>
              <w:left w:val="nil" w:sz="6" w:space="0" w:color="auto"/>
              <w:bottom w:val="single" w:sz="4" w:space="0" w:color="000000"/>
              <w:right w:val="nil" w:sz="6" w:space="0" w:color="auto"/>
            </w:tcBorders>
          </w:tcPr>
          <w:p>
            <w:pPr>
              <w:pStyle w:val="TableParagraph"/>
              <w:spacing w:line="487" w:lineRule="auto" w:before="135"/>
              <w:ind w:left="17" w:right="62" w:firstLine="151"/>
              <w:jc w:val="left"/>
              <w:rPr>
                <w:rFonts w:ascii="宋体" w:hAnsi="宋体" w:cs="宋体" w:eastAsia="宋体" w:hint="default"/>
                <w:sz w:val="15"/>
                <w:szCs w:val="15"/>
              </w:rPr>
            </w:pPr>
            <w:r>
              <w:rPr>
                <w:rFonts w:ascii="宋体" w:hAnsi="宋体" w:cs="宋体" w:eastAsia="宋体" w:hint="default"/>
                <w:b/>
                <w:bCs/>
                <w:sz w:val="15"/>
                <w:szCs w:val="15"/>
              </w:rPr>
              <w:t>表决权</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7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39" w:lineRule="auto"/>
              <w:ind w:left="215" w:right="53" w:hanging="152"/>
              <w:jc w:val="left"/>
              <w:rPr>
                <w:rFonts w:ascii="宋体" w:hAnsi="宋体" w:cs="宋体" w:eastAsia="宋体" w:hint="default"/>
                <w:sz w:val="15"/>
                <w:szCs w:val="15"/>
              </w:rPr>
            </w:pPr>
            <w:r>
              <w:rPr>
                <w:rFonts w:ascii="宋体" w:hAnsi="宋体" w:cs="宋体" w:eastAsia="宋体" w:hint="default"/>
                <w:b/>
                <w:bCs/>
                <w:sz w:val="15"/>
                <w:szCs w:val="15"/>
              </w:rPr>
              <w:t>是否合并</w:t>
            </w:r>
            <w:r>
              <w:rPr>
                <w:rFonts w:ascii="宋体" w:hAnsi="宋体" w:cs="宋体" w:eastAsia="宋体" w:hint="default"/>
                <w:b/>
                <w:bCs/>
                <w:spacing w:val="-74"/>
                <w:sz w:val="15"/>
                <w:szCs w:val="15"/>
              </w:rPr>
              <w:t> </w:t>
            </w:r>
            <w:r>
              <w:rPr>
                <w:rFonts w:ascii="宋体" w:hAnsi="宋体" w:cs="宋体" w:eastAsia="宋体" w:hint="default"/>
                <w:b/>
                <w:bCs/>
                <w:sz w:val="15"/>
                <w:szCs w:val="15"/>
              </w:rPr>
              <w:t>报表</w:t>
            </w:r>
            <w:r>
              <w:rPr>
                <w:rFonts w:ascii="宋体" w:hAnsi="宋体" w:cs="宋体" w:eastAsia="宋体" w:hint="default"/>
                <w:sz w:val="15"/>
                <w:szCs w:val="15"/>
              </w:rPr>
            </w: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39" w:lineRule="auto"/>
              <w:ind w:left="428" w:right="48" w:hanging="375"/>
              <w:jc w:val="left"/>
              <w:rPr>
                <w:rFonts w:ascii="宋体" w:hAnsi="宋体" w:cs="宋体" w:eastAsia="宋体" w:hint="default"/>
                <w:sz w:val="15"/>
                <w:szCs w:val="15"/>
              </w:rPr>
            </w:pPr>
            <w:r>
              <w:rPr>
                <w:rFonts w:ascii="宋体" w:hAnsi="宋体" w:cs="宋体" w:eastAsia="宋体" w:hint="default"/>
                <w:b/>
                <w:bCs/>
                <w:sz w:val="15"/>
                <w:szCs w:val="15"/>
              </w:rPr>
              <w:t>少数股东</w:t>
            </w:r>
            <w:r>
              <w:rPr>
                <w:rFonts w:ascii="宋体" w:hAnsi="宋体" w:cs="宋体" w:eastAsia="宋体" w:hint="default"/>
                <w:b/>
                <w:bCs/>
                <w:spacing w:val="1"/>
                <w:sz w:val="15"/>
                <w:szCs w:val="15"/>
              </w:rPr>
              <w:t> </w:t>
            </w:r>
            <w:r>
              <w:rPr>
                <w:rFonts w:ascii="宋体" w:hAnsi="宋体" w:cs="宋体" w:eastAsia="宋体" w:hint="default"/>
                <w:b/>
                <w:bCs/>
                <w:sz w:val="15"/>
                <w:szCs w:val="15"/>
              </w:rPr>
              <w:t>权</w:t>
            </w:r>
            <w:r>
              <w:rPr>
                <w:rFonts w:ascii="宋体" w:hAnsi="宋体" w:cs="宋体" w:eastAsia="宋体" w:hint="default"/>
                <w:b/>
                <w:bCs/>
                <w:w w:val="100"/>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170" w:lineRule="exact"/>
              <w:ind w:left="88" w:right="0" w:hanging="39"/>
              <w:jc w:val="left"/>
              <w:rPr>
                <w:rFonts w:ascii="宋体" w:hAnsi="宋体" w:cs="宋体" w:eastAsia="宋体" w:hint="default"/>
                <w:sz w:val="15"/>
                <w:szCs w:val="15"/>
              </w:rPr>
            </w:pPr>
            <w:r>
              <w:rPr>
                <w:rFonts w:ascii="宋体" w:hAnsi="宋体" w:cs="宋体" w:eastAsia="宋体" w:hint="default"/>
                <w:b/>
                <w:bCs/>
                <w:sz w:val="15"/>
                <w:szCs w:val="15"/>
              </w:rPr>
              <w:t>少数股东权益中用于</w:t>
            </w:r>
            <w:r>
              <w:rPr>
                <w:rFonts w:ascii="宋体" w:hAnsi="宋体" w:cs="宋体" w:eastAsia="宋体" w:hint="default"/>
                <w:sz w:val="15"/>
                <w:szCs w:val="15"/>
              </w:rPr>
            </w:r>
          </w:p>
          <w:p>
            <w:pPr>
              <w:pStyle w:val="TableParagraph"/>
              <w:spacing w:line="240" w:lineRule="auto" w:before="9"/>
              <w:ind w:right="0"/>
              <w:jc w:val="left"/>
              <w:rPr>
                <w:rFonts w:ascii="宋体" w:hAnsi="宋体" w:cs="宋体" w:eastAsia="宋体" w:hint="default"/>
                <w:sz w:val="12"/>
                <w:szCs w:val="12"/>
              </w:rPr>
            </w:pPr>
          </w:p>
          <w:p>
            <w:pPr>
              <w:pStyle w:val="TableParagraph"/>
              <w:spacing w:line="436" w:lineRule="auto"/>
              <w:ind w:left="201" w:right="95" w:hanging="113"/>
              <w:jc w:val="left"/>
              <w:rPr>
                <w:rFonts w:ascii="宋体" w:hAnsi="宋体" w:cs="宋体" w:eastAsia="宋体" w:hint="default"/>
                <w:sz w:val="15"/>
                <w:szCs w:val="15"/>
              </w:rPr>
            </w:pPr>
            <w:r>
              <w:rPr>
                <w:rFonts w:ascii="宋体" w:hAnsi="宋体" w:cs="宋体" w:eastAsia="宋体" w:hint="default"/>
                <w:b/>
                <w:bCs/>
                <w:sz w:val="15"/>
                <w:szCs w:val="15"/>
              </w:rPr>
              <w:t>冲减少数股东</w:t>
            </w:r>
            <w:r>
              <w:rPr>
                <w:rFonts w:ascii="宋体" w:hAnsi="宋体" w:cs="宋体" w:eastAsia="宋体" w:hint="default"/>
                <w:b/>
                <w:bCs/>
                <w:spacing w:val="-1"/>
                <w:sz w:val="15"/>
                <w:szCs w:val="15"/>
              </w:rPr>
              <w:t> </w:t>
            </w:r>
            <w:r>
              <w:rPr>
                <w:rFonts w:ascii="宋体" w:hAnsi="宋体" w:cs="宋体" w:eastAsia="宋体" w:hint="default"/>
                <w:b/>
                <w:bCs/>
                <w:sz w:val="15"/>
                <w:szCs w:val="15"/>
              </w:rPr>
              <w:t>损益</w:t>
            </w:r>
            <w:r>
              <w:rPr>
                <w:rFonts w:ascii="宋体" w:hAnsi="宋体" w:cs="宋体" w:eastAsia="宋体" w:hint="default"/>
                <w:b/>
                <w:bCs/>
                <w:w w:val="100"/>
                <w:sz w:val="15"/>
                <w:szCs w:val="15"/>
              </w:rPr>
              <w:t> </w:t>
            </w:r>
            <w:r>
              <w:rPr>
                <w:rFonts w:ascii="宋体" w:hAnsi="宋体" w:cs="宋体" w:eastAsia="宋体" w:hint="default"/>
                <w:b/>
                <w:bCs/>
                <w:sz w:val="15"/>
                <w:szCs w:val="15"/>
              </w:rPr>
              <w:t>的金额（万元）</w:t>
            </w:r>
            <w:r>
              <w:rPr>
                <w:rFonts w:ascii="宋体" w:hAnsi="宋体" w:cs="宋体" w:eastAsia="宋体" w:hint="default"/>
                <w:sz w:val="15"/>
                <w:szCs w:val="15"/>
              </w:rPr>
            </w:r>
          </w:p>
        </w:tc>
        <w:tc>
          <w:tcPr>
            <w:tcW w:w="3297" w:type="dxa"/>
            <w:tcBorders>
              <w:top w:val="nil" w:sz="6" w:space="0" w:color="auto"/>
              <w:left w:val="nil" w:sz="6" w:space="0" w:color="auto"/>
              <w:bottom w:val="single" w:sz="4" w:space="0" w:color="000000"/>
              <w:right w:val="nil" w:sz="6" w:space="0" w:color="auto"/>
            </w:tcBorders>
          </w:tcPr>
          <w:p>
            <w:pPr>
              <w:pStyle w:val="TableParagraph"/>
              <w:spacing w:line="170" w:lineRule="exact"/>
              <w:ind w:left="58" w:right="0"/>
              <w:jc w:val="left"/>
              <w:rPr>
                <w:rFonts w:ascii="宋体" w:hAnsi="宋体" w:cs="宋体" w:eastAsia="宋体" w:hint="default"/>
                <w:sz w:val="15"/>
                <w:szCs w:val="15"/>
              </w:rPr>
            </w:pPr>
            <w:r>
              <w:rPr>
                <w:rFonts w:ascii="宋体" w:hAnsi="宋体" w:cs="宋体" w:eastAsia="宋体" w:hint="default"/>
                <w:b/>
                <w:bCs/>
                <w:sz w:val="15"/>
                <w:szCs w:val="15"/>
              </w:rPr>
              <w:t>从母公司所有者权益冲减子公司少数股东分担的</w:t>
            </w:r>
            <w:r>
              <w:rPr>
                <w:rFonts w:ascii="宋体" w:hAnsi="宋体" w:cs="宋体" w:eastAsia="宋体" w:hint="default"/>
                <w:sz w:val="15"/>
                <w:szCs w:val="15"/>
              </w:rPr>
            </w:r>
          </w:p>
          <w:p>
            <w:pPr>
              <w:pStyle w:val="TableParagraph"/>
              <w:spacing w:line="240" w:lineRule="auto" w:before="9"/>
              <w:ind w:right="0"/>
              <w:jc w:val="left"/>
              <w:rPr>
                <w:rFonts w:ascii="宋体" w:hAnsi="宋体" w:cs="宋体" w:eastAsia="宋体" w:hint="default"/>
                <w:sz w:val="12"/>
                <w:szCs w:val="12"/>
              </w:rPr>
            </w:pPr>
          </w:p>
          <w:p>
            <w:pPr>
              <w:pStyle w:val="TableParagraph"/>
              <w:spacing w:line="436" w:lineRule="auto"/>
              <w:ind w:left="510" w:right="71" w:hanging="452"/>
              <w:jc w:val="left"/>
              <w:rPr>
                <w:rFonts w:ascii="宋体" w:hAnsi="宋体" w:cs="宋体" w:eastAsia="宋体" w:hint="default"/>
                <w:sz w:val="15"/>
                <w:szCs w:val="15"/>
              </w:rPr>
            </w:pPr>
            <w:r>
              <w:rPr>
                <w:rFonts w:ascii="宋体" w:hAnsi="宋体" w:cs="宋体" w:eastAsia="宋体" w:hint="default"/>
                <w:b/>
                <w:bCs/>
                <w:spacing w:val="-1"/>
                <w:sz w:val="15"/>
                <w:szCs w:val="15"/>
              </w:rPr>
              <w:t>本期亏损超过少数股东在该子公司期初所有者权</w:t>
            </w:r>
            <w:r>
              <w:rPr>
                <w:rFonts w:ascii="宋体" w:hAnsi="宋体" w:cs="宋体" w:eastAsia="宋体" w:hint="default"/>
                <w:b/>
                <w:bCs/>
                <w:spacing w:val="-54"/>
                <w:sz w:val="15"/>
                <w:szCs w:val="15"/>
              </w:rPr>
              <w:t> </w:t>
            </w:r>
            <w:r>
              <w:rPr>
                <w:rFonts w:ascii="宋体" w:hAnsi="宋体" w:cs="宋体" w:eastAsia="宋体" w:hint="default"/>
                <w:b/>
                <w:bCs/>
                <w:spacing w:val="-54"/>
                <w:sz w:val="15"/>
                <w:szCs w:val="15"/>
              </w:rPr>
            </w:r>
            <w:r>
              <w:rPr>
                <w:rFonts w:ascii="宋体" w:hAnsi="宋体" w:cs="宋体" w:eastAsia="宋体" w:hint="default"/>
                <w:b/>
                <w:bCs/>
                <w:sz w:val="15"/>
                <w:szCs w:val="15"/>
              </w:rPr>
              <w:t>益中所享有份额后的余额（万元）</w:t>
            </w:r>
            <w:r>
              <w:rPr>
                <w:rFonts w:ascii="宋体" w:hAnsi="宋体" w:cs="宋体" w:eastAsia="宋体" w:hint="default"/>
                <w:sz w:val="15"/>
                <w:szCs w:val="15"/>
              </w:rPr>
            </w:r>
          </w:p>
        </w:tc>
      </w:tr>
      <w:tr>
        <w:trPr>
          <w:trHeight w:val="361" w:hRule="exact"/>
        </w:trPr>
        <w:tc>
          <w:tcPr>
            <w:tcW w:w="1572" w:type="dxa"/>
            <w:tcBorders>
              <w:top w:val="single" w:sz="4" w:space="0" w:color="000000"/>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15"/>
                <w:szCs w:val="15"/>
              </w:rPr>
            </w:pPr>
            <w:r>
              <w:rPr>
                <w:rFonts w:ascii="Times New Roman"/>
                <w:sz w:val="15"/>
              </w:rPr>
              <w:t>100</w:t>
            </w:r>
          </w:p>
        </w:tc>
        <w:tc>
          <w:tcPr>
            <w:tcW w:w="83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7"/>
              <w:jc w:val="center"/>
              <w:rPr>
                <w:rFonts w:ascii="Times New Roman" w:hAnsi="Times New Roman" w:cs="Times New Roman" w:eastAsia="Times New Roman" w:hint="default"/>
                <w:sz w:val="15"/>
                <w:szCs w:val="15"/>
              </w:rPr>
            </w:pPr>
            <w:r>
              <w:rPr>
                <w:rFonts w:ascii="Times New Roman"/>
                <w:sz w:val="15"/>
              </w:rPr>
              <w:t>100</w:t>
            </w:r>
          </w:p>
        </w:tc>
        <w:tc>
          <w:tcPr>
            <w:tcW w:w="72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8"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10" w:type="dxa"/>
            <w:tcBorders>
              <w:top w:val="single" w:sz="4" w:space="0" w:color="000000"/>
              <w:left w:val="nil" w:sz="6" w:space="0" w:color="auto"/>
              <w:bottom w:val="nil" w:sz="6" w:space="0" w:color="auto"/>
              <w:right w:val="nil" w:sz="6" w:space="0" w:color="auto"/>
            </w:tcBorders>
          </w:tcPr>
          <w:p>
            <w:pPr/>
          </w:p>
        </w:tc>
        <w:tc>
          <w:tcPr>
            <w:tcW w:w="1468" w:type="dxa"/>
            <w:tcBorders>
              <w:top w:val="single" w:sz="4" w:space="0" w:color="000000"/>
              <w:left w:val="nil" w:sz="6" w:space="0" w:color="auto"/>
              <w:bottom w:val="nil" w:sz="6" w:space="0" w:color="auto"/>
              <w:right w:val="nil" w:sz="6" w:space="0" w:color="auto"/>
            </w:tcBorders>
          </w:tcPr>
          <w:p>
            <w:pPr/>
          </w:p>
        </w:tc>
        <w:tc>
          <w:tcPr>
            <w:tcW w:w="3297" w:type="dxa"/>
            <w:tcBorders>
              <w:top w:val="single" w:sz="4"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8"/>
          <w:szCs w:val="28"/>
        </w:rPr>
      </w:pPr>
    </w:p>
    <w:p>
      <w:pPr>
        <w:pStyle w:val="Heading6"/>
        <w:spacing w:line="240" w:lineRule="auto"/>
        <w:ind w:right="0"/>
        <w:jc w:val="left"/>
      </w:pPr>
      <w:r>
        <w:rPr/>
        <w:t>（四）本期新纳入合并范围的子公司</w:t>
      </w:r>
    </w:p>
    <w:p>
      <w:pPr>
        <w:spacing w:line="240" w:lineRule="auto" w:before="4"/>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306"/>
        <w:gridCol w:w="2836"/>
        <w:gridCol w:w="2715"/>
      </w:tblGrid>
      <w:tr>
        <w:trPr>
          <w:trHeight w:val="279" w:hRule="exact"/>
        </w:trPr>
        <w:tc>
          <w:tcPr>
            <w:tcW w:w="4306" w:type="dxa"/>
            <w:tcBorders>
              <w:top w:val="nil" w:sz="6" w:space="0" w:color="auto"/>
              <w:left w:val="nil" w:sz="6" w:space="0" w:color="auto"/>
              <w:bottom w:val="single" w:sz="8" w:space="0" w:color="000000"/>
              <w:right w:val="nil" w:sz="6" w:space="0" w:color="auto"/>
            </w:tcBorders>
          </w:tcPr>
          <w:p>
            <w:pPr>
              <w:pStyle w:val="TableParagraph"/>
              <w:spacing w:line="180" w:lineRule="exact"/>
              <w:ind w:right="27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836" w:type="dxa"/>
            <w:tcBorders>
              <w:top w:val="nil" w:sz="6" w:space="0" w:color="auto"/>
              <w:left w:val="nil" w:sz="6" w:space="0" w:color="auto"/>
              <w:bottom w:val="single" w:sz="8" w:space="0" w:color="000000"/>
              <w:right w:val="nil" w:sz="6" w:space="0" w:color="auto"/>
            </w:tcBorders>
          </w:tcPr>
          <w:p>
            <w:pPr>
              <w:pStyle w:val="TableParagraph"/>
              <w:spacing w:line="180" w:lineRule="exact"/>
              <w:ind w:left="788"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715" w:type="dxa"/>
            <w:tcBorders>
              <w:top w:val="nil" w:sz="6" w:space="0" w:color="auto"/>
              <w:left w:val="nil" w:sz="6" w:space="0" w:color="auto"/>
              <w:bottom w:val="single" w:sz="8" w:space="0" w:color="000000"/>
              <w:right w:val="nil" w:sz="6" w:space="0" w:color="auto"/>
            </w:tcBorders>
          </w:tcPr>
          <w:p>
            <w:pPr>
              <w:pStyle w:val="TableParagraph"/>
              <w:spacing w:line="180" w:lineRule="exact"/>
              <w:ind w:left="864"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496" w:hRule="exact"/>
        </w:trPr>
        <w:tc>
          <w:tcPr>
            <w:tcW w:w="4306"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270"/>
              <w:jc w:val="center"/>
              <w:rPr>
                <w:rFonts w:ascii="宋体" w:hAnsi="宋体" w:cs="宋体" w:eastAsia="宋体" w:hint="default"/>
                <w:sz w:val="18"/>
                <w:szCs w:val="18"/>
              </w:rPr>
            </w:pPr>
            <w:r>
              <w:rPr>
                <w:rFonts w:ascii="宋体" w:hAnsi="宋体" w:cs="宋体" w:eastAsia="宋体" w:hint="default"/>
                <w:sz w:val="18"/>
                <w:szCs w:val="18"/>
              </w:rPr>
              <w:t>北京东方天舟教育科技有限责任公司</w:t>
            </w:r>
          </w:p>
        </w:tc>
        <w:tc>
          <w:tcPr>
            <w:tcW w:w="2836"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862"/>
              <w:jc w:val="right"/>
              <w:rPr>
                <w:rFonts w:ascii="Times New Roman" w:hAnsi="Times New Roman" w:cs="Times New Roman" w:eastAsia="Times New Roman" w:hint="default"/>
                <w:sz w:val="18"/>
                <w:szCs w:val="18"/>
              </w:rPr>
            </w:pPr>
            <w:r>
              <w:rPr>
                <w:rFonts w:ascii="Times New Roman"/>
                <w:spacing w:val="-1"/>
                <w:sz w:val="18"/>
              </w:rPr>
              <w:t>10,189,442.98</w:t>
            </w:r>
          </w:p>
        </w:tc>
        <w:tc>
          <w:tcPr>
            <w:tcW w:w="2715"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776"/>
              <w:jc w:val="right"/>
              <w:rPr>
                <w:rFonts w:ascii="Times New Roman" w:hAnsi="Times New Roman" w:cs="Times New Roman" w:eastAsia="Times New Roman" w:hint="default"/>
                <w:sz w:val="18"/>
                <w:szCs w:val="18"/>
              </w:rPr>
            </w:pPr>
            <w:r>
              <w:rPr>
                <w:rFonts w:ascii="Times New Roman"/>
                <w:spacing w:val="-1"/>
                <w:sz w:val="18"/>
              </w:rPr>
              <w:t>-5,310,557.02</w:t>
            </w:r>
          </w:p>
        </w:tc>
      </w:tr>
      <w:tr>
        <w:trPr>
          <w:trHeight w:val="315" w:hRule="exact"/>
        </w:trPr>
        <w:tc>
          <w:tcPr>
            <w:tcW w:w="43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0"/>
              <w:jc w:val="center"/>
              <w:rPr>
                <w:rFonts w:ascii="宋体" w:hAnsi="宋体" w:cs="宋体" w:eastAsia="宋体" w:hint="default"/>
                <w:sz w:val="18"/>
                <w:szCs w:val="18"/>
              </w:rPr>
            </w:pPr>
            <w:r>
              <w:rPr>
                <w:rFonts w:ascii="宋体" w:hAnsi="宋体" w:cs="宋体" w:eastAsia="宋体" w:hint="default"/>
                <w:sz w:val="18"/>
                <w:szCs w:val="18"/>
              </w:rPr>
              <w:t>云上森林信息技术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62"/>
              <w:jc w:val="right"/>
              <w:rPr>
                <w:rFonts w:ascii="Times New Roman" w:hAnsi="Times New Roman" w:cs="Times New Roman" w:eastAsia="Times New Roman" w:hint="default"/>
                <w:sz w:val="18"/>
                <w:szCs w:val="18"/>
              </w:rPr>
            </w:pPr>
            <w:r>
              <w:rPr>
                <w:rFonts w:ascii="Times New Roman"/>
                <w:spacing w:val="-1"/>
                <w:sz w:val="18"/>
              </w:rPr>
              <w:t>2,020,372.59</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5"/>
              <w:jc w:val="right"/>
              <w:rPr>
                <w:rFonts w:ascii="Times New Roman" w:hAnsi="Times New Roman" w:cs="Times New Roman" w:eastAsia="Times New Roman" w:hint="default"/>
                <w:sz w:val="18"/>
                <w:szCs w:val="18"/>
              </w:rPr>
            </w:pPr>
            <w:r>
              <w:rPr>
                <w:rFonts w:ascii="Times New Roman"/>
                <w:spacing w:val="-1"/>
                <w:sz w:val="18"/>
              </w:rPr>
              <w:t>-979,627.41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before="26"/>
        <w:ind w:left="213" w:right="0"/>
        <w:jc w:val="left"/>
        <w:rPr>
          <w:b w:val="0"/>
          <w:bCs w:val="0"/>
        </w:rPr>
      </w:pPr>
      <w:r>
        <w:rPr/>
        <w:t>七、合并财务报表主要项目注释</w:t>
      </w:r>
      <w:r>
        <w:rPr>
          <w:b w:val="0"/>
          <w:bCs w:val="0"/>
        </w:rPr>
      </w:r>
    </w:p>
    <w:p>
      <w:pPr>
        <w:spacing w:line="240" w:lineRule="auto" w:before="10"/>
        <w:rPr>
          <w:rFonts w:ascii="宋体" w:hAnsi="宋体" w:cs="宋体" w:eastAsia="宋体" w:hint="default"/>
          <w:b/>
          <w:bCs/>
          <w:sz w:val="31"/>
          <w:szCs w:val="31"/>
        </w:rPr>
      </w:pPr>
    </w:p>
    <w:p>
      <w:pPr>
        <w:pStyle w:val="BodyText"/>
        <w:spacing w:line="240" w:lineRule="auto"/>
        <w:ind w:left="573" w:right="0"/>
        <w:jc w:val="left"/>
      </w:pPr>
      <w:r>
        <w:rPr/>
        <w:t>说明</w:t>
      </w:r>
      <w:r>
        <w:rPr>
          <w:spacing w:val="-92"/>
        </w:rPr>
        <w:t>：</w:t>
      </w:r>
      <w:r>
        <w:rPr/>
        <w:t>“期初”指</w:t>
      </w:r>
      <w:r>
        <w:rPr>
          <w:spacing w:val="-1"/>
        </w:rPr>
        <w:t>“</w:t>
      </w:r>
      <w:r>
        <w:rPr>
          <w:rFonts w:ascii="Times New Roman" w:hAnsi="Times New Roman" w:cs="Times New Roman" w:eastAsia="Times New Roman" w:hint="default"/>
          <w:spacing w:val="1"/>
        </w:rPr>
        <w:t>2012</w:t>
      </w:r>
      <w:r>
        <w:rPr>
          <w:spacing w:val="-3"/>
        </w:rPr>
        <w:t>年</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2"/>
        </w:rPr>
        <w:t>1</w:t>
      </w:r>
      <w:r>
        <w:rPr/>
        <w:t>日</w:t>
      </w:r>
      <w:r>
        <w:rPr>
          <w:spacing w:val="-92"/>
        </w:rPr>
        <w:t>”，</w:t>
      </w:r>
      <w:r>
        <w:rPr/>
        <w:t>“期末”指“</w:t>
      </w:r>
      <w:r>
        <w:rPr>
          <w:rFonts w:ascii="Times New Roman" w:hAnsi="Times New Roman" w:cs="Times New Roman" w:eastAsia="Times New Roman" w:hint="default"/>
          <w:spacing w:val="1"/>
        </w:rPr>
        <w:t>2012</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w:t>
      </w:r>
      <w:r>
        <w:rPr>
          <w:spacing w:val="-92"/>
        </w:rPr>
        <w:t>”，</w:t>
      </w:r>
      <w:r>
        <w:rPr/>
        <w:t>“上期”指“</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t>年度</w:t>
      </w:r>
      <w:r>
        <w:rPr>
          <w:spacing w:val="-92"/>
        </w:rPr>
        <w:t>”，</w:t>
      </w:r>
      <w:r>
        <w:rPr/>
        <w:t>“本期”指“</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年度</w:t>
      </w:r>
      <w:r>
        <w:rPr>
          <w:spacing w:val="-94"/>
        </w:rPr>
        <w:t>”</w:t>
      </w:r>
      <w:r>
        <w:rPr/>
        <w:t>。</w:t>
      </w:r>
    </w:p>
    <w:p>
      <w:pPr>
        <w:spacing w:line="240" w:lineRule="auto" w:before="7"/>
        <w:rPr>
          <w:rFonts w:ascii="宋体" w:hAnsi="宋体" w:cs="宋体" w:eastAsia="宋体" w:hint="default"/>
          <w:sz w:val="24"/>
          <w:szCs w:val="24"/>
        </w:rPr>
      </w:pPr>
    </w:p>
    <w:p>
      <w:pPr>
        <w:pStyle w:val="Heading5"/>
        <w:spacing w:line="240" w:lineRule="auto"/>
        <w:ind w:left="213"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8"/>
        <w:tabs>
          <w:tab w:pos="5902" w:val="left" w:leader="none"/>
        </w:tabs>
        <w:spacing w:line="228" w:lineRule="exact"/>
        <w:ind w:left="1878" w:right="0"/>
        <w:jc w:val="center"/>
        <w:rPr>
          <w:b w:val="0"/>
          <w:bCs w:val="0"/>
        </w:rPr>
      </w:pPr>
      <w:r>
        <w:rPr>
          <w:w w:val="95"/>
        </w:rPr>
        <w:t>期末余额</w:t>
        <w:tab/>
      </w:r>
      <w:r>
        <w:rPr/>
        <w:t>期初余额</w:t>
      </w:r>
      <w:r>
        <w:rPr>
          <w:b w:val="0"/>
          <w:bCs w:val="0"/>
        </w:rPr>
      </w:r>
    </w:p>
    <w:p>
      <w:pPr>
        <w:pStyle w:val="Heading8"/>
        <w:spacing w:line="221" w:lineRule="exact"/>
        <w:ind w:left="758" w:right="0"/>
        <w:jc w:val="left"/>
        <w:rPr>
          <w:b w:val="0"/>
          <w:bCs w:val="0"/>
        </w:rPr>
      </w:pPr>
      <w:r>
        <w:rPr/>
        <w:t>项</w:t>
      </w:r>
      <w:r>
        <w:rPr>
          <w:spacing w:val="89"/>
        </w:rPr>
        <w:t> </w:t>
      </w:r>
      <w:r>
        <w:rPr/>
        <w:t>目</w:t>
      </w:r>
      <w:r>
        <w:rPr>
          <w:b w:val="0"/>
          <w:bCs w:val="0"/>
        </w:rPr>
      </w:r>
    </w:p>
    <w:p>
      <w:pPr>
        <w:pStyle w:val="Heading8"/>
        <w:tabs>
          <w:tab w:pos="3213" w:val="left" w:leader="none"/>
          <w:tab w:pos="4418" w:val="left" w:leader="none"/>
          <w:tab w:pos="5947" w:val="left" w:leader="none"/>
          <w:tab w:pos="7150" w:val="left" w:leader="none"/>
          <w:tab w:pos="8342" w:val="left" w:leader="none"/>
        </w:tabs>
        <w:spacing w:line="228" w:lineRule="exact"/>
        <w:ind w:left="1906" w:right="0"/>
        <w:jc w:val="center"/>
        <w:rPr>
          <w:b w:val="0"/>
          <w:bCs w:val="0"/>
        </w:rPr>
      </w:pPr>
      <w:r>
        <w:rPr>
          <w:w w:val="95"/>
        </w:rPr>
        <w:t>原币金额</w:t>
        <w:tab/>
        <w:t>折算汇率</w:t>
        <w:tab/>
        <w:t>折合人民币</w:t>
        <w:tab/>
        <w:t>原币金额</w:t>
        <w:tab/>
        <w:t>折算汇率</w:t>
        <w:tab/>
      </w:r>
      <w:r>
        <w:rPr/>
        <w:t>折合人民币</w:t>
      </w:r>
      <w:r>
        <w:rPr>
          <w:b w:val="0"/>
          <w:bCs w:val="0"/>
        </w:rPr>
      </w:r>
    </w:p>
    <w:p>
      <w:pPr>
        <w:spacing w:line="240" w:lineRule="auto" w:before="9"/>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93.35pt;height:.5pt;mso-position-horizontal-relative:char;mso-position-vertical-relative:line" coordorigin="0,0" coordsize="9867,10">
            <v:group style="position:absolute;left:5;top:5;width:1813;height:2" coordorigin="5,5" coordsize="1813,2">
              <v:shape style="position:absolute;left:5;top:5;width:1813;height:2" coordorigin="5,5" coordsize="1813,0" path="m5,5l1817,5e" filled="false" stroked="true" strokeweight=".47998pt" strokecolor="#000000">
                <v:path arrowok="t"/>
              </v:shape>
            </v:group>
            <v:group style="position:absolute;left:1817;top:5;width:10;height:2" coordorigin="1817,5" coordsize="10,2">
              <v:shape style="position:absolute;left:1817;top:5;width:10;height:2" coordorigin="1817,5" coordsize="10,0" path="m1817,5l1827,5e" filled="false" stroked="true" strokeweight=".47998pt" strokecolor="#000000">
                <v:path arrowok="t"/>
              </v:shape>
            </v:group>
            <v:group style="position:absolute;left:1827;top:5;width:1496;height:2" coordorigin="1827,5" coordsize="1496,2">
              <v:shape style="position:absolute;left:1827;top:5;width:1496;height:2" coordorigin="1827,5" coordsize="1496,0" path="m1827,5l3322,5e" filled="false" stroked="true" strokeweight=".47998pt" strokecolor="#000000">
                <v:path arrowok="t"/>
              </v:shape>
            </v:group>
            <v:group style="position:absolute;left:3323;top:5;width:10;height:2" coordorigin="3323,5" coordsize="10,2">
              <v:shape style="position:absolute;left:3323;top:5;width:10;height:2" coordorigin="3323,5" coordsize="10,0" path="m3323,5l3332,5e" filled="false" stroked="true" strokeweight=".47998pt" strokecolor="#000000">
                <v:path arrowok="t"/>
              </v:shape>
            </v:group>
            <v:group style="position:absolute;left:3332;top:5;width:1097;height:2" coordorigin="3332,5" coordsize="1097,2">
              <v:shape style="position:absolute;left:3332;top:5;width:1097;height:2" coordorigin="3332,5" coordsize="1097,0" path="m3332,5l4429,5e" filled="false" stroked="true" strokeweight=".47998pt" strokecolor="#000000">
                <v:path arrowok="t"/>
              </v:shape>
            </v:group>
            <v:group style="position:absolute;left:4429;top:5;width:10;height:2" coordorigin="4429,5" coordsize="10,2">
              <v:shape style="position:absolute;left:4429;top:5;width:10;height:2" coordorigin="4429,5" coordsize="10,0" path="m4429,5l4439,5e" filled="false" stroked="true" strokeweight=".47998pt" strokecolor="#000000">
                <v:path arrowok="t"/>
              </v:shape>
            </v:group>
            <v:group style="position:absolute;left:4439;top:5;width:1477;height:2" coordorigin="4439,5" coordsize="1477,2">
              <v:shape style="position:absolute;left:4439;top:5;width:1477;height:2" coordorigin="4439,5" coordsize="1477,0" path="m4439,5l5915,5e" filled="false" stroked="true" strokeweight=".47998pt" strokecolor="#000000">
                <v:path arrowok="t"/>
              </v:shape>
            </v:group>
            <v:group style="position:absolute;left:5915;top:5;width:10;height:2" coordorigin="5915,5" coordsize="10,2">
              <v:shape style="position:absolute;left:5915;top:5;width:10;height:2" coordorigin="5915,5" coordsize="10,0" path="m5915,5l5925,5e" filled="false" stroked="true" strokeweight=".47998pt" strokecolor="#000000">
                <v:path arrowok="t"/>
              </v:shape>
            </v:group>
            <v:group style="position:absolute;left:5925;top:5;width:1379;height:2" coordorigin="5925,5" coordsize="1379,2">
              <v:shape style="position:absolute;left:5925;top:5;width:1379;height:2" coordorigin="5925,5" coordsize="1379,0" path="m5925,5l7303,5e" filled="false" stroked="true" strokeweight=".47998pt" strokecolor="#000000">
                <v:path arrowok="t"/>
              </v:shape>
            </v:group>
            <v:group style="position:absolute;left:7303;top:5;width:10;height:2" coordorigin="7303,5" coordsize="10,2">
              <v:shape style="position:absolute;left:7303;top:5;width:10;height:2" coordorigin="7303,5" coordsize="10,0" path="m7303,5l7312,5e" filled="false" stroked="true" strokeweight=".47998pt" strokecolor="#000000">
                <v:path arrowok="t"/>
              </v:shape>
            </v:group>
            <v:group style="position:absolute;left:7312;top:5;width:1016;height:2" coordorigin="7312,5" coordsize="1016,2">
              <v:shape style="position:absolute;left:7312;top:5;width:1016;height:2" coordorigin="7312,5" coordsize="1016,0" path="m7312,5l8328,5e" filled="false" stroked="true" strokeweight=".47998pt" strokecolor="#000000">
                <v:path arrowok="t"/>
              </v:shape>
            </v:group>
            <v:group style="position:absolute;left:8328;top:5;width:10;height:2" coordorigin="8328,5" coordsize="10,2">
              <v:shape style="position:absolute;left:8328;top:5;width:10;height:2" coordorigin="8328,5" coordsize="10,0" path="m8328,5l8337,5e" filled="false" stroked="true" strokeweight=".47998pt" strokecolor="#000000">
                <v:path arrowok="t"/>
              </v:shape>
            </v:group>
            <v:group style="position:absolute;left:8337;top:5;width:1525;height:2" coordorigin="8337,5" coordsize="1525,2">
              <v:shape style="position:absolute;left:8337;top:5;width:1525;height:2" coordorigin="8337,5" coordsize="1525,0" path="m8337,5l9862,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pStyle w:val="BodyText"/>
        <w:tabs>
          <w:tab w:pos="5095" w:val="left" w:leader="none"/>
          <w:tab w:pos="9078" w:val="left" w:leader="none"/>
        </w:tabs>
        <w:spacing w:line="240" w:lineRule="auto" w:before="44"/>
        <w:ind w:left="157" w:right="0"/>
        <w:jc w:val="left"/>
        <w:rPr>
          <w:rFonts w:ascii="Times New Roman" w:hAnsi="Times New Roman" w:cs="Times New Roman" w:eastAsia="Times New Roman" w:hint="default"/>
        </w:rPr>
      </w:pPr>
      <w:r>
        <w:rPr/>
        <w:t>现金</w:t>
        <w:tab/>
      </w:r>
      <w:r>
        <w:rPr>
          <w:rFonts w:ascii="Times New Roman" w:hAnsi="Times New Roman" w:cs="Times New Roman" w:eastAsia="Times New Roman" w:hint="default"/>
        </w:rPr>
      </w:r>
      <w:r>
        <w:rPr>
          <w:rFonts w:ascii="Times New Roman" w:hAnsi="Times New Roman" w:cs="Times New Roman" w:eastAsia="Times New Roman" w:hint="default"/>
          <w:spacing w:val="-1"/>
          <w:u w:val="single" w:color="000000"/>
        </w:rPr>
        <w:t>554,042.72</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19,745.50</w:t>
      </w:r>
      <w:r>
        <w:rPr>
          <w:rFonts w:ascii="Times New Roman" w:hAnsi="Times New Roman" w:cs="Times New Roman" w:eastAsia="Times New Roman" w:hint="default"/>
          <w:spacing w:val="-1"/>
        </w:rPr>
      </w:r>
    </w:p>
    <w:p>
      <w:pPr>
        <w:spacing w:line="240" w:lineRule="auto" w:before="8"/>
        <w:rPr>
          <w:rFonts w:ascii="Times New Roman" w:hAnsi="Times New Roman" w:cs="Times New Roman" w:eastAsia="Times New Roman" w:hint="default"/>
          <w:sz w:val="12"/>
          <w:szCs w:val="12"/>
        </w:rPr>
      </w:pPr>
    </w:p>
    <w:p>
      <w:pPr>
        <w:pStyle w:val="BodyText"/>
        <w:tabs>
          <w:tab w:pos="2505" w:val="left" w:leader="none"/>
          <w:tab w:pos="5095" w:val="left" w:leader="none"/>
          <w:tab w:pos="6641" w:val="left" w:leader="none"/>
          <w:tab w:pos="9078" w:val="left" w:leader="none"/>
        </w:tabs>
        <w:spacing w:line="240" w:lineRule="auto" w:before="44"/>
        <w:ind w:left="157" w:right="0"/>
        <w:jc w:val="left"/>
        <w:rPr>
          <w:rFonts w:ascii="Times New Roman" w:hAnsi="Times New Roman" w:cs="Times New Roman" w:eastAsia="Times New Roman" w:hint="default"/>
        </w:rPr>
      </w:pPr>
      <w:r>
        <w:rPr/>
        <w:t>其中：人民币</w:t>
        <w:tab/>
      </w:r>
      <w:r>
        <w:rPr>
          <w:rFonts w:ascii="Times New Roman" w:hAnsi="Times New Roman" w:cs="Times New Roman" w:eastAsia="Times New Roman" w:hint="default"/>
          <w:spacing w:val="-1"/>
        </w:rPr>
        <w:t>554,042.72</w:t>
        <w:tab/>
        <w:t>554,042.72</w:t>
        <w:tab/>
        <w:t>19,745.50</w:t>
        <w:tab/>
        <w:t>19,745.50</w:t>
      </w:r>
    </w:p>
    <w:p>
      <w:pPr>
        <w:spacing w:line="240" w:lineRule="auto" w:before="8"/>
        <w:rPr>
          <w:rFonts w:ascii="Times New Roman" w:hAnsi="Times New Roman" w:cs="Times New Roman" w:eastAsia="Times New Roman" w:hint="default"/>
          <w:sz w:val="16"/>
          <w:szCs w:val="16"/>
        </w:rPr>
      </w:pPr>
    </w:p>
    <w:p>
      <w:pPr>
        <w:pStyle w:val="BodyText"/>
        <w:tabs>
          <w:tab w:pos="4781" w:val="left" w:leader="none"/>
          <w:tab w:pos="8672" w:val="left" w:leader="none"/>
        </w:tabs>
        <w:spacing w:line="240" w:lineRule="auto"/>
        <w:ind w:left="157" w:right="0"/>
        <w:jc w:val="left"/>
        <w:rPr>
          <w:rFonts w:ascii="Times New Roman" w:hAnsi="Times New Roman" w:cs="Times New Roman" w:eastAsia="Times New Roman" w:hint="default"/>
        </w:rPr>
      </w:pPr>
      <w:r>
        <w:rPr/>
        <w:t>银行存款</w:t>
        <w:tab/>
      </w:r>
      <w:r>
        <w:rPr>
          <w:rFonts w:ascii="Times New Roman" w:hAnsi="Times New Roman" w:cs="Times New Roman" w:eastAsia="Times New Roman" w:hint="default"/>
        </w:rPr>
      </w:r>
      <w:r>
        <w:rPr>
          <w:rFonts w:ascii="Times New Roman" w:hAnsi="Times New Roman" w:cs="Times New Roman" w:eastAsia="Times New Roman" w:hint="default"/>
          <w:spacing w:val="-1"/>
          <w:u w:val="single" w:color="000000"/>
        </w:rPr>
        <w:t>386,985,891.97</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403,463,470.92</w:t>
      </w:r>
      <w:r>
        <w:rPr>
          <w:rFonts w:ascii="Times New Roman" w:hAnsi="Times New Roman" w:cs="Times New Roman" w:eastAsia="Times New Roman" w:hint="default"/>
          <w:spacing w:val="-1"/>
        </w:rPr>
      </w:r>
    </w:p>
    <w:p>
      <w:pPr>
        <w:spacing w:line="240" w:lineRule="auto" w:before="8"/>
        <w:rPr>
          <w:rFonts w:ascii="Times New Roman" w:hAnsi="Times New Roman" w:cs="Times New Roman" w:eastAsia="Times New Roman" w:hint="default"/>
          <w:sz w:val="12"/>
          <w:szCs w:val="12"/>
        </w:rPr>
      </w:pPr>
    </w:p>
    <w:p>
      <w:pPr>
        <w:pStyle w:val="BodyText"/>
        <w:tabs>
          <w:tab w:pos="2190" w:val="left" w:leader="none"/>
          <w:tab w:pos="4781" w:val="left" w:leader="none"/>
          <w:tab w:pos="6235" w:val="left" w:leader="none"/>
          <w:tab w:pos="8672" w:val="left" w:leader="none"/>
        </w:tabs>
        <w:spacing w:line="240" w:lineRule="auto" w:before="44"/>
        <w:ind w:left="157" w:right="0"/>
        <w:jc w:val="left"/>
        <w:rPr>
          <w:rFonts w:ascii="Times New Roman" w:hAnsi="Times New Roman" w:cs="Times New Roman" w:eastAsia="Times New Roman" w:hint="default"/>
        </w:rPr>
      </w:pPr>
      <w:r>
        <w:rPr/>
        <w:t>其中：人民币</w:t>
        <w:tab/>
      </w:r>
      <w:r>
        <w:rPr>
          <w:rFonts w:ascii="Times New Roman" w:hAnsi="Times New Roman" w:cs="Times New Roman" w:eastAsia="Times New Roman" w:hint="default"/>
          <w:spacing w:val="-1"/>
        </w:rPr>
        <w:t>386,985,891.97</w:t>
        <w:tab/>
        <w:t>386,985,891.97</w:t>
        <w:tab/>
        <w:t>403,463,470.92</w:t>
        <w:tab/>
        <w:t>403,463,470.92</w:t>
      </w:r>
    </w:p>
    <w:p>
      <w:pPr>
        <w:spacing w:line="240" w:lineRule="auto" w:before="6"/>
        <w:rPr>
          <w:rFonts w:ascii="Times New Roman" w:hAnsi="Times New Roman" w:cs="Times New Roman" w:eastAsia="Times New Roman" w:hint="default"/>
          <w:sz w:val="16"/>
          <w:szCs w:val="16"/>
        </w:rPr>
      </w:pPr>
    </w:p>
    <w:p>
      <w:pPr>
        <w:pStyle w:val="BodyText"/>
        <w:tabs>
          <w:tab w:pos="4781" w:val="left" w:leader="none"/>
          <w:tab w:pos="8672" w:val="left" w:leader="none"/>
        </w:tabs>
        <w:spacing w:line="240" w:lineRule="auto"/>
        <w:ind w:left="746" w:right="0"/>
        <w:jc w:val="left"/>
        <w:rPr>
          <w:rFonts w:ascii="Times New Roman" w:hAnsi="Times New Roman" w:cs="Times New Roman" w:eastAsia="Times New Roman" w:hint="default"/>
        </w:rPr>
      </w:pPr>
      <w:r>
        <w:rPr/>
        <w:t>合</w:t>
      </w:r>
      <w:r>
        <w:rPr>
          <w:spacing w:val="89"/>
        </w:rPr>
        <w:t> </w:t>
      </w:r>
      <w:r>
        <w:rPr/>
        <w:t>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387,539,934.69</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403,483,216.42</w:t>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pStyle w:val="Heading6"/>
        <w:spacing w:line="240" w:lineRule="auto" w:before="167"/>
        <w:ind w:right="0"/>
        <w:jc w:val="left"/>
      </w:pPr>
      <w:r>
        <w:rPr/>
        <w:t>注：期末无存放在境外、有潜在回收风险的货币资金。</w:t>
      </w:r>
    </w:p>
    <w:p>
      <w:pPr>
        <w:spacing w:line="240" w:lineRule="auto" w:before="3"/>
        <w:rPr>
          <w:rFonts w:ascii="宋体" w:hAnsi="宋体" w:cs="宋体" w:eastAsia="宋体" w:hint="default"/>
          <w:sz w:val="25"/>
          <w:szCs w:val="25"/>
        </w:rPr>
      </w:pPr>
    </w:p>
    <w:p>
      <w:pPr>
        <w:pStyle w:val="Heading5"/>
        <w:spacing w:line="240" w:lineRule="auto"/>
        <w:ind w:left="213"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73" w:right="0"/>
        <w:jc w:val="left"/>
      </w:pPr>
      <w:r>
        <w:rPr/>
        <w:t>（</w:t>
      </w:r>
      <w:r>
        <w:rPr>
          <w:rFonts w:ascii="Times New Roman" w:hAnsi="Times New Roman" w:cs="Times New Roman" w:eastAsia="Times New Roman" w:hint="default"/>
        </w:rPr>
        <w:t>1</w:t>
      </w:r>
      <w:r>
        <w:rPr/>
        <w:t>）分类列示</w:t>
      </w:r>
    </w:p>
    <w:p>
      <w:pPr>
        <w:spacing w:line="240" w:lineRule="auto" w:before="8"/>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378"/>
        <w:gridCol w:w="3377"/>
        <w:gridCol w:w="3103"/>
      </w:tblGrid>
      <w:tr>
        <w:trPr>
          <w:trHeight w:val="277" w:hRule="exact"/>
        </w:trPr>
        <w:tc>
          <w:tcPr>
            <w:tcW w:w="3378" w:type="dxa"/>
            <w:tcBorders>
              <w:top w:val="nil" w:sz="6" w:space="0" w:color="auto"/>
              <w:left w:val="nil" w:sz="6" w:space="0" w:color="auto"/>
              <w:bottom w:val="single" w:sz="8" w:space="0" w:color="000000"/>
              <w:right w:val="nil" w:sz="6" w:space="0" w:color="auto"/>
            </w:tcBorders>
          </w:tcPr>
          <w:p>
            <w:pPr>
              <w:pStyle w:val="TableParagraph"/>
              <w:spacing w:line="180" w:lineRule="exact"/>
              <w:ind w:right="84"/>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377" w:type="dxa"/>
            <w:tcBorders>
              <w:top w:val="nil" w:sz="6" w:space="0" w:color="auto"/>
              <w:left w:val="nil" w:sz="6" w:space="0" w:color="auto"/>
              <w:bottom w:val="single" w:sz="8" w:space="0" w:color="000000"/>
              <w:right w:val="nil" w:sz="6" w:space="0" w:color="auto"/>
            </w:tcBorders>
          </w:tcPr>
          <w:p>
            <w:pPr>
              <w:pStyle w:val="TableParagraph"/>
              <w:spacing w:line="180" w:lineRule="exact"/>
              <w:ind w:right="26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03" w:type="dxa"/>
            <w:tcBorders>
              <w:top w:val="nil" w:sz="6" w:space="0" w:color="auto"/>
              <w:left w:val="nil" w:sz="6" w:space="0" w:color="auto"/>
              <w:bottom w:val="single" w:sz="8" w:space="0" w:color="000000"/>
              <w:right w:val="nil" w:sz="6" w:space="0" w:color="auto"/>
            </w:tcBorders>
          </w:tcPr>
          <w:p>
            <w:pPr>
              <w:pStyle w:val="TableParagraph"/>
              <w:spacing w:line="180" w:lineRule="exact"/>
              <w:ind w:right="17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8" w:hRule="exact"/>
        </w:trPr>
        <w:tc>
          <w:tcPr>
            <w:tcW w:w="337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86"/>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37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1100"/>
              <w:jc w:val="right"/>
              <w:rPr>
                <w:rFonts w:ascii="Times New Roman" w:hAnsi="Times New Roman" w:cs="Times New Roman" w:eastAsia="Times New Roman" w:hint="default"/>
                <w:sz w:val="18"/>
                <w:szCs w:val="18"/>
              </w:rPr>
            </w:pPr>
            <w:r>
              <w:rPr>
                <w:rFonts w:ascii="Times New Roman"/>
                <w:spacing w:val="-1"/>
                <w:sz w:val="18"/>
              </w:rPr>
              <w:t>410,000.00</w:t>
            </w:r>
          </w:p>
        </w:tc>
        <w:tc>
          <w:tcPr>
            <w:tcW w:w="3103"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917"/>
              <w:jc w:val="right"/>
              <w:rPr>
                <w:rFonts w:ascii="Times New Roman" w:hAnsi="Times New Roman" w:cs="Times New Roman" w:eastAsia="Times New Roman" w:hint="default"/>
                <w:sz w:val="18"/>
                <w:szCs w:val="18"/>
              </w:rPr>
            </w:pPr>
            <w:r>
              <w:rPr>
                <w:rFonts w:ascii="Times New Roman"/>
                <w:spacing w:val="-1"/>
                <w:sz w:val="18"/>
              </w:rPr>
              <w:t>158,892.10</w:t>
            </w:r>
          </w:p>
        </w:tc>
      </w:tr>
      <w:tr>
        <w:trPr>
          <w:trHeight w:val="315" w:hRule="exact"/>
        </w:trPr>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410,000.00</w:t>
            </w:r>
            <w:r>
              <w:rPr>
                <w:rFonts w:ascii="Times New Roman"/>
                <w:spacing w:val="-1"/>
                <w:sz w:val="18"/>
              </w:rPr>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158,892.10</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64" w:right="0"/>
        <w:jc w:val="left"/>
      </w:pPr>
      <w:r>
        <w:rPr/>
        <w:t>（</w:t>
      </w:r>
      <w:r>
        <w:rPr>
          <w:rFonts w:ascii="Times New Roman" w:hAnsi="Times New Roman" w:cs="Times New Roman" w:eastAsia="Times New Roman" w:hint="default"/>
        </w:rPr>
        <w:t>2</w:t>
      </w:r>
      <w:r>
        <w:rPr/>
        <w:t>）期末无已贴现未到期的应收票据。</w:t>
      </w:r>
    </w:p>
    <w:p>
      <w:pPr>
        <w:spacing w:after="0" w:line="240" w:lineRule="auto"/>
        <w:jc w:val="left"/>
        <w:sectPr>
          <w:pgSz w:w="11910" w:h="16840"/>
          <w:pgMar w:header="918" w:footer="999" w:top="1100" w:bottom="1180" w:left="920" w:right="900"/>
        </w:sectPr>
      </w:pPr>
    </w:p>
    <w:p>
      <w:pPr>
        <w:spacing w:line="240" w:lineRule="auto" w:before="11"/>
        <w:rPr>
          <w:rFonts w:ascii="宋体" w:hAnsi="宋体" w:cs="宋体" w:eastAsia="宋体" w:hint="default"/>
          <w:sz w:val="20"/>
          <w:szCs w:val="20"/>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）按类别列示</w:t>
      </w:r>
    </w:p>
    <w:p>
      <w:pPr>
        <w:spacing w:line="240" w:lineRule="auto" w:before="11"/>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595"/>
        <w:gridCol w:w="1360"/>
        <w:gridCol w:w="336"/>
        <w:gridCol w:w="570"/>
        <w:gridCol w:w="801"/>
        <w:gridCol w:w="504"/>
        <w:gridCol w:w="833"/>
        <w:gridCol w:w="1173"/>
        <w:gridCol w:w="706"/>
        <w:gridCol w:w="1035"/>
        <w:gridCol w:w="946"/>
      </w:tblGrid>
      <w:tr>
        <w:trPr>
          <w:trHeight w:val="940" w:hRule="exact"/>
        </w:trPr>
        <w:tc>
          <w:tcPr>
            <w:tcW w:w="9857" w:type="dxa"/>
            <w:gridSpan w:val="11"/>
            <w:tcBorders>
              <w:top w:val="nil" w:sz="6" w:space="0" w:color="auto"/>
              <w:left w:val="nil" w:sz="6" w:space="0" w:color="auto"/>
              <w:bottom w:val="nil" w:sz="6" w:space="0" w:color="auto"/>
              <w:right w:val="nil" w:sz="6" w:space="0" w:color="auto"/>
            </w:tcBorders>
          </w:tcPr>
          <w:p>
            <w:pPr>
              <w:pStyle w:val="TableParagraph"/>
              <w:tabs>
                <w:tab w:pos="7667" w:val="left" w:leader="none"/>
              </w:tabs>
              <w:spacing w:line="240" w:lineRule="auto" w:before="54"/>
              <w:ind w:left="3766" w:right="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pStyle w:val="TableParagraph"/>
              <w:spacing w:line="240" w:lineRule="auto" w:before="2"/>
              <w:ind w:right="0"/>
              <w:jc w:val="left"/>
              <w:rPr>
                <w:rFonts w:ascii="宋体" w:hAnsi="宋体" w:cs="宋体" w:eastAsia="宋体" w:hint="default"/>
                <w:sz w:val="20"/>
                <w:szCs w:val="20"/>
              </w:rPr>
            </w:pPr>
          </w:p>
          <w:p>
            <w:pPr>
              <w:pStyle w:val="TableParagraph"/>
              <w:tabs>
                <w:tab w:pos="5302" w:val="left" w:leader="none"/>
                <w:tab w:pos="7329" w:val="left" w:leader="none"/>
                <w:tab w:pos="9079" w:val="left" w:leader="none"/>
              </w:tabs>
              <w:spacing w:line="183" w:lineRule="exact"/>
              <w:ind w:left="3418" w:right="0"/>
              <w:jc w:val="left"/>
              <w:rPr>
                <w:rFonts w:ascii="宋体" w:hAnsi="宋体" w:cs="宋体" w:eastAsia="宋体" w:hint="default"/>
                <w:sz w:val="15"/>
                <w:szCs w:val="15"/>
              </w:rPr>
            </w:pPr>
            <w:r>
              <w:rPr>
                <w:rFonts w:ascii="宋体" w:hAnsi="宋体" w:cs="宋体" w:eastAsia="宋体" w:hint="default"/>
                <w:b/>
                <w:bCs/>
                <w:position w:val="2"/>
                <w:sz w:val="15"/>
                <w:szCs w:val="15"/>
              </w:rPr>
              <w:t>占总额</w:t>
              <w:tab/>
            </w:r>
            <w:r>
              <w:rPr>
                <w:rFonts w:ascii="宋体" w:hAnsi="宋体" w:cs="宋体" w:eastAsia="宋体" w:hint="default"/>
                <w:b/>
                <w:bCs/>
                <w:sz w:val="15"/>
                <w:szCs w:val="15"/>
              </w:rPr>
              <w:t>坏账准备</w:t>
              <w:tab/>
            </w:r>
            <w:r>
              <w:rPr>
                <w:rFonts w:ascii="宋体" w:hAnsi="宋体" w:cs="宋体" w:eastAsia="宋体" w:hint="default"/>
                <w:b/>
                <w:bCs/>
                <w:position w:val="2"/>
                <w:sz w:val="15"/>
                <w:szCs w:val="15"/>
              </w:rPr>
              <w:t>占总额</w:t>
              <w:tab/>
            </w:r>
            <w:r>
              <w:rPr>
                <w:rFonts w:ascii="宋体" w:hAnsi="宋体" w:cs="宋体" w:eastAsia="宋体" w:hint="default"/>
                <w:b/>
                <w:bCs/>
                <w:sz w:val="15"/>
                <w:szCs w:val="15"/>
              </w:rPr>
              <w:t>坏账准备</w:t>
            </w:r>
            <w:r>
              <w:rPr>
                <w:rFonts w:ascii="宋体" w:hAnsi="宋体" w:cs="宋体" w:eastAsia="宋体" w:hint="default"/>
                <w:sz w:val="15"/>
                <w:szCs w:val="15"/>
              </w:rPr>
            </w:r>
          </w:p>
          <w:p>
            <w:pPr>
              <w:pStyle w:val="TableParagraph"/>
              <w:spacing w:line="163" w:lineRule="exact"/>
              <w:ind w:left="802" w:right="0"/>
              <w:jc w:val="left"/>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3"/>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r>
      <w:tr>
        <w:trPr>
          <w:trHeight w:val="265" w:hRule="exact"/>
        </w:trPr>
        <w:tc>
          <w:tcPr>
            <w:tcW w:w="3290" w:type="dxa"/>
            <w:gridSpan w:val="3"/>
            <w:tcBorders>
              <w:top w:val="nil" w:sz="6" w:space="0" w:color="auto"/>
              <w:left w:val="nil" w:sz="6" w:space="0" w:color="auto"/>
              <w:bottom w:val="nil" w:sz="6" w:space="0" w:color="auto"/>
              <w:right w:val="nil" w:sz="6" w:space="0" w:color="auto"/>
            </w:tcBorders>
          </w:tcPr>
          <w:p>
            <w:pPr>
              <w:pStyle w:val="TableParagraph"/>
              <w:spacing w:line="151" w:lineRule="exact"/>
              <w:ind w:right="472"/>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570" w:type="dxa"/>
            <w:tcBorders>
              <w:top w:val="nil" w:sz="6" w:space="0" w:color="auto"/>
              <w:left w:val="nil" w:sz="6" w:space="0" w:color="auto"/>
              <w:bottom w:val="nil" w:sz="6" w:space="0" w:color="auto"/>
              <w:right w:val="nil" w:sz="6" w:space="0" w:color="auto"/>
            </w:tcBorders>
          </w:tcPr>
          <w:p>
            <w:pPr>
              <w:pStyle w:val="TableParagraph"/>
              <w:spacing w:line="173" w:lineRule="exact"/>
              <w:ind w:left="20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305"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41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833" w:type="dxa"/>
            <w:tcBorders>
              <w:top w:val="nil" w:sz="6" w:space="0" w:color="auto"/>
              <w:left w:val="nil" w:sz="6" w:space="0" w:color="auto"/>
              <w:bottom w:val="nil" w:sz="6" w:space="0" w:color="auto"/>
              <w:right w:val="nil" w:sz="6" w:space="0" w:color="auto"/>
            </w:tcBorders>
          </w:tcPr>
          <w:p>
            <w:pPr>
              <w:pStyle w:val="TableParagraph"/>
              <w:spacing w:line="151" w:lineRule="exact"/>
              <w:ind w:left="47" w:right="0"/>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151" w:lineRule="exact"/>
              <w:ind w:left="483"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left="23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035" w:type="dxa"/>
            <w:tcBorders>
              <w:top w:val="nil" w:sz="6" w:space="0" w:color="auto"/>
              <w:left w:val="nil" w:sz="6" w:space="0" w:color="auto"/>
              <w:bottom w:val="nil" w:sz="6" w:space="0" w:color="auto"/>
              <w:right w:val="nil" w:sz="6" w:space="0" w:color="auto"/>
            </w:tcBorders>
          </w:tcPr>
          <w:p>
            <w:pPr>
              <w:pStyle w:val="TableParagraph"/>
              <w:spacing w:line="151" w:lineRule="exact"/>
              <w:ind w:left="23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46" w:type="dxa"/>
            <w:tcBorders>
              <w:top w:val="nil" w:sz="6" w:space="0" w:color="auto"/>
              <w:left w:val="nil" w:sz="6" w:space="0" w:color="auto"/>
              <w:bottom w:val="nil" w:sz="6" w:space="0" w:color="auto"/>
              <w:right w:val="nil" w:sz="6" w:space="0" w:color="auto"/>
            </w:tcBorders>
          </w:tcPr>
          <w:p>
            <w:pPr>
              <w:pStyle w:val="TableParagraph"/>
              <w:spacing w:line="151" w:lineRule="exact"/>
              <w:ind w:left="167"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r>
      <w:tr>
        <w:trPr>
          <w:trHeight w:val="362" w:hRule="exact"/>
        </w:trPr>
        <w:tc>
          <w:tcPr>
            <w:tcW w:w="3290" w:type="dxa"/>
            <w:gridSpan w:val="3"/>
            <w:tcBorders>
              <w:top w:val="nil" w:sz="6" w:space="0" w:color="auto"/>
              <w:left w:val="nil" w:sz="6" w:space="0" w:color="auto"/>
              <w:bottom w:val="single" w:sz="4" w:space="0" w:color="000000"/>
              <w:right w:val="nil" w:sz="6" w:space="0" w:color="auto"/>
            </w:tcBorders>
          </w:tcPr>
          <w:p>
            <w:pPr/>
          </w:p>
        </w:tc>
        <w:tc>
          <w:tcPr>
            <w:tcW w:w="57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28" w:right="-13"/>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305" w:type="dxa"/>
            <w:gridSpan w:val="2"/>
            <w:tcBorders>
              <w:top w:val="nil" w:sz="6" w:space="0" w:color="auto"/>
              <w:left w:val="nil" w:sz="6" w:space="0" w:color="auto"/>
              <w:bottom w:val="single" w:sz="4" w:space="0" w:color="000000"/>
              <w:right w:val="nil" w:sz="6" w:space="0" w:color="auto"/>
            </w:tcBorders>
          </w:tcPr>
          <w:p>
            <w:pP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50"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73" w:type="dxa"/>
            <w:tcBorders>
              <w:top w:val="nil" w:sz="6" w:space="0" w:color="auto"/>
              <w:left w:val="nil" w:sz="6" w:space="0" w:color="auto"/>
              <w:bottom w:val="single" w:sz="4" w:space="0" w:color="000000"/>
              <w:right w:val="nil" w:sz="6" w:space="0" w:color="auto"/>
            </w:tcBorders>
          </w:tcPr>
          <w:p>
            <w:pP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58"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35" w:type="dxa"/>
            <w:tcBorders>
              <w:top w:val="nil" w:sz="6" w:space="0" w:color="auto"/>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242"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1977" w:hRule="exact"/>
        </w:trPr>
        <w:tc>
          <w:tcPr>
            <w:tcW w:w="3290"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39" w:lineRule="auto"/>
              <w:ind w:left="52" w:right="1272"/>
              <w:jc w:val="left"/>
              <w:rPr>
                <w:rFonts w:ascii="宋体" w:hAnsi="宋体" w:cs="宋体" w:eastAsia="宋体" w:hint="default"/>
                <w:sz w:val="15"/>
                <w:szCs w:val="15"/>
              </w:rPr>
            </w:pPr>
            <w:r>
              <w:rPr>
                <w:rFonts w:ascii="宋体" w:hAnsi="宋体" w:cs="宋体" w:eastAsia="宋体" w:hint="default"/>
                <w:spacing w:val="-1"/>
                <w:sz w:val="15"/>
                <w:szCs w:val="15"/>
              </w:rPr>
              <w:t>单项金额重大并单项计提坏账</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准备的应收账款</w:t>
            </w:r>
          </w:p>
          <w:p>
            <w:pPr>
              <w:pStyle w:val="TableParagraph"/>
              <w:spacing w:line="240" w:lineRule="auto" w:before="121"/>
              <w:ind w:left="52"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w:t>
            </w:r>
          </w:p>
          <w:p>
            <w:pPr>
              <w:pStyle w:val="TableParagraph"/>
              <w:spacing w:line="157" w:lineRule="exact" w:before="19"/>
              <w:ind w:right="126"/>
              <w:jc w:val="right"/>
              <w:rPr>
                <w:rFonts w:ascii="Times New Roman" w:hAnsi="Times New Roman" w:cs="Times New Roman" w:eastAsia="Times New Roman" w:hint="default"/>
                <w:sz w:val="15"/>
                <w:szCs w:val="15"/>
              </w:rPr>
            </w:pPr>
            <w:r>
              <w:rPr>
                <w:rFonts w:ascii="Times New Roman"/>
                <w:spacing w:val="-1"/>
                <w:sz w:val="15"/>
              </w:rPr>
              <w:t>49,715,261.30</w:t>
            </w:r>
          </w:p>
          <w:p>
            <w:pPr>
              <w:pStyle w:val="TableParagraph"/>
              <w:spacing w:line="181" w:lineRule="exact"/>
              <w:ind w:left="52" w:right="0"/>
              <w:jc w:val="left"/>
              <w:rPr>
                <w:rFonts w:ascii="宋体" w:hAnsi="宋体" w:cs="宋体" w:eastAsia="宋体" w:hint="default"/>
                <w:sz w:val="15"/>
                <w:szCs w:val="15"/>
              </w:rPr>
            </w:pPr>
            <w:r>
              <w:rPr>
                <w:rFonts w:ascii="宋体" w:hAnsi="宋体" w:cs="宋体" w:eastAsia="宋体" w:hint="default"/>
                <w:w w:val="100"/>
                <w:sz w:val="15"/>
                <w:szCs w:val="15"/>
              </w:rPr>
              <w:t>款</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单项金额虽不重大但单项计提</w:t>
            </w:r>
          </w:p>
        </w:tc>
        <w:tc>
          <w:tcPr>
            <w:tcW w:w="5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sz w:val="15"/>
              </w:rPr>
              <w:t>100</w:t>
            </w:r>
          </w:p>
        </w:tc>
        <w:tc>
          <w:tcPr>
            <w:tcW w:w="130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9" w:right="0"/>
              <w:jc w:val="left"/>
              <w:rPr>
                <w:rFonts w:ascii="Times New Roman" w:hAnsi="Times New Roman" w:cs="Times New Roman" w:eastAsia="Times New Roman" w:hint="default"/>
                <w:sz w:val="15"/>
                <w:szCs w:val="15"/>
              </w:rPr>
            </w:pPr>
            <w:r>
              <w:rPr>
                <w:rFonts w:ascii="Times New Roman"/>
                <w:sz w:val="15"/>
              </w:rPr>
              <w:t>2,839,093.41</w:t>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5.71</w:t>
            </w:r>
          </w:p>
        </w:tc>
        <w:tc>
          <w:tcPr>
            <w:tcW w:w="11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39,585,035.47</w:t>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5"/>
                <w:szCs w:val="15"/>
              </w:rPr>
            </w:pPr>
            <w:r>
              <w:rPr>
                <w:rFonts w:ascii="Times New Roman"/>
                <w:sz w:val="15"/>
              </w:rPr>
              <w:t>100</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1,313,192.66</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3.32</w:t>
            </w:r>
          </w:p>
        </w:tc>
      </w:tr>
      <w:tr>
        <w:trPr>
          <w:trHeight w:val="785" w:hRule="exact"/>
        </w:trPr>
        <w:tc>
          <w:tcPr>
            <w:tcW w:w="32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坏账准备的应收账款</w:t>
            </w:r>
          </w:p>
          <w:p>
            <w:pPr>
              <w:pStyle w:val="TableParagraph"/>
              <w:spacing w:line="240" w:lineRule="auto" w:before="7"/>
              <w:ind w:right="0"/>
              <w:jc w:val="left"/>
              <w:rPr>
                <w:rFonts w:ascii="宋体" w:hAnsi="宋体" w:cs="宋体" w:eastAsia="宋体" w:hint="default"/>
                <w:sz w:val="18"/>
                <w:szCs w:val="18"/>
              </w:rPr>
            </w:pPr>
          </w:p>
          <w:p>
            <w:pPr>
              <w:pStyle w:val="TableParagraph"/>
              <w:tabs>
                <w:tab w:pos="2300" w:val="left" w:leader="none"/>
              </w:tabs>
              <w:spacing w:line="240" w:lineRule="auto"/>
              <w:ind w:left="80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49,715,261.30</w:t>
            </w:r>
            <w:r>
              <w:rPr>
                <w:rFonts w:ascii="Times New Roman" w:hAnsi="Times New Roman" w:cs="Times New Roman" w:eastAsia="Times New Roman" w:hint="default"/>
                <w:sz w:val="15"/>
                <w:szCs w:val="15"/>
              </w:rPr>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30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2,839,093.41</w:t>
            </w:r>
            <w:r>
              <w:rPr>
                <w:rFonts w:ascii="Times New Roman"/>
                <w:sz w:val="15"/>
              </w:rPr>
            </w:r>
          </w:p>
        </w:tc>
        <w:tc>
          <w:tcPr>
            <w:tcW w:w="833"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39,585,035.47</w:t>
            </w:r>
            <w:r>
              <w:rPr>
                <w:rFonts w:ascii="Times New Roman"/>
                <w:spacing w:val="-1"/>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1,313,192.66</w:t>
            </w:r>
            <w:r>
              <w:rPr>
                <w:rFonts w:ascii="Times New Roman"/>
                <w:spacing w:val="-1"/>
                <w:sz w:val="15"/>
              </w:rPr>
            </w:r>
          </w:p>
        </w:tc>
        <w:tc>
          <w:tcPr>
            <w:tcW w:w="946" w:type="dxa"/>
            <w:tcBorders>
              <w:top w:val="nil" w:sz="6" w:space="0" w:color="auto"/>
              <w:left w:val="nil" w:sz="6" w:space="0" w:color="auto"/>
              <w:bottom w:val="nil" w:sz="6" w:space="0" w:color="auto"/>
              <w:right w:val="nil" w:sz="6" w:space="0" w:color="auto"/>
            </w:tcBorders>
          </w:tcPr>
          <w:p>
            <w:pPr/>
          </w:p>
        </w:tc>
      </w:tr>
      <w:tr>
        <w:trPr>
          <w:trHeight w:val="1678" w:hRule="exact"/>
        </w:trPr>
        <w:tc>
          <w:tcPr>
            <w:tcW w:w="9857" w:type="dxa"/>
            <w:gridSpan w:val="11"/>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）组合中，按账龄分析法计提坏账准备的应收账款</w:t>
            </w:r>
          </w:p>
          <w:p>
            <w:pPr>
              <w:pStyle w:val="TableParagraph"/>
              <w:spacing w:line="240" w:lineRule="auto"/>
              <w:ind w:right="0"/>
              <w:jc w:val="left"/>
              <w:rPr>
                <w:rFonts w:ascii="宋体" w:hAnsi="宋体" w:cs="宋体" w:eastAsia="宋体" w:hint="default"/>
                <w:sz w:val="26"/>
                <w:szCs w:val="26"/>
              </w:rPr>
            </w:pPr>
          </w:p>
          <w:p>
            <w:pPr>
              <w:pStyle w:val="TableParagraph"/>
              <w:tabs>
                <w:tab w:pos="7509" w:val="left" w:leader="none"/>
              </w:tabs>
              <w:spacing w:line="240" w:lineRule="auto"/>
              <w:ind w:left="3440" w:right="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pStyle w:val="TableParagraph"/>
              <w:spacing w:line="240" w:lineRule="auto" w:before="3"/>
              <w:ind w:right="0"/>
              <w:jc w:val="left"/>
              <w:rPr>
                <w:rFonts w:ascii="宋体" w:hAnsi="宋体" w:cs="宋体" w:eastAsia="宋体" w:hint="default"/>
                <w:sz w:val="20"/>
                <w:szCs w:val="20"/>
              </w:rPr>
            </w:pPr>
          </w:p>
          <w:p>
            <w:pPr>
              <w:pStyle w:val="TableParagraph"/>
              <w:tabs>
                <w:tab w:pos="7969" w:val="left" w:leader="none"/>
              </w:tabs>
              <w:spacing w:line="240" w:lineRule="auto"/>
              <w:ind w:left="3848" w:right="0"/>
              <w:jc w:val="left"/>
              <w:rPr>
                <w:rFonts w:ascii="宋体" w:hAnsi="宋体" w:cs="宋体" w:eastAsia="宋体" w:hint="default"/>
                <w:sz w:val="15"/>
                <w:szCs w:val="15"/>
              </w:rPr>
            </w:pPr>
            <w:r>
              <w:rPr>
                <w:rFonts w:ascii="宋体" w:hAnsi="宋体" w:cs="宋体" w:eastAsia="宋体" w:hint="default"/>
                <w:b/>
                <w:bCs/>
                <w:sz w:val="15"/>
                <w:szCs w:val="15"/>
              </w:rPr>
              <w:t>坏账准备</w:t>
              <w:tab/>
              <w:t>坏账准备</w:t>
            </w:r>
            <w:r>
              <w:rPr>
                <w:rFonts w:ascii="宋体" w:hAnsi="宋体" w:cs="宋体" w:eastAsia="宋体" w:hint="default"/>
                <w:sz w:val="15"/>
                <w:szCs w:val="15"/>
              </w:rPr>
            </w:r>
          </w:p>
        </w:tc>
      </w:tr>
      <w:tr>
        <w:trPr>
          <w:trHeight w:val="20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51" w:lineRule="exact"/>
              <w:ind w:left="634" w:right="0"/>
              <w:jc w:val="left"/>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3"/>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360" w:type="dxa"/>
            <w:tcBorders>
              <w:top w:val="nil" w:sz="6" w:space="0" w:color="auto"/>
              <w:left w:val="nil" w:sz="6" w:space="0" w:color="auto"/>
              <w:bottom w:val="nil" w:sz="6" w:space="0" w:color="auto"/>
              <w:right w:val="nil" w:sz="6" w:space="0" w:color="auto"/>
            </w:tcBorders>
          </w:tcPr>
          <w:p>
            <w:pP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801" w:type="dxa"/>
            <w:tcBorders>
              <w:top w:val="nil" w:sz="6" w:space="0" w:color="auto"/>
              <w:left w:val="nil" w:sz="6" w:space="0" w:color="auto"/>
              <w:bottom w:val="nil" w:sz="6" w:space="0" w:color="auto"/>
              <w:right w:val="nil" w:sz="6" w:space="0" w:color="auto"/>
            </w:tcBorders>
          </w:tcPr>
          <w:p>
            <w:pPr/>
          </w:p>
        </w:tc>
        <w:tc>
          <w:tcPr>
            <w:tcW w:w="1337" w:type="dxa"/>
            <w:gridSpan w:val="2"/>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0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r>
      <w:tr>
        <w:trPr>
          <w:trHeight w:val="181" w:hRule="exact"/>
        </w:trPr>
        <w:tc>
          <w:tcPr>
            <w:tcW w:w="159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165" w:lineRule="exact"/>
              <w:ind w:left="430"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905" w:type="dxa"/>
            <w:gridSpan w:val="2"/>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Style w:val="TableParagraph"/>
              <w:spacing w:line="168" w:lineRule="exact"/>
              <w:ind w:left="-13" w:right="205"/>
              <w:jc w:val="righ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337"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left="229"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165" w:lineRule="exact"/>
              <w:ind w:left="111"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06"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168"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946" w:type="dxa"/>
            <w:tcBorders>
              <w:top w:val="nil" w:sz="6" w:space="0" w:color="auto"/>
              <w:left w:val="nil" w:sz="6" w:space="0" w:color="auto"/>
              <w:bottom w:val="nil" w:sz="6" w:space="0" w:color="auto"/>
              <w:right w:val="nil" w:sz="6" w:space="0" w:color="auto"/>
            </w:tcBorders>
          </w:tcPr>
          <w:p>
            <w:pPr>
              <w:pStyle w:val="TableParagraph"/>
              <w:spacing w:line="165" w:lineRule="exact"/>
              <w:ind w:left="86"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183" w:hRule="exact"/>
        </w:trPr>
        <w:tc>
          <w:tcPr>
            <w:tcW w:w="159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176" w:lineRule="exact"/>
              <w:ind w:left="125"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01" w:type="dxa"/>
            <w:tcBorders>
              <w:top w:val="nil" w:sz="6" w:space="0" w:color="auto"/>
              <w:left w:val="nil" w:sz="6" w:space="0" w:color="auto"/>
              <w:bottom w:val="nil" w:sz="6" w:space="0" w:color="auto"/>
              <w:right w:val="nil" w:sz="6" w:space="0" w:color="auto"/>
            </w:tcBorders>
          </w:tcPr>
          <w:p>
            <w:pPr/>
          </w:p>
        </w:tc>
        <w:tc>
          <w:tcPr>
            <w:tcW w:w="1337" w:type="dxa"/>
            <w:gridSpan w:val="2"/>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176" w:lineRule="exact"/>
              <w:ind w:left="31"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r>
      <w:tr>
        <w:trPr>
          <w:trHeight w:val="263" w:hRule="exact"/>
        </w:trPr>
        <w:tc>
          <w:tcPr>
            <w:tcW w:w="1595" w:type="dxa"/>
            <w:tcBorders>
              <w:top w:val="nil" w:sz="6" w:space="0" w:color="auto"/>
              <w:left w:val="nil" w:sz="6" w:space="0" w:color="auto"/>
              <w:bottom w:val="single" w:sz="8" w:space="0" w:color="000000"/>
              <w:right w:val="nil" w:sz="6" w:space="0" w:color="auto"/>
            </w:tcBorders>
          </w:tcPr>
          <w:p>
            <w:pPr/>
          </w:p>
        </w:tc>
        <w:tc>
          <w:tcPr>
            <w:tcW w:w="1360" w:type="dxa"/>
            <w:tcBorders>
              <w:top w:val="nil" w:sz="6" w:space="0" w:color="auto"/>
              <w:left w:val="nil" w:sz="6" w:space="0" w:color="auto"/>
              <w:bottom w:val="single" w:sz="8" w:space="0" w:color="000000"/>
              <w:right w:val="nil" w:sz="6" w:space="0" w:color="auto"/>
            </w:tcBorders>
          </w:tcPr>
          <w:p>
            <w:pPr/>
          </w:p>
        </w:tc>
        <w:tc>
          <w:tcPr>
            <w:tcW w:w="905" w:type="dxa"/>
            <w:gridSpan w:val="2"/>
            <w:tcBorders>
              <w:top w:val="nil" w:sz="6" w:space="0" w:color="auto"/>
              <w:left w:val="nil" w:sz="6" w:space="0" w:color="auto"/>
              <w:bottom w:val="single" w:sz="8" w:space="0" w:color="000000"/>
              <w:right w:val="nil" w:sz="6" w:space="0" w:color="auto"/>
            </w:tcBorders>
          </w:tcPr>
          <w:p>
            <w:pPr/>
          </w:p>
        </w:tc>
        <w:tc>
          <w:tcPr>
            <w:tcW w:w="801" w:type="dxa"/>
            <w:tcBorders>
              <w:top w:val="nil" w:sz="6" w:space="0" w:color="auto"/>
              <w:left w:val="nil" w:sz="6" w:space="0" w:color="auto"/>
              <w:bottom w:val="single" w:sz="8" w:space="0" w:color="000000"/>
              <w:right w:val="nil" w:sz="6" w:space="0" w:color="auto"/>
            </w:tcBorders>
          </w:tcPr>
          <w:p>
            <w:pPr>
              <w:pStyle w:val="TableParagraph"/>
              <w:spacing w:line="173" w:lineRule="exact"/>
              <w:ind w:right="282"/>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337" w:type="dxa"/>
            <w:gridSpan w:val="2"/>
            <w:tcBorders>
              <w:top w:val="nil" w:sz="6" w:space="0" w:color="auto"/>
              <w:left w:val="nil" w:sz="6" w:space="0" w:color="auto"/>
              <w:bottom w:val="single" w:sz="8" w:space="0" w:color="000000"/>
              <w:right w:val="nil" w:sz="6" w:space="0" w:color="auto"/>
            </w:tcBorders>
          </w:tcPr>
          <w:p>
            <w:pPr/>
          </w:p>
        </w:tc>
        <w:tc>
          <w:tcPr>
            <w:tcW w:w="1173" w:type="dxa"/>
            <w:tcBorders>
              <w:top w:val="nil" w:sz="6" w:space="0" w:color="auto"/>
              <w:left w:val="nil" w:sz="6" w:space="0" w:color="auto"/>
              <w:bottom w:val="single" w:sz="8" w:space="0" w:color="000000"/>
              <w:right w:val="nil" w:sz="6" w:space="0" w:color="auto"/>
            </w:tcBorders>
          </w:tcPr>
          <w:p>
            <w:pPr/>
          </w:p>
        </w:tc>
        <w:tc>
          <w:tcPr>
            <w:tcW w:w="706" w:type="dxa"/>
            <w:tcBorders>
              <w:top w:val="nil" w:sz="6" w:space="0" w:color="auto"/>
              <w:left w:val="nil" w:sz="6" w:space="0" w:color="auto"/>
              <w:bottom w:val="single" w:sz="8" w:space="0" w:color="000000"/>
              <w:right w:val="nil" w:sz="6" w:space="0" w:color="auto"/>
            </w:tcBorders>
          </w:tcPr>
          <w:p>
            <w:pPr/>
          </w:p>
        </w:tc>
        <w:tc>
          <w:tcPr>
            <w:tcW w:w="1035" w:type="dxa"/>
            <w:tcBorders>
              <w:top w:val="nil" w:sz="6" w:space="0" w:color="auto"/>
              <w:left w:val="nil" w:sz="6" w:space="0" w:color="auto"/>
              <w:bottom w:val="single" w:sz="8" w:space="0" w:color="000000"/>
              <w:right w:val="nil" w:sz="6" w:space="0" w:color="auto"/>
            </w:tcBorders>
          </w:tcPr>
          <w:p>
            <w:pPr>
              <w:pStyle w:val="TableParagraph"/>
              <w:spacing w:line="173" w:lineRule="exact"/>
              <w:ind w:left="167"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46" w:type="dxa"/>
            <w:tcBorders>
              <w:top w:val="nil" w:sz="6" w:space="0" w:color="auto"/>
              <w:left w:val="nil" w:sz="6" w:space="0" w:color="auto"/>
              <w:bottom w:val="single" w:sz="8" w:space="0" w:color="000000"/>
              <w:right w:val="nil" w:sz="6" w:space="0" w:color="auto"/>
            </w:tcBorders>
          </w:tcPr>
          <w:p>
            <w:pPr/>
          </w:p>
        </w:tc>
      </w:tr>
      <w:tr>
        <w:trPr>
          <w:trHeight w:val="508" w:hRule="exact"/>
        </w:trPr>
        <w:tc>
          <w:tcPr>
            <w:tcW w:w="1595"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360"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37,206,140.97</w:t>
            </w:r>
          </w:p>
        </w:tc>
        <w:tc>
          <w:tcPr>
            <w:tcW w:w="90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3" w:right="0"/>
              <w:jc w:val="left"/>
              <w:rPr>
                <w:rFonts w:ascii="Times New Roman" w:hAnsi="Times New Roman" w:cs="Times New Roman" w:eastAsia="Times New Roman" w:hint="default"/>
                <w:sz w:val="15"/>
                <w:szCs w:val="15"/>
              </w:rPr>
            </w:pPr>
            <w:r>
              <w:rPr>
                <w:rFonts w:ascii="Times New Roman"/>
                <w:sz w:val="15"/>
              </w:rPr>
              <w:t>74.84</w:t>
            </w:r>
          </w:p>
        </w:tc>
        <w:tc>
          <w:tcPr>
            <w:tcW w:w="801"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w w:val="100"/>
                <w:sz w:val="15"/>
              </w:rPr>
              <w:t>1</w:t>
            </w:r>
          </w:p>
        </w:tc>
        <w:tc>
          <w:tcPr>
            <w:tcW w:w="1337"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372,061.40</w:t>
            </w:r>
          </w:p>
        </w:tc>
        <w:tc>
          <w:tcPr>
            <w:tcW w:w="1173"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9" w:right="0"/>
              <w:jc w:val="left"/>
              <w:rPr>
                <w:rFonts w:ascii="Times New Roman" w:hAnsi="Times New Roman" w:cs="Times New Roman" w:eastAsia="Times New Roman" w:hint="default"/>
                <w:sz w:val="15"/>
                <w:szCs w:val="15"/>
              </w:rPr>
            </w:pPr>
            <w:r>
              <w:rPr>
                <w:rFonts w:ascii="Times New Roman"/>
                <w:sz w:val="15"/>
              </w:rPr>
              <w:t>33,504,051.27</w:t>
            </w:r>
          </w:p>
        </w:tc>
        <w:tc>
          <w:tcPr>
            <w:tcW w:w="70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84.64</w:t>
            </w:r>
          </w:p>
        </w:tc>
        <w:tc>
          <w:tcPr>
            <w:tcW w:w="103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w w:val="100"/>
                <w:sz w:val="15"/>
              </w:rPr>
              <w:t>1</w:t>
            </w:r>
          </w:p>
        </w:tc>
        <w:tc>
          <w:tcPr>
            <w:tcW w:w="94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335,040.51</w:t>
            </w:r>
          </w:p>
        </w:tc>
      </w:tr>
      <w:tr>
        <w:trPr>
          <w:trHeight w:val="439"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8,897,902.60</w:t>
            </w: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83" w:right="0"/>
              <w:jc w:val="left"/>
              <w:rPr>
                <w:rFonts w:ascii="Times New Roman" w:hAnsi="Times New Roman" w:cs="Times New Roman" w:eastAsia="Times New Roman" w:hint="default"/>
                <w:sz w:val="15"/>
                <w:szCs w:val="15"/>
              </w:rPr>
            </w:pPr>
            <w:r>
              <w:rPr>
                <w:rFonts w:ascii="Times New Roman"/>
                <w:sz w:val="15"/>
              </w:rPr>
              <w:t>17.90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w w:val="100"/>
                <w:sz w:val="15"/>
              </w:rPr>
              <w:t>5</w:t>
            </w:r>
          </w:p>
        </w:tc>
        <w:tc>
          <w:tcPr>
            <w:tcW w:w="13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444,895.12</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4,341,002.30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10.97</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w w:val="100"/>
                <w:sz w:val="15"/>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217,050.11</w:t>
            </w:r>
          </w:p>
        </w:tc>
      </w:tr>
      <w:tr>
        <w:trPr>
          <w:trHeight w:val="44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2"/>
                <w:sz w:val="15"/>
              </w:rPr>
              <w:t>2,270,115.50</w:t>
            </w: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4.56</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30</w:t>
            </w:r>
          </w:p>
        </w:tc>
        <w:tc>
          <w:tcPr>
            <w:tcW w:w="13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681,034.66</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1,398,399.80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7" w:right="0"/>
              <w:jc w:val="left"/>
              <w:rPr>
                <w:rFonts w:ascii="Times New Roman" w:hAnsi="Times New Roman" w:cs="Times New Roman" w:eastAsia="Times New Roman" w:hint="default"/>
                <w:sz w:val="15"/>
                <w:szCs w:val="15"/>
              </w:rPr>
            </w:pPr>
            <w:r>
              <w:rPr>
                <w:rFonts w:ascii="Times New Roman"/>
                <w:sz w:val="15"/>
              </w:rPr>
              <w:t>3.53</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Times New Roman"/>
                <w:sz w:val="15"/>
              </w:rPr>
              <w:t>30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419,519.94</w:t>
            </w:r>
          </w:p>
        </w:tc>
      </w:tr>
      <w:tr>
        <w:trPr>
          <w:trHeight w:val="44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1,341,102.23</w:t>
            </w: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2.70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46" w:right="0"/>
              <w:jc w:val="left"/>
              <w:rPr>
                <w:rFonts w:ascii="Times New Roman" w:hAnsi="Times New Roman" w:cs="Times New Roman" w:eastAsia="Times New Roman" w:hint="default"/>
                <w:sz w:val="15"/>
                <w:szCs w:val="15"/>
              </w:rPr>
            </w:pPr>
            <w:r>
              <w:rPr>
                <w:rFonts w:ascii="Times New Roman"/>
                <w:sz w:val="15"/>
              </w:rPr>
              <w:t>100</w:t>
            </w:r>
          </w:p>
        </w:tc>
        <w:tc>
          <w:tcPr>
            <w:tcW w:w="133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07" w:right="0"/>
              <w:jc w:val="left"/>
              <w:rPr>
                <w:rFonts w:ascii="Times New Roman" w:hAnsi="Times New Roman" w:cs="Times New Roman" w:eastAsia="Times New Roman" w:hint="default"/>
                <w:sz w:val="15"/>
                <w:szCs w:val="15"/>
              </w:rPr>
            </w:pPr>
            <w:r>
              <w:rPr>
                <w:rFonts w:ascii="Times New Roman"/>
                <w:sz w:val="15"/>
              </w:rPr>
              <w:t>1,341,102.23</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77" w:right="0"/>
              <w:jc w:val="left"/>
              <w:rPr>
                <w:rFonts w:ascii="Times New Roman" w:hAnsi="Times New Roman" w:cs="Times New Roman" w:eastAsia="Times New Roman" w:hint="default"/>
                <w:sz w:val="15"/>
                <w:szCs w:val="15"/>
              </w:rPr>
            </w:pPr>
            <w:r>
              <w:rPr>
                <w:rFonts w:ascii="Times New Roman"/>
                <w:sz w:val="15"/>
              </w:rPr>
              <w:t>341,582.10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27" w:right="0"/>
              <w:jc w:val="left"/>
              <w:rPr>
                <w:rFonts w:ascii="Times New Roman" w:hAnsi="Times New Roman" w:cs="Times New Roman" w:eastAsia="Times New Roman" w:hint="default"/>
                <w:sz w:val="15"/>
                <w:szCs w:val="15"/>
              </w:rPr>
            </w:pPr>
            <w:r>
              <w:rPr>
                <w:rFonts w:ascii="Times New Roman"/>
                <w:sz w:val="15"/>
              </w:rPr>
              <w:t>0.86</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5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341,582.10</w:t>
            </w:r>
          </w:p>
        </w:tc>
      </w:tr>
      <w:tr>
        <w:trPr>
          <w:trHeight w:val="399"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3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49,715,261.30</w:t>
            </w:r>
            <w:r>
              <w:rPr>
                <w:rFonts w:ascii="Times New Roman"/>
                <w:spacing w:val="-1"/>
                <w:sz w:val="15"/>
              </w:rPr>
            </w: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3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01" w:type="dxa"/>
            <w:tcBorders>
              <w:top w:val="nil" w:sz="6" w:space="0" w:color="auto"/>
              <w:left w:val="nil" w:sz="6" w:space="0" w:color="auto"/>
              <w:bottom w:val="nil" w:sz="6" w:space="0" w:color="auto"/>
              <w:right w:val="nil" w:sz="6" w:space="0" w:color="auto"/>
            </w:tcBorders>
          </w:tcPr>
          <w:p>
            <w:pPr/>
          </w:p>
        </w:tc>
        <w:tc>
          <w:tcPr>
            <w:tcW w:w="13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2,839,093.41</w:t>
            </w:r>
            <w:r>
              <w:rPr>
                <w:rFonts w:ascii="Times New Roman"/>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8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39,585,035.47</w:t>
            </w:r>
            <w:r>
              <w:rPr>
                <w:rFonts w:ascii="Times New Roman"/>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1,313,192.66</w:t>
            </w:r>
            <w:r>
              <w:rPr>
                <w:rFonts w:ascii="Times New Roman"/>
                <w:sz w:val="15"/>
              </w:rPr>
            </w:r>
          </w:p>
        </w:tc>
      </w:tr>
    </w:tbl>
    <w:p>
      <w:pPr>
        <w:spacing w:line="240" w:lineRule="auto" w:before="7"/>
        <w:rPr>
          <w:rFonts w:ascii="宋体" w:hAnsi="宋体" w:cs="宋体" w:eastAsia="宋体" w:hint="default"/>
          <w:sz w:val="22"/>
          <w:szCs w:val="22"/>
        </w:rPr>
      </w:pPr>
    </w:p>
    <w:p>
      <w:pPr>
        <w:pStyle w:val="BodyText"/>
        <w:spacing w:line="240" w:lineRule="auto" w:before="44"/>
        <w:ind w:left="573" w:right="5558"/>
        <w:jc w:val="left"/>
      </w:pPr>
      <w:r>
        <w:rPr/>
        <w:t>（</w:t>
      </w:r>
      <w:r>
        <w:rPr>
          <w:rFonts w:ascii="Times New Roman" w:hAnsi="Times New Roman" w:cs="Times New Roman" w:eastAsia="Times New Roman" w:hint="default"/>
        </w:rPr>
        <w:t>3</w:t>
      </w:r>
      <w:r>
        <w:rPr/>
        <w:t>）本报告期无核销应收账款情况。</w:t>
      </w:r>
    </w:p>
    <w:p>
      <w:pPr>
        <w:spacing w:line="240" w:lineRule="auto" w:before="8"/>
        <w:rPr>
          <w:rFonts w:ascii="宋体" w:hAnsi="宋体" w:cs="宋体" w:eastAsia="宋体" w:hint="default"/>
          <w:sz w:val="20"/>
          <w:szCs w:val="20"/>
        </w:rPr>
      </w:pPr>
    </w:p>
    <w:p>
      <w:pPr>
        <w:pStyle w:val="BodyText"/>
        <w:spacing w:line="240" w:lineRule="auto"/>
        <w:ind w:left="573" w:right="115"/>
        <w:jc w:val="left"/>
      </w:pPr>
      <w:r>
        <w:rPr/>
        <w:t>（</w:t>
      </w:r>
      <w:r>
        <w:rPr>
          <w:rFonts w:ascii="宋体" w:hAnsi="宋体" w:cs="宋体" w:eastAsia="宋体" w:hint="default"/>
        </w:rPr>
        <w:t>4</w:t>
      </w:r>
      <w:r>
        <w:rPr/>
        <w:t>）本报告期无重大收回或转回前期已全额计提坏账准备或计提减值准备的比例较大的应收账款情况。</w:t>
      </w:r>
    </w:p>
    <w:p>
      <w:pPr>
        <w:spacing w:line="240" w:lineRule="auto" w:before="6"/>
        <w:rPr>
          <w:rFonts w:ascii="宋体" w:hAnsi="宋体" w:cs="宋体" w:eastAsia="宋体" w:hint="default"/>
          <w:sz w:val="21"/>
          <w:szCs w:val="21"/>
        </w:rPr>
      </w:pPr>
    </w:p>
    <w:p>
      <w:pPr>
        <w:pStyle w:val="BodyText"/>
        <w:spacing w:line="240" w:lineRule="auto"/>
        <w:ind w:left="573" w:right="5558"/>
        <w:jc w:val="left"/>
      </w:pPr>
      <w:r>
        <w:rPr/>
        <w:t>（</w:t>
      </w:r>
      <w:r>
        <w:rPr>
          <w:rFonts w:ascii="Times New Roman" w:hAnsi="Times New Roman" w:cs="Times New Roman" w:eastAsia="Times New Roman" w:hint="default"/>
        </w:rPr>
        <w:t>5</w:t>
      </w:r>
      <w:r>
        <w:rPr/>
        <w:t>）本报告期无终止确认应收账款情况。</w:t>
      </w:r>
    </w:p>
    <w:p>
      <w:pPr>
        <w:spacing w:line="240" w:lineRule="auto" w:before="0"/>
        <w:rPr>
          <w:rFonts w:ascii="宋体" w:hAnsi="宋体" w:cs="宋体" w:eastAsia="宋体" w:hint="default"/>
          <w:sz w:val="18"/>
          <w:szCs w:val="18"/>
        </w:rPr>
      </w:pPr>
    </w:p>
    <w:p>
      <w:pPr>
        <w:pStyle w:val="BodyText"/>
        <w:spacing w:line="348" w:lineRule="auto" w:before="153"/>
        <w:ind w:left="213" w:right="263" w:firstLine="360"/>
        <w:jc w:val="left"/>
      </w:pPr>
      <w:r>
        <w:rPr/>
        <w:t>（</w:t>
      </w:r>
      <w:r>
        <w:rPr>
          <w:rFonts w:ascii="Times New Roman" w:hAnsi="Times New Roman" w:cs="Times New Roman" w:eastAsia="Times New Roman" w:hint="default"/>
        </w:rPr>
        <w:t>6</w:t>
      </w:r>
      <w:r>
        <w:rPr/>
        <w:t>）本报告期应收账款中无应收持公司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）以上表决权股份的股东单位的款项，期末应收其他关联方的款项 </w:t>
      </w:r>
      <w:r>
        <w:rPr>
          <w:spacing w:val="-5"/>
        </w:rPr>
        <w:t>情况详见附注“九、</w:t>
      </w:r>
      <w:r>
        <w:rPr>
          <w:rFonts w:ascii="Times New Roman" w:hAnsi="Times New Roman" w:cs="Times New Roman" w:eastAsia="Times New Roman" w:hint="default"/>
          <w:spacing w:val="-5"/>
        </w:rPr>
        <w:t>7</w:t>
      </w:r>
      <w:r>
        <w:rPr>
          <w:spacing w:val="-5"/>
        </w:rPr>
        <w:t>、关联方应收应付款项”。</w:t>
      </w:r>
    </w:p>
    <w:p>
      <w:pPr>
        <w:spacing w:line="240" w:lineRule="auto" w:before="7"/>
        <w:rPr>
          <w:rFonts w:ascii="宋体" w:hAnsi="宋体" w:cs="宋体" w:eastAsia="宋体" w:hint="default"/>
          <w:sz w:val="13"/>
          <w:szCs w:val="13"/>
        </w:rPr>
      </w:pPr>
    </w:p>
    <w:p>
      <w:pPr>
        <w:pStyle w:val="BodyText"/>
        <w:spacing w:line="240" w:lineRule="auto"/>
        <w:ind w:left="573" w:right="5558"/>
        <w:jc w:val="left"/>
      </w:pPr>
      <w:r>
        <w:rPr/>
        <w:t>（</w:t>
      </w:r>
      <w:r>
        <w:rPr>
          <w:rFonts w:ascii="Times New Roman" w:hAnsi="Times New Roman" w:cs="Times New Roman" w:eastAsia="Times New Roman" w:hint="default"/>
        </w:rPr>
        <w:t>7</w:t>
      </w:r>
      <w:r>
        <w:rPr/>
        <w:t>）期末应收账款金额前五名单位情况</w:t>
      </w:r>
    </w:p>
    <w:p>
      <w:pPr>
        <w:spacing w:after="0" w:line="240" w:lineRule="auto"/>
        <w:jc w:val="left"/>
        <w:sectPr>
          <w:pgSz w:w="11910" w:h="16840"/>
          <w:pgMar w:header="918" w:footer="999" w:top="1100" w:bottom="1180" w:left="92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04" w:type="dxa"/>
        <w:tblLayout w:type="fixed"/>
        <w:tblCellMar>
          <w:top w:w="0" w:type="dxa"/>
          <w:left w:w="0" w:type="dxa"/>
          <w:bottom w:w="0" w:type="dxa"/>
          <w:right w:w="0" w:type="dxa"/>
        </w:tblCellMar>
        <w:tblLook w:val="01E0"/>
      </w:tblPr>
      <w:tblGrid>
        <w:gridCol w:w="2814"/>
        <w:gridCol w:w="1849"/>
        <w:gridCol w:w="1618"/>
        <w:gridCol w:w="1504"/>
        <w:gridCol w:w="2072"/>
      </w:tblGrid>
      <w:tr>
        <w:trPr>
          <w:trHeight w:val="637" w:hRule="exact"/>
        </w:trPr>
        <w:tc>
          <w:tcPr>
            <w:tcW w:w="2814"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left="8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9"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right="34"/>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18"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right="15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04"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left="25"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2072" w:type="dxa"/>
            <w:tcBorders>
              <w:top w:val="nil" w:sz="6" w:space="0" w:color="auto"/>
              <w:left w:val="nil" w:sz="6" w:space="0" w:color="auto"/>
              <w:bottom w:val="single" w:sz="8" w:space="0" w:color="000000"/>
              <w:right w:val="nil" w:sz="6" w:space="0" w:color="auto"/>
            </w:tcBorders>
          </w:tcPr>
          <w:p>
            <w:pPr>
              <w:pStyle w:val="TableParagraph"/>
              <w:spacing w:line="180" w:lineRule="exact"/>
              <w:ind w:left="54" w:right="0"/>
              <w:jc w:val="center"/>
              <w:rPr>
                <w:rFonts w:ascii="宋体" w:hAnsi="宋体" w:cs="宋体" w:eastAsia="宋体"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sz w:val="18"/>
                <w:szCs w:val="18"/>
              </w:rPr>
            </w:r>
          </w:p>
          <w:p>
            <w:pPr>
              <w:pStyle w:val="TableParagraph"/>
              <w:spacing w:line="240" w:lineRule="auto" w:before="125"/>
              <w:ind w:left="50" w:right="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8" w:hRule="exact"/>
        </w:trPr>
        <w:tc>
          <w:tcPr>
            <w:tcW w:w="281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四川壹品文化传媒有限公司</w:t>
            </w:r>
          </w:p>
        </w:tc>
        <w:tc>
          <w:tcPr>
            <w:tcW w:w="184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32"/>
              <w:jc w:val="center"/>
              <w:rPr>
                <w:rFonts w:ascii="宋体" w:hAnsi="宋体" w:cs="宋体" w:eastAsia="宋体" w:hint="default"/>
                <w:sz w:val="18"/>
                <w:szCs w:val="18"/>
              </w:rPr>
            </w:pPr>
            <w:r>
              <w:rPr>
                <w:rFonts w:ascii="宋体" w:hAnsi="宋体" w:cs="宋体" w:eastAsia="宋体" w:hint="default"/>
                <w:sz w:val="18"/>
                <w:szCs w:val="18"/>
              </w:rPr>
              <w:t>客户</w:t>
            </w:r>
          </w:p>
        </w:tc>
        <w:tc>
          <w:tcPr>
            <w:tcW w:w="1618"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270"/>
              <w:jc w:val="right"/>
              <w:rPr>
                <w:rFonts w:ascii="Times New Roman" w:hAnsi="Times New Roman" w:cs="Times New Roman" w:eastAsia="Times New Roman" w:hint="default"/>
                <w:sz w:val="18"/>
                <w:szCs w:val="18"/>
              </w:rPr>
            </w:pPr>
            <w:r>
              <w:rPr>
                <w:rFonts w:ascii="Times New Roman"/>
                <w:spacing w:val="-1"/>
                <w:sz w:val="18"/>
              </w:rPr>
              <w:t>2,983,752.10</w:t>
            </w:r>
          </w:p>
        </w:tc>
        <w:tc>
          <w:tcPr>
            <w:tcW w:w="150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7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91"/>
              <w:jc w:val="right"/>
              <w:rPr>
                <w:rFonts w:ascii="Times New Roman" w:hAnsi="Times New Roman" w:cs="Times New Roman" w:eastAsia="Times New Roman" w:hint="default"/>
                <w:sz w:val="18"/>
                <w:szCs w:val="18"/>
              </w:rPr>
            </w:pPr>
            <w:r>
              <w:rPr>
                <w:rFonts w:ascii="Times New Roman"/>
                <w:spacing w:val="-1"/>
                <w:sz w:val="18"/>
              </w:rPr>
              <w:t>6.00</w:t>
            </w:r>
          </w:p>
        </w:tc>
      </w:tr>
      <w:tr>
        <w:trPr>
          <w:trHeight w:val="4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
              <w:jc w:val="center"/>
              <w:rPr>
                <w:rFonts w:ascii="宋体" w:hAnsi="宋体" w:cs="宋体" w:eastAsia="宋体" w:hint="default"/>
                <w:sz w:val="18"/>
                <w:szCs w:val="18"/>
              </w:rPr>
            </w:pPr>
            <w:r>
              <w:rPr>
                <w:rFonts w:ascii="宋体" w:hAnsi="宋体" w:cs="宋体" w:eastAsia="宋体" w:hint="default"/>
                <w:sz w:val="18"/>
                <w:szCs w:val="18"/>
              </w:rPr>
              <w:t>客户</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0"/>
              <w:jc w:val="right"/>
              <w:rPr>
                <w:rFonts w:ascii="Times New Roman" w:hAnsi="Times New Roman" w:cs="Times New Roman" w:eastAsia="Times New Roman" w:hint="default"/>
                <w:sz w:val="18"/>
                <w:szCs w:val="18"/>
              </w:rPr>
            </w:pPr>
            <w:r>
              <w:rPr>
                <w:rFonts w:ascii="Times New Roman"/>
                <w:spacing w:val="-1"/>
                <w:sz w:val="18"/>
              </w:rPr>
              <w:t>2,778,563.52</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1"/>
              <w:jc w:val="right"/>
              <w:rPr>
                <w:rFonts w:ascii="Times New Roman" w:hAnsi="Times New Roman" w:cs="Times New Roman" w:eastAsia="Times New Roman" w:hint="default"/>
                <w:sz w:val="18"/>
                <w:szCs w:val="18"/>
              </w:rPr>
            </w:pPr>
            <w:r>
              <w:rPr>
                <w:rFonts w:ascii="Times New Roman"/>
                <w:spacing w:val="-1"/>
                <w:sz w:val="18"/>
              </w:rPr>
              <w:t>5.59</w:t>
            </w:r>
          </w:p>
        </w:tc>
      </w:tr>
      <w:tr>
        <w:trPr>
          <w:trHeight w:val="44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河北省新华书店图书批销部</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
              <w:jc w:val="center"/>
              <w:rPr>
                <w:rFonts w:ascii="宋体" w:hAnsi="宋体" w:cs="宋体" w:eastAsia="宋体" w:hint="default"/>
                <w:sz w:val="18"/>
                <w:szCs w:val="18"/>
              </w:rPr>
            </w:pPr>
            <w:r>
              <w:rPr>
                <w:rFonts w:ascii="宋体" w:hAnsi="宋体" w:cs="宋体" w:eastAsia="宋体" w:hint="default"/>
                <w:sz w:val="18"/>
                <w:szCs w:val="18"/>
              </w:rPr>
              <w:t>客户</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0"/>
              <w:jc w:val="right"/>
              <w:rPr>
                <w:rFonts w:ascii="Times New Roman" w:hAnsi="Times New Roman" w:cs="Times New Roman" w:eastAsia="Times New Roman" w:hint="default"/>
                <w:sz w:val="18"/>
                <w:szCs w:val="18"/>
              </w:rPr>
            </w:pPr>
            <w:r>
              <w:rPr>
                <w:rFonts w:ascii="Times New Roman"/>
                <w:spacing w:val="-1"/>
                <w:sz w:val="18"/>
              </w:rPr>
              <w:t>1,544,892.00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1"/>
              <w:jc w:val="right"/>
              <w:rPr>
                <w:rFonts w:ascii="Times New Roman" w:hAnsi="Times New Roman" w:cs="Times New Roman" w:eastAsia="Times New Roman" w:hint="default"/>
                <w:sz w:val="18"/>
                <w:szCs w:val="18"/>
              </w:rPr>
            </w:pPr>
            <w:r>
              <w:rPr>
                <w:rFonts w:ascii="Times New Roman"/>
                <w:spacing w:val="-2"/>
                <w:w w:val="95"/>
                <w:sz w:val="18"/>
              </w:rPr>
              <w:t>3.11</w:t>
            </w:r>
          </w:p>
        </w:tc>
      </w:tr>
      <w:tr>
        <w:trPr>
          <w:trHeight w:val="44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沅陵县新华书店</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
              <w:jc w:val="center"/>
              <w:rPr>
                <w:rFonts w:ascii="宋体" w:hAnsi="宋体" w:cs="宋体" w:eastAsia="宋体" w:hint="default"/>
                <w:sz w:val="18"/>
                <w:szCs w:val="18"/>
              </w:rPr>
            </w:pPr>
            <w:r>
              <w:rPr>
                <w:rFonts w:ascii="宋体" w:hAnsi="宋体" w:cs="宋体" w:eastAsia="宋体" w:hint="default"/>
                <w:sz w:val="18"/>
                <w:szCs w:val="18"/>
              </w:rPr>
              <w:t>客户</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0"/>
              <w:jc w:val="right"/>
              <w:rPr>
                <w:rFonts w:ascii="Times New Roman" w:hAnsi="Times New Roman" w:cs="Times New Roman" w:eastAsia="Times New Roman" w:hint="default"/>
                <w:sz w:val="18"/>
                <w:szCs w:val="18"/>
              </w:rPr>
            </w:pPr>
            <w:r>
              <w:rPr>
                <w:rFonts w:ascii="Times New Roman"/>
                <w:spacing w:val="-1"/>
                <w:sz w:val="18"/>
              </w:rPr>
              <w:t>1,575,807.70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91"/>
              <w:jc w:val="right"/>
              <w:rPr>
                <w:rFonts w:ascii="Times New Roman" w:hAnsi="Times New Roman" w:cs="Times New Roman" w:eastAsia="Times New Roman" w:hint="default"/>
                <w:sz w:val="18"/>
                <w:szCs w:val="18"/>
              </w:rPr>
            </w:pPr>
            <w:r>
              <w:rPr>
                <w:rFonts w:ascii="Times New Roman"/>
                <w:spacing w:val="-1"/>
                <w:sz w:val="18"/>
              </w:rPr>
              <w:t>3.17</w:t>
            </w:r>
          </w:p>
        </w:tc>
      </w:tr>
      <w:tr>
        <w:trPr>
          <w:trHeight w:val="4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卓越亚马逊有限责任公司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
              <w:jc w:val="center"/>
              <w:rPr>
                <w:rFonts w:ascii="宋体" w:hAnsi="宋体" w:cs="宋体" w:eastAsia="宋体" w:hint="default"/>
                <w:sz w:val="18"/>
                <w:szCs w:val="18"/>
              </w:rPr>
            </w:pPr>
            <w:r>
              <w:rPr>
                <w:rFonts w:ascii="宋体" w:hAnsi="宋体" w:cs="宋体" w:eastAsia="宋体" w:hint="default"/>
                <w:sz w:val="18"/>
                <w:szCs w:val="18"/>
              </w:rPr>
              <w:t>客户</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0"/>
              <w:jc w:val="right"/>
              <w:rPr>
                <w:rFonts w:ascii="Times New Roman" w:hAnsi="Times New Roman" w:cs="Times New Roman" w:eastAsia="Times New Roman" w:hint="default"/>
                <w:sz w:val="18"/>
                <w:szCs w:val="18"/>
              </w:rPr>
            </w:pPr>
            <w:r>
              <w:rPr>
                <w:rFonts w:ascii="Times New Roman"/>
                <w:spacing w:val="-1"/>
                <w:sz w:val="18"/>
              </w:rPr>
              <w:t>1,105,458.64</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1"/>
              <w:jc w:val="right"/>
              <w:rPr>
                <w:rFonts w:ascii="Times New Roman" w:hAnsi="Times New Roman" w:cs="Times New Roman" w:eastAsia="Times New Roman" w:hint="default"/>
                <w:sz w:val="18"/>
                <w:szCs w:val="18"/>
              </w:rPr>
            </w:pPr>
            <w:r>
              <w:rPr>
                <w:rFonts w:ascii="Times New Roman"/>
                <w:spacing w:val="-1"/>
                <w:sz w:val="18"/>
              </w:rPr>
              <w:t>2.22</w:t>
            </w:r>
          </w:p>
        </w:tc>
      </w:tr>
      <w:tr>
        <w:trPr>
          <w:trHeight w:val="315"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9,988,473.96</w:t>
            </w:r>
            <w:r>
              <w:rPr>
                <w:rFonts w:ascii="Times New Roman"/>
                <w:spacing w:val="-1"/>
                <w:sz w:val="18"/>
              </w:rPr>
            </w:r>
          </w:p>
        </w:tc>
        <w:tc>
          <w:tcPr>
            <w:tcW w:w="150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20.09</w:t>
            </w:r>
            <w:r>
              <w:rPr>
                <w:rFonts w:ascii="Times New Roman"/>
                <w:sz w:val="18"/>
              </w:rPr>
            </w:r>
          </w:p>
        </w:tc>
      </w:tr>
    </w:tbl>
    <w:p>
      <w:pPr>
        <w:spacing w:line="240" w:lineRule="auto" w:before="4"/>
        <w:rPr>
          <w:rFonts w:ascii="宋体" w:hAnsi="宋体" w:cs="宋体" w:eastAsia="宋体" w:hint="default"/>
          <w:sz w:val="25"/>
          <w:szCs w:val="25"/>
        </w:rPr>
      </w:pPr>
    </w:p>
    <w:p>
      <w:pPr>
        <w:pStyle w:val="Heading5"/>
        <w:spacing w:line="240" w:lineRule="auto" w:before="36"/>
        <w:ind w:left="313"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
        <w:rPr>
          <w:rFonts w:ascii="宋体" w:hAnsi="宋体" w:cs="宋体" w:eastAsia="宋体" w:hint="default"/>
          <w:b/>
          <w:bCs/>
          <w:sz w:val="28"/>
          <w:szCs w:val="28"/>
        </w:rPr>
      </w:pPr>
    </w:p>
    <w:tbl>
      <w:tblPr>
        <w:tblW w:w="0" w:type="auto"/>
        <w:jc w:val="left"/>
        <w:tblInd w:w="204" w:type="dxa"/>
        <w:tblLayout w:type="fixed"/>
        <w:tblCellMar>
          <w:top w:w="0" w:type="dxa"/>
          <w:left w:w="0" w:type="dxa"/>
          <w:bottom w:w="0" w:type="dxa"/>
          <w:right w:w="0" w:type="dxa"/>
        </w:tblCellMar>
        <w:tblLook w:val="01E0"/>
      </w:tblPr>
      <w:tblGrid>
        <w:gridCol w:w="2371"/>
        <w:gridCol w:w="2328"/>
        <w:gridCol w:w="1451"/>
        <w:gridCol w:w="1484"/>
        <w:gridCol w:w="788"/>
        <w:gridCol w:w="1435"/>
      </w:tblGrid>
      <w:tr>
        <w:trPr>
          <w:trHeight w:val="855" w:hRule="exact"/>
        </w:trPr>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5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51"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35" w:type="dxa"/>
            <w:tcBorders>
              <w:top w:val="nil" w:sz="6" w:space="0" w:color="auto"/>
              <w:left w:val="nil" w:sz="6" w:space="0" w:color="auto"/>
              <w:bottom w:val="nil" w:sz="6" w:space="0" w:color="auto"/>
              <w:right w:val="nil" w:sz="6" w:space="0" w:color="auto"/>
            </w:tcBorders>
          </w:tcPr>
          <w:p>
            <w:pPr/>
          </w:p>
        </w:tc>
      </w:tr>
      <w:tr>
        <w:trPr>
          <w:trHeight w:val="513" w:hRule="exact"/>
        </w:trPr>
        <w:tc>
          <w:tcPr>
            <w:tcW w:w="2371" w:type="dxa"/>
            <w:tcBorders>
              <w:top w:val="nil" w:sz="6" w:space="0" w:color="auto"/>
              <w:left w:val="nil" w:sz="6" w:space="0" w:color="auto"/>
              <w:bottom w:val="single" w:sz="4" w:space="0" w:color="000000"/>
              <w:right w:val="nil" w:sz="6" w:space="0" w:color="auto"/>
            </w:tcBorders>
          </w:tcPr>
          <w:p>
            <w:pPr>
              <w:pStyle w:val="TableParagraph"/>
              <w:spacing w:line="200" w:lineRule="exact"/>
              <w:ind w:left="39"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8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232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69"/>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16"/>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8" w:type="dxa"/>
            <w:tcBorders>
              <w:top w:val="nil" w:sz="6" w:space="0" w:color="auto"/>
              <w:left w:val="nil" w:sz="6" w:space="0" w:color="auto"/>
              <w:bottom w:val="single" w:sz="4" w:space="0" w:color="000000"/>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99"/>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1" w:hRule="exact"/>
        </w:trPr>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551" w:right="0"/>
              <w:jc w:val="left"/>
              <w:rPr>
                <w:rFonts w:ascii="Times New Roman" w:hAnsi="Times New Roman" w:cs="Times New Roman" w:eastAsia="Times New Roman" w:hint="default"/>
                <w:sz w:val="18"/>
                <w:szCs w:val="18"/>
              </w:rPr>
            </w:pPr>
            <w:r>
              <w:rPr>
                <w:rFonts w:ascii="Times New Roman"/>
                <w:sz w:val="18"/>
              </w:rPr>
              <w:t>12,318,846.51</w:t>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10"/>
              <w:jc w:val="center"/>
              <w:rPr>
                <w:rFonts w:ascii="Times New Roman" w:hAnsi="Times New Roman" w:cs="Times New Roman" w:eastAsia="Times New Roman" w:hint="default"/>
                <w:sz w:val="18"/>
                <w:szCs w:val="18"/>
              </w:rPr>
            </w:pPr>
            <w:r>
              <w:rPr>
                <w:rFonts w:ascii="Times New Roman"/>
                <w:sz w:val="18"/>
              </w:rPr>
              <w:t>70.01</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6"/>
              <w:jc w:val="right"/>
              <w:rPr>
                <w:rFonts w:ascii="Times New Roman" w:hAnsi="Times New Roman" w:cs="Times New Roman" w:eastAsia="Times New Roman" w:hint="default"/>
                <w:sz w:val="18"/>
                <w:szCs w:val="18"/>
              </w:rPr>
            </w:pPr>
            <w:r>
              <w:rPr>
                <w:rFonts w:ascii="Times New Roman"/>
                <w:spacing w:val="-1"/>
                <w:sz w:val="18"/>
              </w:rPr>
              <w:t>18,562,949.09</w:t>
            </w:r>
          </w:p>
        </w:tc>
        <w:tc>
          <w:tcPr>
            <w:tcW w:w="788"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22"/>
              <w:jc w:val="center"/>
              <w:rPr>
                <w:rFonts w:ascii="Times New Roman" w:hAnsi="Times New Roman" w:cs="Times New Roman" w:eastAsia="Times New Roman" w:hint="default"/>
                <w:sz w:val="18"/>
                <w:szCs w:val="18"/>
              </w:rPr>
            </w:pPr>
            <w:r>
              <w:rPr>
                <w:rFonts w:ascii="Times New Roman"/>
                <w:sz w:val="18"/>
              </w:rPr>
              <w:t>88.34</w:t>
            </w:r>
          </w:p>
        </w:tc>
      </w:tr>
      <w:tr>
        <w:trPr>
          <w:trHeight w:val="440" w:hRule="exact"/>
        </w:trPr>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39" w:right="0"/>
              <w:jc w:val="left"/>
              <w:rPr>
                <w:rFonts w:ascii="Times New Roman" w:hAnsi="Times New Roman" w:cs="Times New Roman" w:eastAsia="Times New Roman" w:hint="default"/>
                <w:sz w:val="18"/>
                <w:szCs w:val="18"/>
              </w:rPr>
            </w:pPr>
            <w:r>
              <w:rPr>
                <w:rFonts w:ascii="Times New Roman"/>
                <w:sz w:val="18"/>
              </w:rPr>
              <w:t>4,416,725.37</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0"/>
              <w:jc w:val="center"/>
              <w:rPr>
                <w:rFonts w:ascii="Times New Roman" w:hAnsi="Times New Roman" w:cs="Times New Roman" w:eastAsia="Times New Roman" w:hint="default"/>
                <w:sz w:val="18"/>
                <w:szCs w:val="18"/>
              </w:rPr>
            </w:pPr>
            <w:r>
              <w:rPr>
                <w:rFonts w:ascii="Times New Roman"/>
                <w:sz w:val="18"/>
              </w:rPr>
              <w:t>25.10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
              <w:jc w:val="right"/>
              <w:rPr>
                <w:rFonts w:ascii="Times New Roman" w:hAnsi="Times New Roman" w:cs="Times New Roman" w:eastAsia="Times New Roman" w:hint="default"/>
                <w:sz w:val="18"/>
                <w:szCs w:val="18"/>
              </w:rPr>
            </w:pPr>
            <w:r>
              <w:rPr>
                <w:rFonts w:ascii="Times New Roman"/>
                <w:spacing w:val="-1"/>
                <w:sz w:val="18"/>
              </w:rPr>
              <w:t>1,233,600.36</w:t>
            </w:r>
          </w:p>
        </w:tc>
        <w:tc>
          <w:tcPr>
            <w:tcW w:w="78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2"/>
              <w:jc w:val="center"/>
              <w:rPr>
                <w:rFonts w:ascii="Times New Roman" w:hAnsi="Times New Roman" w:cs="Times New Roman" w:eastAsia="Times New Roman" w:hint="default"/>
                <w:sz w:val="18"/>
                <w:szCs w:val="18"/>
              </w:rPr>
            </w:pPr>
            <w:r>
              <w:rPr>
                <w:rFonts w:ascii="Times New Roman"/>
                <w:sz w:val="18"/>
              </w:rPr>
              <w:t>5.87</w:t>
            </w:r>
          </w:p>
        </w:tc>
      </w:tr>
      <w:tr>
        <w:trPr>
          <w:trHeight w:val="440" w:hRule="exact"/>
        </w:trPr>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74" w:right="0"/>
              <w:jc w:val="left"/>
              <w:rPr>
                <w:rFonts w:ascii="Times New Roman" w:hAnsi="Times New Roman" w:cs="Times New Roman" w:eastAsia="Times New Roman" w:hint="default"/>
                <w:sz w:val="18"/>
                <w:szCs w:val="18"/>
              </w:rPr>
            </w:pPr>
            <w:r>
              <w:rPr>
                <w:rFonts w:ascii="Times New Roman"/>
                <w:sz w:val="18"/>
              </w:rPr>
              <w:t>339,026.84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0"/>
              <w:jc w:val="center"/>
              <w:rPr>
                <w:rFonts w:ascii="Times New Roman" w:hAnsi="Times New Roman" w:cs="Times New Roman" w:eastAsia="Times New Roman" w:hint="default"/>
                <w:sz w:val="18"/>
                <w:szCs w:val="18"/>
              </w:rPr>
            </w:pPr>
            <w:r>
              <w:rPr>
                <w:rFonts w:ascii="Times New Roman"/>
                <w:sz w:val="18"/>
              </w:rPr>
              <w:t>1.93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
              <w:jc w:val="right"/>
              <w:rPr>
                <w:rFonts w:ascii="Times New Roman" w:hAnsi="Times New Roman" w:cs="Times New Roman" w:eastAsia="Times New Roman" w:hint="default"/>
                <w:sz w:val="18"/>
                <w:szCs w:val="18"/>
              </w:rPr>
            </w:pPr>
            <w:r>
              <w:rPr>
                <w:rFonts w:ascii="Times New Roman"/>
                <w:spacing w:val="-1"/>
                <w:sz w:val="18"/>
              </w:rPr>
              <w:t>1,102,314.28</w:t>
            </w:r>
          </w:p>
        </w:tc>
        <w:tc>
          <w:tcPr>
            <w:tcW w:w="78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2"/>
              <w:jc w:val="center"/>
              <w:rPr>
                <w:rFonts w:ascii="Times New Roman" w:hAnsi="Times New Roman" w:cs="Times New Roman" w:eastAsia="Times New Roman" w:hint="default"/>
                <w:sz w:val="18"/>
                <w:szCs w:val="18"/>
              </w:rPr>
            </w:pPr>
            <w:r>
              <w:rPr>
                <w:rFonts w:ascii="Times New Roman"/>
                <w:sz w:val="18"/>
              </w:rPr>
              <w:t>5.25</w:t>
            </w:r>
          </w:p>
        </w:tc>
      </w:tr>
      <w:tr>
        <w:trPr>
          <w:trHeight w:val="439" w:hRule="exact"/>
        </w:trPr>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74" w:right="0"/>
              <w:jc w:val="left"/>
              <w:rPr>
                <w:rFonts w:ascii="Times New Roman" w:hAnsi="Times New Roman" w:cs="Times New Roman" w:eastAsia="Times New Roman" w:hint="default"/>
                <w:sz w:val="18"/>
                <w:szCs w:val="18"/>
              </w:rPr>
            </w:pPr>
            <w:r>
              <w:rPr>
                <w:rFonts w:ascii="Times New Roman"/>
                <w:sz w:val="18"/>
              </w:rPr>
              <w:t>521,814.28</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0"/>
              <w:jc w:val="center"/>
              <w:rPr>
                <w:rFonts w:ascii="Times New Roman" w:hAnsi="Times New Roman" w:cs="Times New Roman" w:eastAsia="Times New Roman" w:hint="default"/>
                <w:sz w:val="18"/>
                <w:szCs w:val="18"/>
              </w:rPr>
            </w:pPr>
            <w:r>
              <w:rPr>
                <w:rFonts w:ascii="Times New Roman"/>
                <w:sz w:val="18"/>
              </w:rPr>
              <w:t>2.96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
              <w:jc w:val="right"/>
              <w:rPr>
                <w:rFonts w:ascii="Times New Roman" w:hAnsi="Times New Roman" w:cs="Times New Roman" w:eastAsia="Times New Roman" w:hint="default"/>
                <w:sz w:val="18"/>
                <w:szCs w:val="18"/>
              </w:rPr>
            </w:pPr>
            <w:r>
              <w:rPr>
                <w:rFonts w:ascii="Times New Roman"/>
                <w:spacing w:val="-1"/>
                <w:sz w:val="18"/>
              </w:rPr>
              <w:t>113,500.00</w:t>
            </w:r>
          </w:p>
        </w:tc>
        <w:tc>
          <w:tcPr>
            <w:tcW w:w="78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2"/>
              <w:jc w:val="center"/>
              <w:rPr>
                <w:rFonts w:ascii="Times New Roman" w:hAnsi="Times New Roman" w:cs="Times New Roman" w:eastAsia="Times New Roman" w:hint="default"/>
                <w:sz w:val="18"/>
                <w:szCs w:val="18"/>
              </w:rPr>
            </w:pPr>
            <w:r>
              <w:rPr>
                <w:rFonts w:ascii="Times New Roman"/>
                <w:sz w:val="18"/>
              </w:rPr>
              <w:t>0.54</w:t>
            </w:r>
          </w:p>
        </w:tc>
      </w:tr>
      <w:tr>
        <w:trPr>
          <w:trHeight w:val="415" w:hRule="exact"/>
        </w:trPr>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17,596,413.00</w:t>
            </w:r>
            <w:r>
              <w:rPr>
                <w:rFonts w:ascii="Times New Roman"/>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21,012,363.73</w:t>
            </w:r>
            <w:r>
              <w:rPr>
                <w:rFonts w:ascii="Times New Roman"/>
                <w:spacing w:val="-1"/>
                <w:sz w:val="18"/>
              </w:rPr>
            </w:r>
          </w:p>
        </w:tc>
        <w:tc>
          <w:tcPr>
            <w:tcW w:w="78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4"/>
        <w:rPr>
          <w:rFonts w:ascii="宋体" w:hAnsi="宋体" w:cs="宋体" w:eastAsia="宋体" w:hint="default"/>
          <w:b/>
          <w:bCs/>
          <w:sz w:val="22"/>
          <w:szCs w:val="22"/>
        </w:rPr>
      </w:pPr>
    </w:p>
    <w:p>
      <w:pPr>
        <w:pStyle w:val="BodyText"/>
        <w:spacing w:line="240" w:lineRule="auto" w:before="44"/>
        <w:ind w:left="673" w:right="0"/>
        <w:jc w:val="left"/>
      </w:pPr>
      <w:r>
        <w:rPr/>
        <w:t>（</w:t>
      </w:r>
      <w:r>
        <w:rPr>
          <w:rFonts w:ascii="Times New Roman" w:hAnsi="Times New Roman" w:cs="Times New Roman" w:eastAsia="Times New Roman" w:hint="default"/>
        </w:rPr>
        <w:t>2</w:t>
      </w:r>
      <w:r>
        <w:rPr/>
        <w:t>）期末预付款项金额前五名单位情况</w:t>
      </w:r>
    </w:p>
    <w:p>
      <w:pPr>
        <w:spacing w:line="240" w:lineRule="auto" w:before="7"/>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225"/>
        <w:gridCol w:w="1714"/>
        <w:gridCol w:w="1377"/>
        <w:gridCol w:w="1493"/>
        <w:gridCol w:w="2173"/>
      </w:tblGrid>
      <w:tr>
        <w:trPr>
          <w:trHeight w:val="311"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180" w:lineRule="exact"/>
              <w:ind w:left="272"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14" w:type="dxa"/>
            <w:tcBorders>
              <w:top w:val="nil" w:sz="6" w:space="0" w:color="auto"/>
              <w:left w:val="nil" w:sz="6" w:space="0" w:color="auto"/>
              <w:bottom w:val="nil" w:sz="6" w:space="0" w:color="auto"/>
              <w:right w:val="nil" w:sz="6" w:space="0" w:color="auto"/>
            </w:tcBorders>
          </w:tcPr>
          <w:p>
            <w:pPr>
              <w:pStyle w:val="TableParagraph"/>
              <w:spacing w:line="180" w:lineRule="exact"/>
              <w:ind w:left="21"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180" w:lineRule="exact"/>
              <w:ind w:left="41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180" w:lineRule="exact"/>
              <w:ind w:left="5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73" w:type="dxa"/>
            <w:tcBorders>
              <w:top w:val="nil" w:sz="6" w:space="0" w:color="auto"/>
              <w:left w:val="nil" w:sz="6" w:space="0" w:color="auto"/>
              <w:bottom w:val="nil" w:sz="6" w:space="0" w:color="auto"/>
              <w:right w:val="nil" w:sz="6" w:space="0" w:color="auto"/>
            </w:tcBorders>
          </w:tcPr>
          <w:p>
            <w:pPr>
              <w:pStyle w:val="TableParagraph"/>
              <w:spacing w:line="180" w:lineRule="exact"/>
              <w:ind w:left="652"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799"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中央教育科学研究所</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3,000,000.00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72" w:right="198"/>
              <w:jc w:val="left"/>
              <w:rPr>
                <w:rFonts w:ascii="宋体" w:hAnsi="宋体" w:cs="宋体" w:eastAsia="宋体" w:hint="default"/>
                <w:sz w:val="18"/>
                <w:szCs w:val="18"/>
              </w:rPr>
            </w:pPr>
            <w:r>
              <w:rPr>
                <w:rFonts w:ascii="宋体" w:hAnsi="宋体" w:cs="宋体" w:eastAsia="宋体" w:hint="default"/>
                <w:sz w:val="18"/>
                <w:szCs w:val="18"/>
              </w:rPr>
              <w:t>预付“教育内容资源研 发”合作款</w:t>
            </w:r>
          </w:p>
        </w:tc>
      </w:tr>
      <w:tr>
        <w:trPr>
          <w:trHeight w:val="445"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8"/>
                <w:szCs w:val="18"/>
              </w:rPr>
            </w:pPr>
            <w:r>
              <w:rPr>
                <w:rFonts w:ascii="宋体" w:hAnsi="宋体" w:cs="宋体" w:eastAsia="宋体" w:hint="default"/>
                <w:sz w:val="18"/>
                <w:szCs w:val="18"/>
              </w:rPr>
              <w:t>中国和平出版社有限责任公司</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25"/>
              <w:jc w:val="right"/>
              <w:rPr>
                <w:rFonts w:ascii="Times New Roman" w:hAnsi="Times New Roman" w:cs="Times New Roman" w:eastAsia="Times New Roman" w:hint="default"/>
                <w:sz w:val="18"/>
                <w:szCs w:val="18"/>
              </w:rPr>
            </w:pPr>
            <w:r>
              <w:rPr>
                <w:rFonts w:ascii="Times New Roman"/>
                <w:spacing w:val="-1"/>
                <w:sz w:val="18"/>
              </w:rPr>
              <w:t>1,763,736.49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2" w:right="0"/>
              <w:jc w:val="left"/>
              <w:rPr>
                <w:rFonts w:ascii="宋体" w:hAnsi="宋体" w:cs="宋体" w:eastAsia="宋体" w:hint="default"/>
                <w:sz w:val="18"/>
                <w:szCs w:val="18"/>
              </w:rPr>
            </w:pPr>
            <w:r>
              <w:rPr>
                <w:rFonts w:ascii="宋体" w:hAnsi="宋体" w:cs="宋体" w:eastAsia="宋体" w:hint="default"/>
                <w:sz w:val="18"/>
                <w:szCs w:val="18"/>
              </w:rPr>
              <w:t>未开票结算</w:t>
            </w:r>
          </w:p>
        </w:tc>
      </w:tr>
      <w:tr>
        <w:trPr>
          <w:trHeight w:val="440"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河北紫鑫图书贸易有限公司</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5"/>
              <w:jc w:val="right"/>
              <w:rPr>
                <w:rFonts w:ascii="Times New Roman" w:hAnsi="Times New Roman" w:cs="Times New Roman" w:eastAsia="Times New Roman" w:hint="default"/>
                <w:sz w:val="18"/>
                <w:szCs w:val="18"/>
              </w:rPr>
            </w:pPr>
            <w:r>
              <w:rPr>
                <w:rFonts w:ascii="Times New Roman"/>
                <w:spacing w:val="-1"/>
                <w:sz w:val="18"/>
              </w:rPr>
              <w:t>1,614,396.27</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2" w:right="0"/>
              <w:jc w:val="left"/>
              <w:rPr>
                <w:rFonts w:ascii="宋体" w:hAnsi="宋体" w:cs="宋体" w:eastAsia="宋体" w:hint="default"/>
                <w:sz w:val="18"/>
                <w:szCs w:val="18"/>
              </w:rPr>
            </w:pPr>
            <w:r>
              <w:rPr>
                <w:rFonts w:ascii="宋体" w:hAnsi="宋体" w:cs="宋体" w:eastAsia="宋体" w:hint="default"/>
                <w:sz w:val="18"/>
                <w:szCs w:val="18"/>
              </w:rPr>
              <w:t>未开票结算</w:t>
            </w:r>
          </w:p>
        </w:tc>
      </w:tr>
      <w:tr>
        <w:trPr>
          <w:trHeight w:val="441"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sz w:val="18"/>
                <w:szCs w:val="18"/>
              </w:rPr>
              <w:t>河北少年儿童出版社有限责任公司</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5"/>
              <w:jc w:val="right"/>
              <w:rPr>
                <w:rFonts w:ascii="Times New Roman" w:hAnsi="Times New Roman" w:cs="Times New Roman" w:eastAsia="Times New Roman" w:hint="default"/>
                <w:sz w:val="18"/>
                <w:szCs w:val="18"/>
              </w:rPr>
            </w:pPr>
            <w:r>
              <w:rPr>
                <w:rFonts w:ascii="Times New Roman"/>
                <w:spacing w:val="-1"/>
                <w:sz w:val="18"/>
              </w:rPr>
              <w:t>1,294,897.10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7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440"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谭慧芸</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5"/>
              <w:jc w:val="right"/>
              <w:rPr>
                <w:rFonts w:ascii="Times New Roman" w:hAnsi="Times New Roman" w:cs="Times New Roman" w:eastAsia="Times New Roman" w:hint="default"/>
                <w:sz w:val="18"/>
                <w:szCs w:val="18"/>
              </w:rPr>
            </w:pPr>
            <w:r>
              <w:rPr>
                <w:rFonts w:ascii="Times New Roman"/>
                <w:spacing w:val="-1"/>
                <w:sz w:val="18"/>
              </w:rPr>
              <w:t>913,845.00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2" w:right="0"/>
              <w:jc w:val="left"/>
              <w:rPr>
                <w:rFonts w:ascii="宋体" w:hAnsi="宋体" w:cs="宋体" w:eastAsia="宋体" w:hint="default"/>
                <w:sz w:val="18"/>
                <w:szCs w:val="18"/>
              </w:rPr>
            </w:pPr>
            <w:r>
              <w:rPr>
                <w:rFonts w:ascii="宋体" w:hAnsi="宋体" w:cs="宋体" w:eastAsia="宋体" w:hint="default"/>
                <w:sz w:val="18"/>
                <w:szCs w:val="18"/>
              </w:rPr>
              <w:t>预付购房款</w:t>
            </w:r>
          </w:p>
        </w:tc>
      </w:tr>
      <w:tr>
        <w:trPr>
          <w:trHeight w:val="315" w:hRule="exact"/>
        </w:trPr>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14"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8,586,874.86</w:t>
            </w:r>
            <w:r>
              <w:rPr>
                <w:rFonts w:ascii="Times New Roman"/>
                <w:spacing w:val="-1"/>
                <w:sz w:val="18"/>
              </w:rPr>
            </w:r>
          </w:p>
        </w:tc>
        <w:tc>
          <w:tcPr>
            <w:tcW w:w="1493"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673" w:right="0"/>
        <w:jc w:val="left"/>
      </w:pPr>
      <w:r>
        <w:rPr/>
        <w:t>（</w:t>
      </w:r>
      <w:r>
        <w:rPr>
          <w:rFonts w:ascii="Times New Roman" w:hAnsi="Times New Roman" w:cs="Times New Roman" w:eastAsia="Times New Roman" w:hint="default"/>
        </w:rPr>
        <w:t>3</w:t>
      </w:r>
      <w:r>
        <w:rPr/>
        <w:t>）本报告期预付款项中无预付持公司</w:t>
      </w:r>
      <w:r>
        <w:rPr>
          <w:spacing w:val="-44"/>
        </w:rPr>
        <w:t> </w:t>
      </w:r>
      <w:r>
        <w:rPr>
          <w:rFonts w:ascii="Times New Roman" w:hAnsi="Times New Roman" w:cs="Times New Roman" w:eastAsia="Times New Roman" w:hint="default"/>
        </w:rPr>
        <w:t>5%</w:t>
      </w:r>
      <w:r>
        <w:rPr/>
        <w:t>（含</w:t>
      </w:r>
      <w:r>
        <w:rPr>
          <w:spacing w:val="-45"/>
        </w:rPr>
        <w:t> </w:t>
      </w:r>
      <w:r>
        <w:rPr>
          <w:rFonts w:ascii="Times New Roman" w:hAnsi="Times New Roman" w:cs="Times New Roman" w:eastAsia="Times New Roman" w:hint="default"/>
        </w:rPr>
        <w:t>5%</w:t>
      </w:r>
      <w:r>
        <w:rPr/>
        <w:t>）以上表决权股份的股东单位及其他关联方的款项。</w:t>
      </w:r>
    </w:p>
    <w:p>
      <w:pPr>
        <w:spacing w:after="0" w:line="240" w:lineRule="auto"/>
        <w:jc w:val="left"/>
        <w:sectPr>
          <w:headerReference w:type="default" r:id="rId60"/>
          <w:pgSz w:w="11910" w:h="16840"/>
          <w:pgMar w:header="918" w:footer="999" w:top="1100" w:bottom="1180" w:left="820" w:right="880"/>
        </w:sectPr>
      </w:pPr>
    </w:p>
    <w:p>
      <w:pPr>
        <w:spacing w:line="240" w:lineRule="auto" w:before="11"/>
        <w:rPr>
          <w:rFonts w:ascii="宋体" w:hAnsi="宋体" w:cs="宋体" w:eastAsia="宋体" w:hint="default"/>
          <w:sz w:val="20"/>
          <w:szCs w:val="20"/>
        </w:rPr>
      </w:pPr>
    </w:p>
    <w:p>
      <w:pPr>
        <w:pStyle w:val="Heading5"/>
        <w:spacing w:line="240" w:lineRule="auto" w:before="36"/>
        <w:ind w:left="233" w:right="283"/>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31"/>
          <w:szCs w:val="31"/>
        </w:rPr>
      </w:pPr>
    </w:p>
    <w:p>
      <w:pPr>
        <w:pStyle w:val="BodyText"/>
        <w:spacing w:line="240" w:lineRule="auto"/>
        <w:ind w:left="593" w:right="283"/>
        <w:jc w:val="left"/>
      </w:pPr>
      <w:r>
        <w:rPr/>
        <w:t>（</w:t>
      </w:r>
      <w:r>
        <w:rPr>
          <w:rFonts w:ascii="Times New Roman" w:hAnsi="Times New Roman" w:cs="Times New Roman" w:eastAsia="Times New Roman" w:hint="default"/>
        </w:rPr>
        <w:t>1</w:t>
      </w:r>
      <w:r>
        <w:rPr/>
        <w:t>）按类别列示</w:t>
      </w:r>
    </w:p>
    <w:p>
      <w:pPr>
        <w:spacing w:line="240" w:lineRule="auto" w:before="11"/>
        <w:rPr>
          <w:rFonts w:ascii="宋体" w:hAnsi="宋体" w:cs="宋体" w:eastAsia="宋体" w:hint="default"/>
          <w:sz w:val="21"/>
          <w:szCs w:val="21"/>
        </w:rPr>
      </w:pPr>
    </w:p>
    <w:p>
      <w:pPr>
        <w:tabs>
          <w:tab w:pos="7763" w:val="left" w:leader="none"/>
        </w:tabs>
        <w:spacing w:before="54"/>
        <w:ind w:left="3886" w:right="283"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18" w:footer="999" w:top="1100" w:bottom="1180" w:left="900" w:right="900"/>
        </w:sectPr>
      </w:pPr>
    </w:p>
    <w:p>
      <w:pPr>
        <w:spacing w:line="240" w:lineRule="auto" w:before="8"/>
        <w:rPr>
          <w:rFonts w:ascii="宋体" w:hAnsi="宋体" w:cs="宋体" w:eastAsia="宋体" w:hint="default"/>
          <w:b/>
          <w:bCs/>
          <w:sz w:val="15"/>
          <w:szCs w:val="15"/>
        </w:rPr>
      </w:pPr>
    </w:p>
    <w:p>
      <w:pPr>
        <w:tabs>
          <w:tab w:pos="3567" w:val="left" w:leader="none"/>
        </w:tabs>
        <w:spacing w:before="0"/>
        <w:ind w:left="953" w:right="0" w:firstLine="0"/>
        <w:jc w:val="left"/>
        <w:rPr>
          <w:rFonts w:ascii="宋体" w:hAnsi="宋体" w:cs="宋体" w:eastAsia="宋体" w:hint="default"/>
          <w:sz w:val="15"/>
          <w:szCs w:val="15"/>
        </w:rPr>
      </w:pPr>
      <w:r>
        <w:rPr>
          <w:rFonts w:ascii="宋体" w:hAnsi="宋体" w:cs="宋体" w:eastAsia="宋体" w:hint="default"/>
          <w:b/>
          <w:bCs/>
          <w:position w:val="3"/>
          <w:sz w:val="15"/>
          <w:szCs w:val="15"/>
        </w:rPr>
        <w:t>类</w:t>
      </w:r>
      <w:r>
        <w:rPr>
          <w:rFonts w:ascii="宋体" w:hAnsi="宋体" w:cs="宋体" w:eastAsia="宋体" w:hint="default"/>
          <w:b/>
          <w:bCs/>
          <w:spacing w:val="73"/>
          <w:position w:val="3"/>
          <w:sz w:val="15"/>
          <w:szCs w:val="15"/>
        </w:rPr>
        <w:t> </w:t>
      </w:r>
      <w:r>
        <w:rPr>
          <w:rFonts w:ascii="宋体" w:hAnsi="宋体" w:cs="宋体" w:eastAsia="宋体" w:hint="default"/>
          <w:b/>
          <w:bCs/>
          <w:position w:val="3"/>
          <w:sz w:val="15"/>
          <w:szCs w:val="15"/>
        </w:rPr>
        <w:t>别</w:t>
        <w:tab/>
      </w:r>
      <w:r>
        <w:rPr>
          <w:rFonts w:ascii="宋体" w:hAnsi="宋体" w:cs="宋体" w:eastAsia="宋体" w:hint="default"/>
          <w:b/>
          <w:bCs/>
          <w:sz w:val="15"/>
          <w:szCs w:val="15"/>
        </w:rPr>
        <w:t>占总额</w:t>
      </w:r>
      <w:r>
        <w:rPr>
          <w:rFonts w:ascii="宋体" w:hAnsi="宋体" w:cs="宋体" w:eastAsia="宋体" w:hint="default"/>
          <w:sz w:val="15"/>
          <w:szCs w:val="15"/>
        </w:rPr>
      </w:r>
    </w:p>
    <w:p>
      <w:pPr>
        <w:spacing w:before="3"/>
        <w:ind w:left="2655" w:right="0"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before="3"/>
        <w:ind w:left="0" w:right="0" w:firstLine="0"/>
        <w:jc w:val="right"/>
        <w:rPr>
          <w:rFonts w:ascii="宋体" w:hAnsi="宋体" w:cs="宋体" w:eastAsia="宋体" w:hint="default"/>
          <w:sz w:val="15"/>
          <w:szCs w:val="15"/>
        </w:rPr>
      </w:pPr>
      <w:r>
        <w:rPr>
          <w:rFonts w:ascii="宋体" w:hAnsi="宋体" w:cs="宋体" w:eastAsia="宋体" w:hint="default"/>
          <w:b/>
          <w:bCs/>
          <w:w w:val="100"/>
          <w:sz w:val="15"/>
          <w:szCs w:val="15"/>
        </w:rPr>
        <w:t>比</w:t>
      </w:r>
      <w:r>
        <w:rPr>
          <w:rFonts w:ascii="宋体" w:hAnsi="宋体" w:cs="宋体" w:eastAsia="宋体" w:hint="default"/>
          <w:b/>
          <w:bCs/>
          <w:spacing w:val="-63"/>
          <w:w w:val="100"/>
          <w:sz w:val="15"/>
          <w:szCs w:val="15"/>
        </w:rPr>
        <w:t>例</w:t>
      </w:r>
      <w:r>
        <w:rPr>
          <w:rFonts w:ascii="宋体" w:hAnsi="宋体" w:cs="宋体" w:eastAsia="宋体" w:hint="default"/>
          <w:b/>
          <w:bCs/>
          <w:spacing w:val="-3"/>
          <w:w w:val="100"/>
          <w:sz w:val="15"/>
          <w:szCs w:val="15"/>
        </w:rPr>
        <w:t>（</w:t>
      </w:r>
      <w:r>
        <w:rPr>
          <w:rFonts w:ascii="Times New Roman" w:hAnsi="Times New Roman" w:cs="Times New Roman" w:eastAsia="Times New Roman" w:hint="default"/>
          <w:b/>
          <w:bCs/>
          <w:w w:val="100"/>
          <w:sz w:val="15"/>
          <w:szCs w:val="15"/>
        </w:rPr>
        <w:t>%</w:t>
      </w:r>
      <w:r>
        <w:rPr>
          <w:rFonts w:ascii="宋体" w:hAnsi="宋体" w:cs="宋体" w:eastAsia="宋体" w:hint="default"/>
          <w:b/>
          <w:bCs/>
          <w:w w:val="100"/>
          <w:sz w:val="15"/>
          <w:szCs w:val="15"/>
        </w:rPr>
        <w:t>）</w:t>
      </w:r>
      <w:r>
        <w:rPr>
          <w:rFonts w:ascii="宋体" w:hAnsi="宋体" w:cs="宋体" w:eastAsia="宋体" w:hint="default"/>
          <w:w w:val="100"/>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2"/>
        <w:rPr>
          <w:rFonts w:ascii="宋体" w:hAnsi="宋体" w:cs="宋体" w:eastAsia="宋体" w:hint="default"/>
          <w:b/>
          <w:bCs/>
          <w:sz w:val="19"/>
          <w:szCs w:val="19"/>
        </w:rPr>
      </w:pPr>
    </w:p>
    <w:p>
      <w:pPr>
        <w:spacing w:before="0"/>
        <w:ind w:left="192"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444" w:lineRule="auto" w:before="74"/>
        <w:ind w:left="327" w:right="-17"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401"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before="54"/>
        <w:ind w:left="0" w:right="0" w:firstLine="0"/>
        <w:jc w:val="right"/>
        <w:rPr>
          <w:rFonts w:ascii="宋体" w:hAnsi="宋体" w:cs="宋体" w:eastAsia="宋体" w:hint="default"/>
          <w:sz w:val="15"/>
          <w:szCs w:val="15"/>
        </w:rPr>
      </w:pPr>
      <w:r>
        <w:rPr/>
        <w:br w:type="column"/>
      </w:r>
      <w:r>
        <w:rPr>
          <w:rFonts w:ascii="宋体" w:hAnsi="宋体" w:cs="宋体" w:eastAsia="宋体" w:hint="default"/>
          <w:b/>
          <w:bCs/>
          <w:sz w:val="15"/>
          <w:szCs w:val="15"/>
        </w:rPr>
        <w:t>占总额</w:t>
      </w:r>
      <w:r>
        <w:rPr>
          <w:rFonts w:ascii="宋体" w:hAnsi="宋体" w:cs="宋体" w:eastAsia="宋体" w:hint="default"/>
          <w:sz w:val="15"/>
          <w:szCs w:val="15"/>
        </w:rPr>
      </w:r>
    </w:p>
    <w:p>
      <w:pPr>
        <w:spacing w:line="240" w:lineRule="auto" w:before="13"/>
        <w:rPr>
          <w:rFonts w:ascii="宋体" w:hAnsi="宋体" w:cs="宋体" w:eastAsia="宋体" w:hint="default"/>
          <w:b/>
          <w:bCs/>
          <w:sz w:val="13"/>
          <w:szCs w:val="13"/>
        </w:rPr>
      </w:pPr>
    </w:p>
    <w:p>
      <w:pPr>
        <w:tabs>
          <w:tab w:pos="938" w:val="left" w:leader="none"/>
        </w:tabs>
        <w:spacing w:before="0"/>
        <w:ind w:left="0" w:right="72" w:firstLine="0"/>
        <w:jc w:val="right"/>
        <w:rPr>
          <w:rFonts w:ascii="宋体" w:hAnsi="宋体" w:cs="宋体" w:eastAsia="宋体" w:hint="default"/>
          <w:sz w:val="15"/>
          <w:szCs w:val="15"/>
        </w:rPr>
      </w:pPr>
      <w:r>
        <w:rPr>
          <w:rFonts w:ascii="宋体" w:hAnsi="宋体" w:cs="宋体" w:eastAsia="宋体" w:hint="default"/>
          <w:b/>
          <w:bCs/>
          <w:sz w:val="15"/>
          <w:szCs w:val="15"/>
        </w:rPr>
        <w:t>金额</w:t>
        <w:tab/>
      </w:r>
      <w:r>
        <w:rPr>
          <w:rFonts w:ascii="宋体" w:hAnsi="宋体" w:cs="宋体" w:eastAsia="宋体" w:hint="default"/>
          <w:b/>
          <w:bCs/>
          <w:position w:val="-1"/>
          <w:sz w:val="15"/>
          <w:szCs w:val="15"/>
        </w:rPr>
        <w:t>比例</w:t>
      </w:r>
      <w:r>
        <w:rPr>
          <w:rFonts w:ascii="宋体" w:hAnsi="宋体" w:cs="宋体" w:eastAsia="宋体" w:hint="default"/>
          <w:sz w:val="15"/>
          <w:szCs w:val="15"/>
        </w:rPr>
      </w:r>
    </w:p>
    <w:p>
      <w:pPr>
        <w:spacing w:line="240" w:lineRule="auto" w:before="6"/>
        <w:rPr>
          <w:rFonts w:ascii="宋体" w:hAnsi="宋体" w:cs="宋体" w:eastAsia="宋体" w:hint="default"/>
          <w:b/>
          <w:bCs/>
          <w:sz w:val="12"/>
          <w:szCs w:val="12"/>
        </w:rPr>
      </w:pPr>
    </w:p>
    <w:p>
      <w:pPr>
        <w:spacing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2"/>
        <w:rPr>
          <w:rFonts w:ascii="宋体" w:hAnsi="宋体" w:cs="宋体" w:eastAsia="宋体" w:hint="default"/>
          <w:b/>
          <w:bCs/>
          <w:sz w:val="19"/>
          <w:szCs w:val="19"/>
        </w:rPr>
      </w:pPr>
    </w:p>
    <w:p>
      <w:pPr>
        <w:spacing w:before="0"/>
        <w:ind w:left="300"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444" w:lineRule="auto" w:before="74"/>
        <w:ind w:left="334" w:right="285"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411" w:right="285"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180" w:left="900" w:right="900"/>
          <w:cols w:num="6" w:equalWidth="0">
            <w:col w:w="4178" w:space="40"/>
            <w:col w:w="798" w:space="40"/>
            <w:col w:w="933" w:space="40"/>
            <w:col w:w="1852" w:space="40"/>
            <w:col w:w="906" w:space="40"/>
            <w:col w:w="1243"/>
          </w:cols>
        </w:sectPr>
      </w:pPr>
    </w:p>
    <w:p>
      <w:pPr>
        <w:spacing w:line="240" w:lineRule="auto" w:before="10"/>
        <w:rPr>
          <w:rFonts w:ascii="宋体" w:hAnsi="宋体" w:cs="宋体" w:eastAsia="宋体" w:hint="default"/>
          <w:b/>
          <w:bCs/>
          <w:sz w:val="14"/>
          <w:szCs w:val="14"/>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93.6pt;height:1pt;mso-position-horizontal-relative:char;mso-position-vertical-relative:line" coordorigin="0,0" coordsize="9872,20">
            <v:group style="position:absolute;left:10;top:10;width:2110;height:2" coordorigin="10,10" coordsize="2110,2">
              <v:shape style="position:absolute;left:10;top:10;width:2110;height:2" coordorigin="10,10" coordsize="2110,0" path="m10,10l2120,10e" filled="false" stroked="true" strokeweight=".96001pt" strokecolor="#000000">
                <v:path arrowok="t"/>
              </v:shape>
            </v:group>
            <v:group style="position:absolute;left:2120;top:5;width:1141;height:2" coordorigin="2120,5" coordsize="1141,2">
              <v:shape style="position:absolute;left:2120;top:5;width:1141;height:2" coordorigin="2120,5" coordsize="1141,0" path="m2120,5l3260,5e" filled="false" stroked="true" strokeweight=".48001pt" strokecolor="#000000">
                <v:path arrowok="t"/>
              </v:shape>
            </v:group>
            <v:group style="position:absolute;left:3260;top:5;width:10;height:2" coordorigin="3260,5" coordsize="10,2">
              <v:shape style="position:absolute;left:3260;top:5;width:10;height:2" coordorigin="3260,5" coordsize="10,0" path="m3260,5l3270,5e" filled="false" stroked="true" strokeweight=".48001pt" strokecolor="#000000">
                <v:path arrowok="t"/>
              </v:shape>
            </v:group>
            <v:group style="position:absolute;left:3270;top:5;width:821;height:2" coordorigin="3270,5" coordsize="821,2">
              <v:shape style="position:absolute;left:3270;top:5;width:821;height:2" coordorigin="3270,5" coordsize="821,0" path="m3270,5l4091,5e" filled="false" stroked="true" strokeweight=".48001pt" strokecolor="#000000">
                <v:path arrowok="t"/>
              </v:shape>
            </v:group>
            <v:group style="position:absolute;left:4091;top:5;width:10;height:2" coordorigin="4091,5" coordsize="10,2">
              <v:shape style="position:absolute;left:4091;top:5;width:10;height:2" coordorigin="4091,5" coordsize="10,0" path="m4091,5l4100,5e" filled="false" stroked="true" strokeweight=".48001pt" strokecolor="#000000">
                <v:path arrowok="t"/>
              </v:shape>
            </v:group>
            <v:group style="position:absolute;left:4100;top:5;width:1004;height:2" coordorigin="4100,5" coordsize="1004,2">
              <v:shape style="position:absolute;left:4100;top:5;width:1004;height:2" coordorigin="4100,5" coordsize="1004,0" path="m4100,5l5104,5e" filled="false" stroked="true" strokeweight=".48001pt" strokecolor="#000000">
                <v:path arrowok="t"/>
              </v:shape>
            </v:group>
            <v:group style="position:absolute;left:5104;top:5;width:10;height:2" coordorigin="5104,5" coordsize="10,2">
              <v:shape style="position:absolute;left:5104;top:5;width:10;height:2" coordorigin="5104,5" coordsize="10,0" path="m5104,5l5113,5e" filled="false" stroked="true" strokeweight=".48001pt" strokecolor="#000000">
                <v:path arrowok="t"/>
              </v:shape>
            </v:group>
            <v:group style="position:absolute;left:5113;top:5;width:915;height:2" coordorigin="5113,5" coordsize="915,2">
              <v:shape style="position:absolute;left:5113;top:5;width:915;height:2" coordorigin="5113,5" coordsize="915,0" path="m5113,5l6028,5e" filled="false" stroked="true" strokeweight=".48001pt" strokecolor="#000000">
                <v:path arrowok="t"/>
              </v:shape>
            </v:group>
            <v:group style="position:absolute;left:6028;top:5;width:10;height:2" coordorigin="6028,5" coordsize="10,2">
              <v:shape style="position:absolute;left:6028;top:5;width:10;height:2" coordorigin="6028,5" coordsize="10,0" path="m6028,5l6037,5e" filled="false" stroked="true" strokeweight=".48001pt" strokecolor="#000000">
                <v:path arrowok="t"/>
              </v:shape>
            </v:group>
            <v:group style="position:absolute;left:6037;top:5;width:1129;height:2" coordorigin="6037,5" coordsize="1129,2">
              <v:shape style="position:absolute;left:6037;top:5;width:1129;height:2" coordorigin="6037,5" coordsize="1129,0" path="m6037,5l7166,5e" filled="false" stroked="true" strokeweight=".48001pt" strokecolor="#000000">
                <v:path arrowok="t"/>
              </v:shape>
            </v:group>
            <v:group style="position:absolute;left:7166;top:5;width:10;height:2" coordorigin="7166,5" coordsize="10,2">
              <v:shape style="position:absolute;left:7166;top:5;width:10;height:2" coordorigin="7166,5" coordsize="10,0" path="m7166,5l7176,5e" filled="false" stroked="true" strokeweight=".48001pt" strokecolor="#000000">
                <v:path arrowok="t"/>
              </v:shape>
            </v:group>
            <v:group style="position:absolute;left:7176;top:5;width:732;height:2" coordorigin="7176,5" coordsize="732,2">
              <v:shape style="position:absolute;left:7176;top:5;width:732;height:2" coordorigin="7176,5" coordsize="732,0" path="m7176,5l7908,5e" filled="false" stroked="true" strokeweight=".48001pt" strokecolor="#000000">
                <v:path arrowok="t"/>
              </v:shape>
            </v:group>
            <v:group style="position:absolute;left:7908;top:5;width:10;height:2" coordorigin="7908,5" coordsize="10,2">
              <v:shape style="position:absolute;left:7908;top:5;width:10;height:2" coordorigin="7908,5" coordsize="10,0" path="m7908,5l7917,5e" filled="false" stroked="true" strokeweight=".48001pt" strokecolor="#000000">
                <v:path arrowok="t"/>
              </v:shape>
            </v:group>
            <v:group style="position:absolute;left:7917;top:5;width:990;height:2" coordorigin="7917,5" coordsize="990,2">
              <v:shape style="position:absolute;left:7917;top:5;width:990;height:2" coordorigin="7917,5" coordsize="990,0" path="m7917,5l8906,5e" filled="false" stroked="true" strokeweight=".48001pt" strokecolor="#000000">
                <v:path arrowok="t"/>
              </v:shape>
            </v:group>
            <v:group style="position:absolute;left:8906;top:5;width:10;height:2" coordorigin="8906,5" coordsize="10,2">
              <v:shape style="position:absolute;left:8906;top:5;width:10;height:2" coordorigin="8906,5" coordsize="10,0" path="m8906,5l8916,5e" filled="false" stroked="true" strokeweight=".48001pt" strokecolor="#000000">
                <v:path arrowok="t"/>
              </v:shape>
            </v:group>
            <v:group style="position:absolute;left:8916;top:5;width:951;height:2" coordorigin="8916,5" coordsize="951,2">
              <v:shape style="position:absolute;left:8916;top:5;width:951;height:2" coordorigin="8916,5" coordsize="951,0" path="m8916,5l9866,5e" filled="false" stroked="true" strokeweight=".48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7"/>
          <w:szCs w:val="7"/>
        </w:rPr>
      </w:pPr>
    </w:p>
    <w:p>
      <w:pPr>
        <w:spacing w:line="439" w:lineRule="auto" w:before="54"/>
        <w:ind w:left="233" w:right="6767"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账准备的其他应收款</w:t>
      </w:r>
    </w:p>
    <w:p>
      <w:pPr>
        <w:spacing w:after="0" w:line="439" w:lineRule="auto"/>
        <w:jc w:val="left"/>
        <w:rPr>
          <w:rFonts w:ascii="宋体" w:hAnsi="宋体" w:cs="宋体" w:eastAsia="宋体" w:hint="default"/>
          <w:sz w:val="15"/>
          <w:szCs w:val="15"/>
        </w:rPr>
        <w:sectPr>
          <w:type w:val="continuous"/>
          <w:pgSz w:w="11910" w:h="16840"/>
          <w:pgMar w:top="1100" w:bottom="1180" w:left="900" w:right="900"/>
        </w:sectPr>
      </w:pPr>
    </w:p>
    <w:p>
      <w:pPr>
        <w:spacing w:line="436" w:lineRule="auto" w:before="121"/>
        <w:ind w:left="233" w:right="0"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按组合计提坏账准备的其他</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应收款</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1"/>
          <w:szCs w:val="11"/>
        </w:rPr>
      </w:pPr>
    </w:p>
    <w:p>
      <w:pPr>
        <w:tabs>
          <w:tab w:pos="1502" w:val="left" w:leader="none"/>
          <w:tab w:pos="2196" w:val="left" w:leader="none"/>
          <w:tab w:pos="3375" w:val="left" w:leader="none"/>
          <w:tab w:pos="4143" w:val="left" w:leader="none"/>
          <w:tab w:pos="5360" w:val="left" w:leader="none"/>
          <w:tab w:pos="6006" w:val="left" w:leader="none"/>
          <w:tab w:pos="7192" w:val="left" w:leader="none"/>
        </w:tabs>
        <w:spacing w:before="0"/>
        <w:ind w:left="233" w:right="0" w:firstLine="0"/>
        <w:jc w:val="left"/>
        <w:rPr>
          <w:rFonts w:ascii="Times New Roman" w:hAnsi="Times New Roman" w:cs="Times New Roman" w:eastAsia="Times New Roman" w:hint="default"/>
          <w:sz w:val="15"/>
          <w:szCs w:val="15"/>
        </w:rPr>
      </w:pPr>
      <w:r>
        <w:rPr>
          <w:rFonts w:ascii="Times New Roman"/>
          <w:spacing w:val="-1"/>
          <w:sz w:val="15"/>
        </w:rPr>
        <w:t>7,613,705.05</w:t>
        <w:tab/>
        <w:t>100</w:t>
        <w:tab/>
        <w:t>230,346.85</w:t>
        <w:tab/>
        <w:t>3.03</w:t>
        <w:tab/>
        <w:t>2,268,364.76</w:t>
        <w:tab/>
        <w:t>100</w:t>
        <w:tab/>
        <w:t>166,329.03</w:t>
        <w:tab/>
        <w:t>7.33</w:t>
      </w:r>
    </w:p>
    <w:p>
      <w:pPr>
        <w:spacing w:after="0"/>
        <w:jc w:val="left"/>
        <w:rPr>
          <w:rFonts w:ascii="Times New Roman" w:hAnsi="Times New Roman" w:cs="Times New Roman" w:eastAsia="Times New Roman" w:hint="default"/>
          <w:sz w:val="15"/>
          <w:szCs w:val="15"/>
        </w:rPr>
        <w:sectPr>
          <w:type w:val="continuous"/>
          <w:pgSz w:w="11910" w:h="16840"/>
          <w:pgMar w:top="1100" w:bottom="1180" w:left="900" w:right="900"/>
          <w:cols w:num="2" w:equalWidth="0">
            <w:col w:w="2036" w:space="141"/>
            <w:col w:w="7933"/>
          </w:cols>
        </w:sectPr>
      </w:pPr>
    </w:p>
    <w:p>
      <w:pPr>
        <w:spacing w:line="439" w:lineRule="auto" w:before="122"/>
        <w:ind w:left="233" w:right="6767"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坏账准备的其他应收款</w:t>
      </w:r>
    </w:p>
    <w:p>
      <w:pPr>
        <w:tabs>
          <w:tab w:pos="2410" w:val="left" w:leader="none"/>
          <w:tab w:pos="3680" w:val="left" w:leader="none"/>
          <w:tab w:pos="4373" w:val="left" w:leader="none"/>
          <w:tab w:pos="6320" w:val="left" w:leader="none"/>
          <w:tab w:pos="7537" w:val="left" w:leader="none"/>
          <w:tab w:pos="8183" w:val="left" w:leader="none"/>
        </w:tabs>
        <w:spacing w:before="118"/>
        <w:ind w:left="958" w:right="28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7,613,705.05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230,346.85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2,268,364.76</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166,329.03</w:t>
      </w:r>
      <w:r>
        <w:rPr>
          <w:rFonts w:ascii="Times New Roman" w:hAnsi="Times New Roman" w:cs="Times New Roman" w:eastAsia="Times New Roman" w:hint="default"/>
          <w:spacing w:val="-1"/>
          <w:sz w:val="15"/>
          <w:szCs w:val="15"/>
        </w:rPr>
      </w:r>
    </w:p>
    <w:p>
      <w:pPr>
        <w:spacing w:line="240" w:lineRule="auto" w:before="8"/>
        <w:rPr>
          <w:rFonts w:ascii="Times New Roman" w:hAnsi="Times New Roman" w:cs="Times New Roman" w:eastAsia="Times New Roman" w:hint="default"/>
          <w:sz w:val="23"/>
          <w:szCs w:val="23"/>
        </w:rPr>
      </w:pPr>
    </w:p>
    <w:p>
      <w:pPr>
        <w:pStyle w:val="BodyText"/>
        <w:spacing w:line="240" w:lineRule="auto" w:before="44"/>
        <w:ind w:left="593" w:right="283"/>
        <w:jc w:val="left"/>
      </w:pPr>
      <w:r>
        <w:rPr/>
        <w:t>（</w:t>
      </w:r>
      <w:r>
        <w:rPr>
          <w:rFonts w:ascii="Times New Roman" w:hAnsi="Times New Roman" w:cs="Times New Roman" w:eastAsia="Times New Roman" w:hint="default"/>
        </w:rPr>
        <w:t>2</w:t>
      </w:r>
      <w:r>
        <w:rPr/>
        <w:t>）组合中，按账龄分析法计提坏账准备的其他应收款</w:t>
      </w:r>
    </w:p>
    <w:p>
      <w:pPr>
        <w:spacing w:line="240" w:lineRule="auto" w:before="11"/>
        <w:rPr>
          <w:rFonts w:ascii="宋体" w:hAnsi="宋体" w:cs="宋体" w:eastAsia="宋体" w:hint="default"/>
          <w:sz w:val="21"/>
          <w:szCs w:val="21"/>
        </w:rPr>
      </w:pPr>
    </w:p>
    <w:p>
      <w:pPr>
        <w:tabs>
          <w:tab w:pos="7595" w:val="left" w:leader="none"/>
        </w:tabs>
        <w:spacing w:before="54"/>
        <w:ind w:left="3413" w:right="283"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3"/>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475"/>
        <w:gridCol w:w="1257"/>
        <w:gridCol w:w="763"/>
        <w:gridCol w:w="1181"/>
        <w:gridCol w:w="1103"/>
        <w:gridCol w:w="1110"/>
        <w:gridCol w:w="938"/>
        <w:gridCol w:w="1085"/>
        <w:gridCol w:w="943"/>
      </w:tblGrid>
      <w:tr>
        <w:trPr>
          <w:trHeight w:val="491"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 w:right="0"/>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3"/>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322"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2"/>
              <w:jc w:val="righ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172"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216"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b/>
                <w:bCs/>
                <w:spacing w:val="-10"/>
                <w:sz w:val="15"/>
                <w:szCs w:val="15"/>
              </w:rPr>
              <w:t>比例（</w:t>
            </w:r>
            <w:r>
              <w:rPr>
                <w:rFonts w:ascii="Times New Roman" w:hAnsi="Times New Roman" w:cs="Times New Roman" w:eastAsia="Times New Roman" w:hint="default"/>
                <w:b/>
                <w:bCs/>
                <w:spacing w:val="-10"/>
                <w:sz w:val="15"/>
                <w:szCs w:val="15"/>
              </w:rPr>
              <w:t>%</w:t>
            </w:r>
            <w:r>
              <w:rPr>
                <w:rFonts w:ascii="宋体" w:hAnsi="宋体" w:cs="宋体" w:eastAsia="宋体" w:hint="default"/>
                <w:b/>
                <w:bCs/>
                <w:spacing w:val="-10"/>
                <w:sz w:val="15"/>
                <w:szCs w:val="15"/>
              </w:rPr>
              <w:t>）</w:t>
            </w:r>
            <w:r>
              <w:rPr>
                <w:rFonts w:ascii="宋体" w:hAnsi="宋体" w:cs="宋体" w:eastAsia="宋体" w:hint="default"/>
                <w:spacing w:val="-10"/>
                <w:sz w:val="15"/>
                <w:szCs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8"/>
              <w:jc w:val="righ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14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258" w:hRule="exact"/>
        </w:trPr>
        <w:tc>
          <w:tcPr>
            <w:tcW w:w="1475" w:type="dxa"/>
            <w:tcBorders>
              <w:top w:val="nil" w:sz="6" w:space="0" w:color="auto"/>
              <w:left w:val="nil" w:sz="6" w:space="0" w:color="auto"/>
              <w:bottom w:val="single" w:sz="4" w:space="0" w:color="000000"/>
              <w:right w:val="nil" w:sz="6" w:space="0" w:color="auto"/>
            </w:tcBorders>
          </w:tcPr>
          <w:p>
            <w:pPr/>
          </w:p>
        </w:tc>
        <w:tc>
          <w:tcPr>
            <w:tcW w:w="1257" w:type="dxa"/>
            <w:tcBorders>
              <w:top w:val="nil" w:sz="6" w:space="0" w:color="auto"/>
              <w:left w:val="nil" w:sz="6" w:space="0" w:color="auto"/>
              <w:bottom w:val="single" w:sz="4" w:space="0" w:color="000000"/>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173" w:lineRule="exact"/>
              <w:ind w:right="43"/>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81" w:type="dxa"/>
            <w:tcBorders>
              <w:top w:val="nil" w:sz="6" w:space="0" w:color="auto"/>
              <w:left w:val="nil" w:sz="6" w:space="0" w:color="auto"/>
              <w:bottom w:val="single" w:sz="4" w:space="0" w:color="000000"/>
              <w:right w:val="nil" w:sz="6" w:space="0" w:color="auto"/>
            </w:tcBorders>
          </w:tcPr>
          <w:p>
            <w:pPr>
              <w:pStyle w:val="TableParagraph"/>
              <w:spacing w:line="164" w:lineRule="exact"/>
              <w:ind w:right="171"/>
              <w:jc w:val="right"/>
              <w:rPr>
                <w:rFonts w:ascii="宋体" w:hAnsi="宋体" w:cs="宋体" w:eastAsia="宋体" w:hint="default"/>
                <w:sz w:val="15"/>
                <w:szCs w:val="15"/>
              </w:rPr>
            </w:pPr>
            <w:r>
              <w:rPr>
                <w:rFonts w:ascii="宋体" w:hAnsi="宋体" w:cs="宋体" w:eastAsia="宋体" w:hint="default"/>
                <w:b/>
                <w:bCs/>
                <w:spacing w:val="-1"/>
                <w:sz w:val="15"/>
                <w:szCs w:val="15"/>
              </w:rPr>
              <w:t>提比例（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1103" w:type="dxa"/>
            <w:tcBorders>
              <w:top w:val="nil" w:sz="6" w:space="0" w:color="auto"/>
              <w:left w:val="nil" w:sz="6" w:space="0" w:color="auto"/>
              <w:bottom w:val="single" w:sz="4" w:space="0" w:color="000000"/>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164" w:lineRule="exact"/>
              <w:ind w:right="147"/>
              <w:jc w:val="right"/>
              <w:rPr>
                <w:rFonts w:ascii="宋体" w:hAnsi="宋体" w:cs="宋体" w:eastAsia="宋体" w:hint="default"/>
                <w:sz w:val="15"/>
                <w:szCs w:val="15"/>
              </w:rPr>
            </w:pPr>
            <w:r>
              <w:rPr>
                <w:rFonts w:ascii="宋体" w:hAnsi="宋体" w:cs="宋体" w:eastAsia="宋体" w:hint="default"/>
                <w:b/>
                <w:bCs/>
                <w:spacing w:val="-1"/>
                <w:sz w:val="15"/>
                <w:szCs w:val="15"/>
              </w:rPr>
              <w:t>提比例（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943" w:type="dxa"/>
            <w:tcBorders>
              <w:top w:val="nil" w:sz="6" w:space="0" w:color="auto"/>
              <w:left w:val="nil" w:sz="6" w:space="0" w:color="auto"/>
              <w:bottom w:val="single" w:sz="4" w:space="0" w:color="000000"/>
              <w:right w:val="nil" w:sz="6" w:space="0" w:color="auto"/>
            </w:tcBorders>
          </w:tcPr>
          <w:p>
            <w:pPr/>
          </w:p>
        </w:tc>
      </w:tr>
      <w:tr>
        <w:trPr>
          <w:trHeight w:val="502" w:hRule="exact"/>
        </w:trPr>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spacing w:val="-1"/>
                <w:sz w:val="15"/>
              </w:rPr>
              <w:t>6,941,645.27</w:t>
            </w: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2"/>
              <w:jc w:val="center"/>
              <w:rPr>
                <w:rFonts w:ascii="Times New Roman" w:hAnsi="Times New Roman" w:cs="Times New Roman" w:eastAsia="Times New Roman" w:hint="default"/>
                <w:sz w:val="15"/>
                <w:szCs w:val="15"/>
              </w:rPr>
            </w:pPr>
            <w:r>
              <w:rPr>
                <w:rFonts w:ascii="Times New Roman"/>
                <w:sz w:val="15"/>
              </w:rPr>
              <w:t>91.17</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61"/>
              <w:jc w:val="center"/>
              <w:rPr>
                <w:rFonts w:ascii="Times New Roman" w:hAnsi="Times New Roman" w:cs="Times New Roman" w:eastAsia="Times New Roman" w:hint="default"/>
                <w:sz w:val="15"/>
                <w:szCs w:val="15"/>
              </w:rPr>
            </w:pPr>
            <w:r>
              <w:rPr>
                <w:rFonts w:ascii="Times New Roman"/>
                <w:w w:val="100"/>
                <w:sz w:val="15"/>
              </w:rPr>
              <w:t>1</w:t>
            </w: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pacing w:val="-1"/>
                <w:sz w:val="15"/>
              </w:rPr>
              <w:t>69,416.45</w:t>
            </w: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spacing w:val="-1"/>
                <w:sz w:val="15"/>
              </w:rPr>
              <w:t>2,022,564.93</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54"/>
              <w:jc w:val="center"/>
              <w:rPr>
                <w:rFonts w:ascii="Times New Roman" w:hAnsi="Times New Roman" w:cs="Times New Roman" w:eastAsia="Times New Roman" w:hint="default"/>
                <w:sz w:val="15"/>
                <w:szCs w:val="15"/>
              </w:rPr>
            </w:pPr>
            <w:r>
              <w:rPr>
                <w:rFonts w:ascii="Times New Roman"/>
                <w:sz w:val="15"/>
              </w:rPr>
              <w:t>89.16</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14"/>
              <w:jc w:val="center"/>
              <w:rPr>
                <w:rFonts w:ascii="Times New Roman" w:hAnsi="Times New Roman" w:cs="Times New Roman" w:eastAsia="Times New Roman" w:hint="default"/>
                <w:sz w:val="15"/>
                <w:szCs w:val="15"/>
              </w:rPr>
            </w:pPr>
            <w:r>
              <w:rPr>
                <w:rFonts w:ascii="Times New Roman"/>
                <w:w w:val="100"/>
                <w:sz w:val="15"/>
              </w:rPr>
              <w:t>1</w:t>
            </w: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20,225.64</w:t>
            </w:r>
          </w:p>
        </w:tc>
      </w:tr>
      <w:tr>
        <w:trPr>
          <w:trHeight w:val="440"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526,834.65</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6.92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61"/>
              <w:jc w:val="center"/>
              <w:rPr>
                <w:rFonts w:ascii="Times New Roman" w:hAnsi="Times New Roman" w:cs="Times New Roman" w:eastAsia="Times New Roman" w:hint="default"/>
                <w:sz w:val="15"/>
                <w:szCs w:val="15"/>
              </w:rPr>
            </w:pPr>
            <w:r>
              <w:rPr>
                <w:rFonts w:ascii="Times New Roman"/>
                <w:w w:val="100"/>
                <w:sz w:val="15"/>
              </w:rPr>
              <w:t>5</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pacing w:val="-1"/>
                <w:sz w:val="15"/>
              </w:rPr>
              <w:t>26,341.73</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spacing w:val="-1"/>
                <w:sz w:val="15"/>
              </w:rPr>
              <w:t>104,943.63</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54"/>
              <w:jc w:val="center"/>
              <w:rPr>
                <w:rFonts w:ascii="Times New Roman" w:hAnsi="Times New Roman" w:cs="Times New Roman" w:eastAsia="Times New Roman" w:hint="default"/>
                <w:sz w:val="15"/>
                <w:szCs w:val="15"/>
              </w:rPr>
            </w:pPr>
            <w:r>
              <w:rPr>
                <w:rFonts w:ascii="Times New Roman"/>
                <w:sz w:val="15"/>
              </w:rPr>
              <w:t>4.63</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14"/>
              <w:jc w:val="center"/>
              <w:rPr>
                <w:rFonts w:ascii="Times New Roman" w:hAnsi="Times New Roman" w:cs="Times New Roman" w:eastAsia="Times New Roman" w:hint="default"/>
                <w:sz w:val="15"/>
                <w:szCs w:val="15"/>
              </w:rPr>
            </w:pPr>
            <w:r>
              <w:rPr>
                <w:rFonts w:ascii="Times New Roman"/>
                <w:w w:val="100"/>
                <w:sz w:val="15"/>
              </w:rPr>
              <w:t>5</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5,247.19</w:t>
            </w:r>
          </w:p>
        </w:tc>
      </w:tr>
      <w:tr>
        <w:trPr>
          <w:trHeight w:val="439"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15,194.93</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0.20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60"/>
              <w:jc w:val="center"/>
              <w:rPr>
                <w:rFonts w:ascii="Times New Roman" w:hAnsi="Times New Roman" w:cs="Times New Roman" w:eastAsia="Times New Roman" w:hint="default"/>
                <w:sz w:val="15"/>
                <w:szCs w:val="15"/>
              </w:rPr>
            </w:pPr>
            <w:r>
              <w:rPr>
                <w:rFonts w:ascii="Times New Roman"/>
                <w:sz w:val="15"/>
              </w:rPr>
              <w:t>30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pacing w:val="-1"/>
                <w:sz w:val="15"/>
              </w:rPr>
              <w:t>4,558.47</w:t>
            </w:r>
          </w:p>
        </w:tc>
        <w:tc>
          <w:tcPr>
            <w:tcW w:w="11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r>
      <w:tr>
        <w:trPr>
          <w:trHeight w:val="440"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年以上</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130,030.20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1.71</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59"/>
              <w:jc w:val="center"/>
              <w:rPr>
                <w:rFonts w:ascii="Times New Roman" w:hAnsi="Times New Roman" w:cs="Times New Roman" w:eastAsia="Times New Roman" w:hint="default"/>
                <w:sz w:val="15"/>
                <w:szCs w:val="15"/>
              </w:rPr>
            </w:pPr>
            <w:r>
              <w:rPr>
                <w:rFonts w:ascii="Times New Roman"/>
                <w:sz w:val="15"/>
              </w:rPr>
              <w:t>100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pacing w:val="-1"/>
                <w:sz w:val="15"/>
              </w:rPr>
              <w:t>130,030.20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spacing w:val="-1"/>
                <w:sz w:val="15"/>
              </w:rPr>
              <w:t>140,856.20</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54"/>
              <w:jc w:val="center"/>
              <w:rPr>
                <w:rFonts w:ascii="Times New Roman" w:hAnsi="Times New Roman" w:cs="Times New Roman" w:eastAsia="Times New Roman" w:hint="default"/>
                <w:sz w:val="15"/>
                <w:szCs w:val="15"/>
              </w:rPr>
            </w:pPr>
            <w:r>
              <w:rPr>
                <w:rFonts w:ascii="Times New Roman"/>
                <w:sz w:val="15"/>
              </w:rPr>
              <w:t>6.21</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7"/>
              <w:jc w:val="center"/>
              <w:rPr>
                <w:rFonts w:ascii="Times New Roman" w:hAnsi="Times New Roman" w:cs="Times New Roman" w:eastAsia="Times New Roman" w:hint="default"/>
                <w:sz w:val="15"/>
                <w:szCs w:val="15"/>
              </w:rPr>
            </w:pPr>
            <w:r>
              <w:rPr>
                <w:rFonts w:ascii="Times New Roman"/>
                <w:sz w:val="15"/>
              </w:rPr>
              <w:t>100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140,856.20</w:t>
            </w:r>
          </w:p>
        </w:tc>
      </w:tr>
      <w:tr>
        <w:trPr>
          <w:trHeight w:val="401"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7,613,705.05</w:t>
            </w:r>
            <w:r>
              <w:rPr>
                <w:rFonts w:ascii="Times New Roman"/>
                <w:spacing w:val="-1"/>
                <w:sz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6"/>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81"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230,346.85</w:t>
            </w:r>
            <w:r>
              <w:rPr>
                <w:rFonts w:ascii="Times New Roman"/>
                <w:spacing w:val="-1"/>
                <w:sz w:val="15"/>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2,268,364.76</w:t>
            </w:r>
            <w:r>
              <w:rPr>
                <w:rFonts w:ascii="Times New Roman"/>
                <w:spacing w:val="-1"/>
                <w:sz w:val="15"/>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57"/>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166,329.03</w:t>
            </w:r>
            <w:r>
              <w:rPr>
                <w:rFonts w:ascii="Times New Roman"/>
                <w:spacing w:val="-1"/>
                <w:sz w:val="15"/>
              </w:rPr>
            </w:r>
          </w:p>
        </w:tc>
      </w:tr>
    </w:tbl>
    <w:p>
      <w:pPr>
        <w:spacing w:line="240" w:lineRule="auto" w:before="7"/>
        <w:rPr>
          <w:rFonts w:ascii="宋体" w:hAnsi="宋体" w:cs="宋体" w:eastAsia="宋体" w:hint="default"/>
          <w:b/>
          <w:bCs/>
          <w:sz w:val="22"/>
          <w:szCs w:val="22"/>
        </w:rPr>
      </w:pPr>
    </w:p>
    <w:p>
      <w:pPr>
        <w:pStyle w:val="BodyText"/>
        <w:spacing w:line="240" w:lineRule="auto" w:before="44"/>
        <w:ind w:left="593" w:right="283"/>
        <w:jc w:val="left"/>
      </w:pPr>
      <w:r>
        <w:rPr/>
        <w:t>（</w:t>
      </w:r>
      <w:r>
        <w:rPr>
          <w:rFonts w:ascii="Times New Roman" w:hAnsi="Times New Roman" w:cs="Times New Roman" w:eastAsia="Times New Roman" w:hint="default"/>
        </w:rPr>
        <w:t>3</w:t>
      </w:r>
      <w:r>
        <w:rPr/>
        <w:t>）本报告期无核销其他应收款情况。</w:t>
      </w:r>
    </w:p>
    <w:p>
      <w:pPr>
        <w:spacing w:line="240" w:lineRule="auto" w:before="8"/>
        <w:rPr>
          <w:rFonts w:ascii="宋体" w:hAnsi="宋体" w:cs="宋体" w:eastAsia="宋体" w:hint="default"/>
          <w:sz w:val="20"/>
          <w:szCs w:val="20"/>
        </w:rPr>
      </w:pPr>
    </w:p>
    <w:p>
      <w:pPr>
        <w:pStyle w:val="BodyText"/>
        <w:spacing w:line="240" w:lineRule="auto"/>
        <w:ind w:left="593" w:right="283"/>
        <w:jc w:val="left"/>
      </w:pPr>
      <w:r>
        <w:rPr/>
        <w:t>（</w:t>
      </w:r>
      <w:r>
        <w:rPr>
          <w:rFonts w:ascii="宋体" w:hAnsi="宋体" w:cs="宋体" w:eastAsia="宋体" w:hint="default"/>
        </w:rPr>
        <w:t>4</w:t>
      </w:r>
      <w:r>
        <w:rPr/>
        <w:t>）本报告期无重大收回或转回前期已全额计提坏账准备或计提减值准备的比例较大的其他应收款情况。</w:t>
      </w:r>
    </w:p>
    <w:p>
      <w:pPr>
        <w:spacing w:line="240" w:lineRule="auto" w:before="6"/>
        <w:rPr>
          <w:rFonts w:ascii="宋体" w:hAnsi="宋体" w:cs="宋体" w:eastAsia="宋体" w:hint="default"/>
          <w:sz w:val="21"/>
          <w:szCs w:val="21"/>
        </w:rPr>
      </w:pPr>
    </w:p>
    <w:p>
      <w:pPr>
        <w:pStyle w:val="BodyText"/>
        <w:spacing w:line="240" w:lineRule="auto"/>
        <w:ind w:left="593" w:right="283"/>
        <w:jc w:val="left"/>
      </w:pPr>
      <w:r>
        <w:rPr/>
        <w:t>（</w:t>
      </w:r>
      <w:r>
        <w:rPr>
          <w:rFonts w:ascii="宋体" w:hAnsi="宋体" w:cs="宋体" w:eastAsia="宋体" w:hint="default"/>
        </w:rPr>
        <w:t>5</w:t>
      </w:r>
      <w:r>
        <w:rPr/>
        <w:t>）本报告期无终止确认其他应收款情况。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45" w:lineRule="auto"/>
        <w:ind w:left="233" w:right="283" w:firstLine="360"/>
        <w:jc w:val="left"/>
      </w:pPr>
      <w:r>
        <w:rPr/>
        <w:t>（</w:t>
      </w:r>
      <w:r>
        <w:rPr>
          <w:rFonts w:ascii="Times New Roman" w:hAnsi="Times New Roman" w:cs="Times New Roman" w:eastAsia="Times New Roman" w:hint="default"/>
        </w:rPr>
        <w:t>6</w:t>
      </w:r>
      <w:r>
        <w:rPr/>
        <w:t>）本报告期其他应收款中无应收持公司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）以上表决权股份的股东单位款项，期末应收其他关联方的款项 </w:t>
      </w:r>
      <w:r>
        <w:rPr>
          <w:spacing w:val="-5"/>
        </w:rPr>
        <w:t>情况详见附注“九、</w:t>
      </w:r>
      <w:r>
        <w:rPr>
          <w:rFonts w:ascii="Times New Roman" w:hAnsi="Times New Roman" w:cs="Times New Roman" w:eastAsia="Times New Roman" w:hint="default"/>
          <w:spacing w:val="-5"/>
        </w:rPr>
        <w:t>7</w:t>
      </w:r>
      <w:r>
        <w:rPr>
          <w:spacing w:val="-5"/>
        </w:rPr>
        <w:t>、关联方应收应付款项”。</w:t>
      </w:r>
    </w:p>
    <w:p>
      <w:pPr>
        <w:spacing w:line="240" w:lineRule="auto" w:before="9"/>
        <w:rPr>
          <w:rFonts w:ascii="宋体" w:hAnsi="宋体" w:cs="宋体" w:eastAsia="宋体" w:hint="default"/>
          <w:sz w:val="13"/>
          <w:szCs w:val="13"/>
        </w:rPr>
      </w:pPr>
    </w:p>
    <w:p>
      <w:pPr>
        <w:pStyle w:val="BodyText"/>
        <w:spacing w:line="240" w:lineRule="auto"/>
        <w:ind w:left="593" w:right="283"/>
        <w:jc w:val="left"/>
      </w:pPr>
      <w:r>
        <w:rPr/>
        <w:pict>
          <v:group style="position:absolute;margin-left:50.039989pt;margin-top:43.987698pt;width:494.55pt;height:1pt;mso-position-horizontal-relative:page;mso-position-vertical-relative:paragraph;z-index:-686320" coordorigin="1001,880" coordsize="9891,20">
            <v:group style="position:absolute;left:1010;top:889;width:2965;height:2" coordorigin="1010,889" coordsize="2965,2">
              <v:shape style="position:absolute;left:1010;top:889;width:2965;height:2" coordorigin="1010,889" coordsize="2965,0" path="m1010,889l3975,889e" filled="false" stroked="true" strokeweight=".96002pt" strokecolor="#000000">
                <v:path arrowok="t"/>
              </v:shape>
            </v:group>
            <v:group style="position:absolute;left:3961;top:889;width:20;height:2" coordorigin="3961,889" coordsize="20,2">
              <v:shape style="position:absolute;left:3961;top:889;width:20;height:2" coordorigin="3961,889" coordsize="20,0" path="m3961,889l3980,889e" filled="false" stroked="true" strokeweight=".96002pt" strokecolor="#000000">
                <v:path arrowok="t"/>
              </v:shape>
            </v:group>
            <v:group style="position:absolute;left:3980;top:889;width:1566;height:2" coordorigin="3980,889" coordsize="1566,2">
              <v:shape style="position:absolute;left:3980;top:889;width:1566;height:2" coordorigin="3980,889" coordsize="1566,0" path="m3980,889l5545,889e" filled="false" stroked="true" strokeweight=".96002pt" strokecolor="#000000">
                <v:path arrowok="t"/>
              </v:shape>
            </v:group>
            <v:group style="position:absolute;left:5531;top:889;width:20;height:2" coordorigin="5531,889" coordsize="20,2">
              <v:shape style="position:absolute;left:5531;top:889;width:20;height:2" coordorigin="5531,889" coordsize="20,0" path="m5531,889l5550,889e" filled="false" stroked="true" strokeweight=".96002pt" strokecolor="#000000">
                <v:path arrowok="t"/>
              </v:shape>
            </v:group>
            <v:group style="position:absolute;left:5550;top:889;width:1340;height:2" coordorigin="5550,889" coordsize="1340,2">
              <v:shape style="position:absolute;left:5550;top:889;width:1340;height:2" coordorigin="5550,889" coordsize="1340,0" path="m5550,889l6889,889e" filled="false" stroked="true" strokeweight=".96002pt" strokecolor="#000000">
                <v:path arrowok="t"/>
              </v:shape>
            </v:group>
            <v:group style="position:absolute;left:6875;top:889;width:20;height:2" coordorigin="6875,889" coordsize="20,2">
              <v:shape style="position:absolute;left:6875;top:889;width:20;height:2" coordorigin="6875,889" coordsize="20,0" path="m6875,889l6894,889e" filled="false" stroked="true" strokeweight=".96002pt" strokecolor="#000000">
                <v:path arrowok="t"/>
              </v:shape>
            </v:group>
            <v:group style="position:absolute;left:6894;top:889;width:1189;height:2" coordorigin="6894,889" coordsize="1189,2">
              <v:shape style="position:absolute;left:6894;top:889;width:1189;height:2" coordorigin="6894,889" coordsize="1189,0" path="m6894,889l8083,889e" filled="false" stroked="true" strokeweight=".96002pt" strokecolor="#000000">
                <v:path arrowok="t"/>
              </v:shape>
            </v:group>
            <v:group style="position:absolute;left:8068;top:889;width:20;height:2" coordorigin="8068,889" coordsize="20,2">
              <v:shape style="position:absolute;left:8068;top:889;width:20;height:2" coordorigin="8068,889" coordsize="20,0" path="m8068,889l8088,889e" filled="false" stroked="true" strokeweight=".96002pt" strokecolor="#000000">
                <v:path arrowok="t"/>
              </v:shape>
            </v:group>
            <v:group style="position:absolute;left:8088;top:889;width:1796;height:2" coordorigin="8088,889" coordsize="1796,2">
              <v:shape style="position:absolute;left:8088;top:889;width:1796;height:2" coordorigin="8088,889" coordsize="1796,0" path="m8088,889l9883,889e" filled="false" stroked="true" strokeweight=".96002pt" strokecolor="#000000">
                <v:path arrowok="t"/>
              </v:shape>
            </v:group>
            <v:group style="position:absolute;left:9868;top:889;width:20;height:2" coordorigin="9868,889" coordsize="20,2">
              <v:shape style="position:absolute;left:9868;top:889;width:20;height:2" coordorigin="9868,889" coordsize="20,0" path="m9868,889l9888,889e" filled="false" stroked="true" strokeweight=".96002pt" strokecolor="#000000">
                <v:path arrowok="t"/>
              </v:shape>
            </v:group>
            <v:group style="position:absolute;left:9888;top:889;width:995;height:2" coordorigin="9888,889" coordsize="995,2">
              <v:shape style="position:absolute;left:9888;top:889;width:995;height:2" coordorigin="9888,889" coordsize="995,0" path="m9888,889l10882,889e" filled="false" stroked="true" strokeweight=".96002pt" strokecolor="#000000">
                <v:path arrowok="t"/>
              </v:shape>
            </v:group>
            <w10:wrap type="none"/>
          </v:group>
        </w:pict>
      </w:r>
      <w:r>
        <w:rPr/>
        <w:t>（</w:t>
      </w:r>
      <w:r>
        <w:rPr>
          <w:rFonts w:ascii="Times New Roman" w:hAnsi="Times New Roman" w:cs="Times New Roman" w:eastAsia="Times New Roman" w:hint="default"/>
        </w:rPr>
        <w:t>7</w:t>
      </w:r>
      <w:r>
        <w:rPr/>
        <w:t>）期末其他应收款金额前五名单位情况</w:t>
      </w:r>
    </w:p>
    <w:p>
      <w:pPr>
        <w:spacing w:line="240" w:lineRule="auto" w:before="7"/>
        <w:rPr>
          <w:rFonts w:ascii="宋体" w:hAnsi="宋体" w:cs="宋体" w:eastAsia="宋体" w:hint="default"/>
          <w:sz w:val="27"/>
          <w:szCs w:val="27"/>
        </w:rPr>
      </w:pPr>
    </w:p>
    <w:tbl>
      <w:tblPr>
        <w:tblW w:w="0" w:type="auto"/>
        <w:jc w:val="left"/>
        <w:tblInd w:w="1038" w:type="dxa"/>
        <w:tblLayout w:type="fixed"/>
        <w:tblCellMar>
          <w:top w:w="0" w:type="dxa"/>
          <w:left w:w="0" w:type="dxa"/>
          <w:bottom w:w="0" w:type="dxa"/>
          <w:right w:w="0" w:type="dxa"/>
        </w:tblCellMar>
        <w:tblLook w:val="01E0"/>
      </w:tblPr>
      <w:tblGrid>
        <w:gridCol w:w="1623"/>
        <w:gridCol w:w="2040"/>
        <w:gridCol w:w="1340"/>
        <w:gridCol w:w="1023"/>
        <w:gridCol w:w="1897"/>
        <w:gridCol w:w="1019"/>
      </w:tblGrid>
      <w:tr>
        <w:trPr>
          <w:trHeight w:val="279"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180" w:lineRule="exact"/>
              <w:ind w:left="701"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180"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023" w:type="dxa"/>
            <w:tcBorders>
              <w:top w:val="nil" w:sz="6" w:space="0" w:color="auto"/>
              <w:left w:val="nil" w:sz="6" w:space="0" w:color="auto"/>
              <w:bottom w:val="nil" w:sz="6" w:space="0" w:color="auto"/>
              <w:right w:val="nil" w:sz="6" w:space="0" w:color="auto"/>
            </w:tcBorders>
          </w:tcPr>
          <w:p>
            <w:pPr>
              <w:pStyle w:val="TableParagraph"/>
              <w:spacing w:line="180"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7"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sz w:val="18"/>
                <w:szCs w:val="18"/>
              </w:rPr>
            </w:r>
          </w:p>
        </w:tc>
        <w:tc>
          <w:tcPr>
            <w:tcW w:w="1019" w:type="dxa"/>
            <w:tcBorders>
              <w:top w:val="nil" w:sz="6" w:space="0" w:color="auto"/>
              <w:left w:val="nil" w:sz="6" w:space="0" w:color="auto"/>
              <w:bottom w:val="nil" w:sz="6" w:space="0" w:color="auto"/>
              <w:right w:val="nil" w:sz="6" w:space="0" w:color="auto"/>
            </w:tcBorders>
          </w:tcPr>
          <w:p>
            <w:pPr>
              <w:pStyle w:val="TableParagraph"/>
              <w:spacing w:line="180"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40"/>
          <w:pgMar w:top="1100" w:bottom="1180" w:left="9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935"/>
        <w:gridCol w:w="1361"/>
        <w:gridCol w:w="1555"/>
        <w:gridCol w:w="1360"/>
        <w:gridCol w:w="1422"/>
        <w:gridCol w:w="1224"/>
      </w:tblGrid>
      <w:tr>
        <w:trPr>
          <w:trHeight w:val="280" w:hRule="exact"/>
        </w:trPr>
        <w:tc>
          <w:tcPr>
            <w:tcW w:w="2935" w:type="dxa"/>
            <w:tcBorders>
              <w:top w:val="nil" w:sz="6" w:space="0" w:color="auto"/>
              <w:left w:val="nil" w:sz="6" w:space="0" w:color="auto"/>
              <w:bottom w:val="single" w:sz="8" w:space="0" w:color="000000"/>
              <w:right w:val="nil" w:sz="6" w:space="0" w:color="auto"/>
            </w:tcBorders>
          </w:tcPr>
          <w:p>
            <w:pPr/>
          </w:p>
        </w:tc>
        <w:tc>
          <w:tcPr>
            <w:tcW w:w="1361" w:type="dxa"/>
            <w:tcBorders>
              <w:top w:val="nil" w:sz="6" w:space="0" w:color="auto"/>
              <w:left w:val="nil" w:sz="6" w:space="0" w:color="auto"/>
              <w:bottom w:val="single" w:sz="8" w:space="0" w:color="000000"/>
              <w:right w:val="nil" w:sz="6" w:space="0" w:color="auto"/>
            </w:tcBorders>
          </w:tcPr>
          <w:p>
            <w:pPr/>
          </w:p>
        </w:tc>
        <w:tc>
          <w:tcPr>
            <w:tcW w:w="1555" w:type="dxa"/>
            <w:tcBorders>
              <w:top w:val="nil" w:sz="6" w:space="0" w:color="auto"/>
              <w:left w:val="nil" w:sz="6" w:space="0" w:color="auto"/>
              <w:bottom w:val="single" w:sz="8" w:space="0" w:color="000000"/>
              <w:right w:val="nil" w:sz="6" w:space="0" w:color="auto"/>
            </w:tcBorders>
          </w:tcPr>
          <w:p>
            <w:pPr/>
          </w:p>
        </w:tc>
        <w:tc>
          <w:tcPr>
            <w:tcW w:w="1360" w:type="dxa"/>
            <w:tcBorders>
              <w:top w:val="nil" w:sz="6" w:space="0" w:color="auto"/>
              <w:left w:val="nil" w:sz="6" w:space="0" w:color="auto"/>
              <w:bottom w:val="single" w:sz="8" w:space="0" w:color="000000"/>
              <w:right w:val="nil" w:sz="6" w:space="0" w:color="auto"/>
            </w:tcBorders>
          </w:tcPr>
          <w:p>
            <w:pPr/>
          </w:p>
        </w:tc>
        <w:tc>
          <w:tcPr>
            <w:tcW w:w="1422" w:type="dxa"/>
            <w:tcBorders>
              <w:top w:val="nil" w:sz="6" w:space="0" w:color="auto"/>
              <w:left w:val="nil" w:sz="6" w:space="0" w:color="auto"/>
              <w:bottom w:val="single" w:sz="8" w:space="0" w:color="000000"/>
              <w:right w:val="nil" w:sz="6" w:space="0" w:color="auto"/>
            </w:tcBorders>
          </w:tcPr>
          <w:p>
            <w:pPr>
              <w:pStyle w:val="TableParagraph"/>
              <w:spacing w:line="194" w:lineRule="exact"/>
              <w:ind w:left="66"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24" w:type="dxa"/>
            <w:tcBorders>
              <w:top w:val="nil" w:sz="6" w:space="0" w:color="auto"/>
              <w:left w:val="nil" w:sz="6" w:space="0" w:color="auto"/>
              <w:bottom w:val="single" w:sz="8" w:space="0" w:color="000000"/>
              <w:right w:val="nil" w:sz="6" w:space="0" w:color="auto"/>
            </w:tcBorders>
          </w:tcPr>
          <w:p>
            <w:pPr/>
          </w:p>
        </w:tc>
      </w:tr>
      <w:tr>
        <w:trPr>
          <w:trHeight w:val="496" w:hRule="exact"/>
        </w:trPr>
        <w:tc>
          <w:tcPr>
            <w:tcW w:w="2935"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教育科学出版社</w:t>
            </w:r>
          </w:p>
        </w:tc>
        <w:tc>
          <w:tcPr>
            <w:tcW w:w="1361"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30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55"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92"/>
              <w:jc w:val="right"/>
              <w:rPr>
                <w:rFonts w:ascii="Times New Roman" w:hAnsi="Times New Roman" w:cs="Times New Roman" w:eastAsia="Times New Roman" w:hint="default"/>
                <w:sz w:val="18"/>
                <w:szCs w:val="18"/>
              </w:rPr>
            </w:pPr>
            <w:r>
              <w:rPr>
                <w:rFonts w:ascii="Times New Roman"/>
                <w:spacing w:val="-1"/>
                <w:sz w:val="18"/>
              </w:rPr>
              <w:t>2,079,763.97</w:t>
            </w:r>
          </w:p>
        </w:tc>
        <w:tc>
          <w:tcPr>
            <w:tcW w:w="1360"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2"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161" w:right="0"/>
              <w:jc w:val="center"/>
              <w:rPr>
                <w:rFonts w:ascii="Times New Roman" w:hAnsi="Times New Roman" w:cs="Times New Roman" w:eastAsia="Times New Roman" w:hint="default"/>
                <w:sz w:val="18"/>
                <w:szCs w:val="18"/>
              </w:rPr>
            </w:pPr>
            <w:r>
              <w:rPr>
                <w:rFonts w:ascii="Times New Roman"/>
                <w:sz w:val="18"/>
              </w:rPr>
              <w:t>27.31</w:t>
            </w:r>
          </w:p>
        </w:tc>
        <w:tc>
          <w:tcPr>
            <w:tcW w:w="1224"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70"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4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陕西教育招标有限公司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6"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
              <w:jc w:val="right"/>
              <w:rPr>
                <w:rFonts w:ascii="Times New Roman" w:hAnsi="Times New Roman" w:cs="Times New Roman" w:eastAsia="Times New Roman" w:hint="default"/>
                <w:sz w:val="18"/>
                <w:szCs w:val="18"/>
              </w:rPr>
            </w:pPr>
            <w:r>
              <w:rPr>
                <w:rFonts w:ascii="Times New Roman"/>
                <w:spacing w:val="-1"/>
                <w:sz w:val="18"/>
              </w:rPr>
              <w:t>600,000.00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1" w:right="0"/>
              <w:jc w:val="center"/>
              <w:rPr>
                <w:rFonts w:ascii="Times New Roman" w:hAnsi="Times New Roman" w:cs="Times New Roman" w:eastAsia="Times New Roman" w:hint="default"/>
                <w:sz w:val="18"/>
                <w:szCs w:val="18"/>
              </w:rPr>
            </w:pPr>
            <w:r>
              <w:rPr>
                <w:rFonts w:ascii="Times New Roman"/>
                <w:sz w:val="18"/>
              </w:rPr>
              <w:t>7.88</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0"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4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北京京师普教文化传媒有限公司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0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
              <w:jc w:val="right"/>
              <w:rPr>
                <w:rFonts w:ascii="Times New Roman" w:hAnsi="Times New Roman" w:cs="Times New Roman" w:eastAsia="Times New Roman" w:hint="default"/>
                <w:sz w:val="18"/>
                <w:szCs w:val="18"/>
              </w:rPr>
            </w:pPr>
            <w:r>
              <w:rPr>
                <w:rFonts w:ascii="Times New Roman"/>
                <w:spacing w:val="-1"/>
                <w:sz w:val="18"/>
              </w:rPr>
              <w:t>500,000.00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1" w:right="0"/>
              <w:jc w:val="center"/>
              <w:rPr>
                <w:rFonts w:ascii="Times New Roman" w:hAnsi="Times New Roman" w:cs="Times New Roman" w:eastAsia="Times New Roman" w:hint="default"/>
                <w:sz w:val="18"/>
                <w:szCs w:val="18"/>
              </w:rPr>
            </w:pPr>
            <w:r>
              <w:rPr>
                <w:rFonts w:ascii="Times New Roman"/>
                <w:sz w:val="18"/>
              </w:rPr>
              <w:t>6.57</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70"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39"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江文章</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6"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
              <w:jc w:val="right"/>
              <w:rPr>
                <w:rFonts w:ascii="Times New Roman" w:hAnsi="Times New Roman" w:cs="Times New Roman" w:eastAsia="Times New Roman" w:hint="default"/>
                <w:sz w:val="18"/>
                <w:szCs w:val="18"/>
              </w:rPr>
            </w:pPr>
            <w:r>
              <w:rPr>
                <w:rFonts w:ascii="Times New Roman"/>
                <w:spacing w:val="-1"/>
                <w:sz w:val="18"/>
              </w:rPr>
              <w:t>370,000.00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1" w:right="0"/>
              <w:jc w:val="center"/>
              <w:rPr>
                <w:rFonts w:ascii="Times New Roman" w:hAnsi="Times New Roman" w:cs="Times New Roman" w:eastAsia="Times New Roman" w:hint="default"/>
                <w:sz w:val="18"/>
                <w:szCs w:val="18"/>
              </w:rPr>
            </w:pPr>
            <w:r>
              <w:rPr>
                <w:rFonts w:ascii="Times New Roman"/>
                <w:sz w:val="18"/>
              </w:rPr>
              <w:t>4.86</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2"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44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黄润崎</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6"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
              <w:jc w:val="right"/>
              <w:rPr>
                <w:rFonts w:ascii="Times New Roman" w:hAnsi="Times New Roman" w:cs="Times New Roman" w:eastAsia="Times New Roman" w:hint="default"/>
                <w:sz w:val="18"/>
                <w:szCs w:val="18"/>
              </w:rPr>
            </w:pPr>
            <w:r>
              <w:rPr>
                <w:rFonts w:ascii="Times New Roman"/>
                <w:spacing w:val="-1"/>
                <w:sz w:val="18"/>
              </w:rPr>
              <w:t>300,000.00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1" w:right="0"/>
              <w:jc w:val="center"/>
              <w:rPr>
                <w:rFonts w:ascii="Times New Roman" w:hAnsi="Times New Roman" w:cs="Times New Roman" w:eastAsia="Times New Roman" w:hint="default"/>
                <w:sz w:val="18"/>
                <w:szCs w:val="18"/>
              </w:rPr>
            </w:pPr>
            <w:r>
              <w:rPr>
                <w:rFonts w:ascii="Times New Roman"/>
                <w:sz w:val="18"/>
              </w:rPr>
              <w:t>3.94</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22"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16"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6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3,849,763.97</w:t>
            </w:r>
            <w:r>
              <w:rPr>
                <w:rFonts w:ascii="Times New Roman"/>
                <w:spacing w:val="-1"/>
                <w:sz w:val="18"/>
              </w:rPr>
            </w:r>
          </w:p>
        </w:tc>
        <w:tc>
          <w:tcPr>
            <w:tcW w:w="136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50.56</w:t>
            </w:r>
            <w:r>
              <w:rPr>
                <w:rFonts w:ascii="Times New Roman"/>
                <w:sz w:val="18"/>
              </w:rPr>
            </w:r>
          </w:p>
        </w:tc>
        <w:tc>
          <w:tcPr>
            <w:tcW w:w="122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5"/>
        <w:jc w:val="left"/>
      </w:pPr>
      <w:r>
        <w:rPr/>
        <w:t>（</w:t>
      </w:r>
      <w:r>
        <w:rPr>
          <w:rFonts w:ascii="Times New Roman" w:hAnsi="Times New Roman" w:cs="Times New Roman" w:eastAsia="Times New Roman" w:hint="default"/>
        </w:rPr>
        <w:t>8</w:t>
      </w:r>
      <w:r>
        <w:rPr/>
        <w:t>）其他应收款期末余额较期初余额增加</w:t>
      </w:r>
      <w:r>
        <w:rPr>
          <w:rFonts w:ascii="Times New Roman" w:hAnsi="Times New Roman" w:cs="Times New Roman" w:eastAsia="Times New Roman" w:hint="default"/>
        </w:rPr>
        <w:t>534.53</w:t>
      </w:r>
      <w:r>
        <w:rPr/>
        <w:t>万元，增长</w:t>
      </w:r>
      <w:r>
        <w:rPr>
          <w:rFonts w:ascii="Times New Roman" w:hAnsi="Times New Roman" w:cs="Times New Roman" w:eastAsia="Times New Roman" w:hint="default"/>
        </w:rPr>
        <w:t>2.36</w:t>
      </w:r>
      <w:r>
        <w:rPr/>
        <w:t>倍，主要原因是支付的保证金增加。</w:t>
      </w:r>
    </w:p>
    <w:p>
      <w:pPr>
        <w:spacing w:line="240" w:lineRule="auto" w:before="10"/>
        <w:rPr>
          <w:rFonts w:ascii="宋体" w:hAnsi="宋体" w:cs="宋体" w:eastAsia="宋体" w:hint="default"/>
          <w:sz w:val="24"/>
          <w:szCs w:val="24"/>
        </w:rPr>
      </w:pPr>
    </w:p>
    <w:p>
      <w:pPr>
        <w:pStyle w:val="Heading5"/>
        <w:spacing w:line="240" w:lineRule="auto"/>
        <w:ind w:left="213" w:right="5558"/>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
        <w:rPr>
          <w:rFonts w:ascii="宋体" w:hAnsi="宋体" w:cs="宋体" w:eastAsia="宋体" w:hint="default"/>
          <w:b/>
          <w:bCs/>
          <w:sz w:val="28"/>
          <w:szCs w:val="28"/>
        </w:rPr>
      </w:pPr>
    </w:p>
    <w:tbl>
      <w:tblPr>
        <w:tblW w:w="0" w:type="auto"/>
        <w:jc w:val="left"/>
        <w:tblInd w:w="104" w:type="dxa"/>
        <w:tblLayout w:type="fixed"/>
        <w:tblCellMar>
          <w:top w:w="0" w:type="dxa"/>
          <w:left w:w="0" w:type="dxa"/>
          <w:bottom w:w="0" w:type="dxa"/>
          <w:right w:w="0" w:type="dxa"/>
        </w:tblCellMar>
        <w:tblLook w:val="01E0"/>
      </w:tblPr>
      <w:tblGrid>
        <w:gridCol w:w="1740"/>
        <w:gridCol w:w="1306"/>
        <w:gridCol w:w="1293"/>
        <w:gridCol w:w="1447"/>
        <w:gridCol w:w="1440"/>
        <w:gridCol w:w="1304"/>
        <w:gridCol w:w="1326"/>
      </w:tblGrid>
      <w:tr>
        <w:trPr>
          <w:trHeight w:val="856"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）存货分类</w:t>
            </w:r>
          </w:p>
        </w:tc>
        <w:tc>
          <w:tcPr>
            <w:tcW w:w="1306"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8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4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26" w:type="dxa"/>
            <w:tcBorders>
              <w:top w:val="nil" w:sz="6" w:space="0" w:color="auto"/>
              <w:left w:val="nil" w:sz="6" w:space="0" w:color="auto"/>
              <w:bottom w:val="nil" w:sz="6" w:space="0" w:color="auto"/>
              <w:right w:val="nil" w:sz="6" w:space="0" w:color="auto"/>
            </w:tcBorders>
          </w:tcPr>
          <w:p>
            <w:pPr/>
          </w:p>
        </w:tc>
      </w:tr>
      <w:tr>
        <w:trPr>
          <w:trHeight w:val="512" w:hRule="exact"/>
        </w:trPr>
        <w:tc>
          <w:tcPr>
            <w:tcW w:w="1740" w:type="dxa"/>
            <w:tcBorders>
              <w:top w:val="nil" w:sz="6" w:space="0" w:color="auto"/>
              <w:left w:val="nil" w:sz="6" w:space="0" w:color="auto"/>
              <w:bottom w:val="single" w:sz="4" w:space="0" w:color="000000"/>
              <w:right w:val="nil" w:sz="6" w:space="0" w:color="auto"/>
            </w:tcBorders>
          </w:tcPr>
          <w:p>
            <w:pPr>
              <w:pStyle w:val="TableParagraph"/>
              <w:spacing w:line="202" w:lineRule="exact"/>
              <w:ind w:left="87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91" w:hRule="exact"/>
        </w:trPr>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68"/>
              <w:jc w:val="right"/>
              <w:rPr>
                <w:rFonts w:ascii="Times New Roman" w:hAnsi="Times New Roman" w:cs="Times New Roman" w:eastAsia="Times New Roman" w:hint="default"/>
                <w:sz w:val="18"/>
                <w:szCs w:val="18"/>
              </w:rPr>
            </w:pPr>
            <w:r>
              <w:rPr>
                <w:rFonts w:ascii="Times New Roman"/>
                <w:spacing w:val="-1"/>
                <w:sz w:val="18"/>
              </w:rPr>
              <w:t>6,251,401.87</w:t>
            </w:r>
          </w:p>
        </w:tc>
        <w:tc>
          <w:tcPr>
            <w:tcW w:w="1293" w:type="dxa"/>
            <w:tcBorders>
              <w:top w:val="single" w:sz="4" w:space="0" w:color="000000"/>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34"/>
              <w:jc w:val="right"/>
              <w:rPr>
                <w:rFonts w:ascii="Times New Roman" w:hAnsi="Times New Roman" w:cs="Times New Roman" w:eastAsia="Times New Roman" w:hint="default"/>
                <w:sz w:val="18"/>
                <w:szCs w:val="18"/>
              </w:rPr>
            </w:pPr>
            <w:r>
              <w:rPr>
                <w:rFonts w:ascii="Times New Roman"/>
                <w:spacing w:val="-1"/>
                <w:sz w:val="18"/>
              </w:rPr>
              <w:t>6,251,401.87</w:t>
            </w:r>
          </w:p>
        </w:tc>
        <w:tc>
          <w:tcPr>
            <w:tcW w:w="1440" w:type="dxa"/>
            <w:tcBorders>
              <w:top w:val="single" w:sz="4" w:space="0" w:color="000000"/>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Times New Roman" w:hAnsi="Times New Roman" w:cs="Times New Roman" w:eastAsia="Times New Roman" w:hint="default"/>
                <w:sz w:val="18"/>
                <w:szCs w:val="18"/>
              </w:rPr>
            </w:pPr>
            <w:r>
              <w:rPr>
                <w:rFonts w:ascii="Times New Roman"/>
                <w:spacing w:val="-1"/>
                <w:sz w:val="18"/>
              </w:rPr>
              <w:t>24,675,216.15</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0" w:right="0"/>
              <w:jc w:val="left"/>
              <w:rPr>
                <w:rFonts w:ascii="Times New Roman" w:hAnsi="Times New Roman" w:cs="Times New Roman" w:eastAsia="Times New Roman" w:hint="default"/>
                <w:sz w:val="18"/>
                <w:szCs w:val="18"/>
              </w:rPr>
            </w:pPr>
            <w:r>
              <w:rPr>
                <w:rFonts w:ascii="Times New Roman"/>
                <w:sz w:val="18"/>
              </w:rPr>
              <w:t>2,879,542.63</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4"/>
              <w:jc w:val="right"/>
              <w:rPr>
                <w:rFonts w:ascii="Times New Roman" w:hAnsi="Times New Roman" w:cs="Times New Roman" w:eastAsia="Times New Roman" w:hint="default"/>
                <w:sz w:val="18"/>
                <w:szCs w:val="18"/>
              </w:rPr>
            </w:pPr>
            <w:r>
              <w:rPr>
                <w:rFonts w:ascii="Times New Roman"/>
                <w:spacing w:val="-1"/>
                <w:sz w:val="18"/>
              </w:rPr>
              <w:t>21,795,673.52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36" w:right="0"/>
              <w:jc w:val="left"/>
              <w:rPr>
                <w:rFonts w:ascii="Times New Roman" w:hAnsi="Times New Roman" w:cs="Times New Roman" w:eastAsia="Times New Roman" w:hint="default"/>
                <w:sz w:val="18"/>
                <w:szCs w:val="18"/>
              </w:rPr>
            </w:pPr>
            <w:r>
              <w:rPr>
                <w:rFonts w:ascii="Times New Roman"/>
                <w:sz w:val="18"/>
              </w:rPr>
              <w:t>18,087,987.55</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2,669,290.98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pacing w:val="-1"/>
                <w:sz w:val="18"/>
              </w:rPr>
              <w:t>15,418,696.57</w:t>
            </w:r>
          </w:p>
        </w:tc>
      </w:tr>
      <w:tr>
        <w:trPr>
          <w:trHeight w:val="440"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8"/>
              <w:jc w:val="right"/>
              <w:rPr>
                <w:rFonts w:ascii="Times New Roman" w:hAnsi="Times New Roman" w:cs="Times New Roman" w:eastAsia="Times New Roman" w:hint="default"/>
                <w:sz w:val="18"/>
                <w:szCs w:val="18"/>
              </w:rPr>
            </w:pPr>
            <w:r>
              <w:rPr>
                <w:rFonts w:ascii="Times New Roman"/>
                <w:spacing w:val="-1"/>
                <w:sz w:val="18"/>
              </w:rPr>
              <w:t>23,537,885.94</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05" w:right="0"/>
              <w:jc w:val="left"/>
              <w:rPr>
                <w:rFonts w:ascii="Times New Roman" w:hAnsi="Times New Roman" w:cs="Times New Roman" w:eastAsia="Times New Roman" w:hint="default"/>
                <w:sz w:val="18"/>
                <w:szCs w:val="18"/>
              </w:rPr>
            </w:pPr>
            <w:r>
              <w:rPr>
                <w:rFonts w:ascii="Times New Roman"/>
                <w:sz w:val="18"/>
              </w:rPr>
              <w:t>128,747.55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4"/>
              <w:jc w:val="right"/>
              <w:rPr>
                <w:rFonts w:ascii="Times New Roman" w:hAnsi="Times New Roman" w:cs="Times New Roman" w:eastAsia="Times New Roman" w:hint="default"/>
                <w:sz w:val="18"/>
                <w:szCs w:val="18"/>
              </w:rPr>
            </w:pPr>
            <w:r>
              <w:rPr>
                <w:rFonts w:ascii="Times New Roman"/>
                <w:spacing w:val="-1"/>
                <w:sz w:val="18"/>
              </w:rPr>
              <w:t>23,409,138.39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36" w:right="0"/>
              <w:jc w:val="left"/>
              <w:rPr>
                <w:rFonts w:ascii="Times New Roman" w:hAnsi="Times New Roman" w:cs="Times New Roman" w:eastAsia="Times New Roman" w:hint="default"/>
                <w:sz w:val="18"/>
                <w:szCs w:val="18"/>
              </w:rPr>
            </w:pPr>
            <w:r>
              <w:rPr>
                <w:rFonts w:ascii="Times New Roman"/>
                <w:sz w:val="18"/>
              </w:rPr>
              <w:t>13,654,533.55</w:t>
            </w:r>
          </w:p>
        </w:tc>
        <w:tc>
          <w:tcPr>
            <w:tcW w:w="130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pacing w:val="-1"/>
                <w:sz w:val="18"/>
              </w:rPr>
              <w:t>13,654,533.55</w:t>
            </w:r>
          </w:p>
        </w:tc>
      </w:tr>
      <w:tr>
        <w:trPr>
          <w:trHeight w:val="439"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Times New Roman" w:hAnsi="Times New Roman" w:cs="Times New Roman" w:eastAsia="Times New Roman" w:hint="default"/>
                <w:sz w:val="18"/>
                <w:szCs w:val="18"/>
              </w:rPr>
            </w:pPr>
            <w:r>
              <w:rPr>
                <w:rFonts w:ascii="Times New Roman"/>
                <w:spacing w:val="-1"/>
                <w:sz w:val="18"/>
              </w:rPr>
              <w:t>1,259,014.97</w:t>
            </w:r>
          </w:p>
        </w:tc>
        <w:tc>
          <w:tcPr>
            <w:tcW w:w="129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4"/>
              <w:jc w:val="right"/>
              <w:rPr>
                <w:rFonts w:ascii="Times New Roman" w:hAnsi="Times New Roman" w:cs="Times New Roman" w:eastAsia="Times New Roman" w:hint="default"/>
                <w:sz w:val="18"/>
                <w:szCs w:val="18"/>
              </w:rPr>
            </w:pPr>
            <w:r>
              <w:rPr>
                <w:rFonts w:ascii="Times New Roman"/>
                <w:spacing w:val="-1"/>
                <w:sz w:val="18"/>
              </w:rPr>
              <w:t>1,259,014.97</w:t>
            </w:r>
          </w:p>
        </w:tc>
        <w:tc>
          <w:tcPr>
            <w:tcW w:w="14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r>
      <w:tr>
        <w:trPr>
          <w:trHeight w:val="415"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55,723,518.93</w:t>
            </w:r>
            <w:r>
              <w:rPr>
                <w:rFonts w:ascii="Times New Roman"/>
                <w:spacing w:val="-1"/>
                <w:sz w:val="18"/>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3,008,290.18</w:t>
            </w:r>
            <w:r>
              <w:rPr>
                <w:rFonts w:ascii="Times New Roman"/>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52,715,228.75</w:t>
            </w:r>
            <w:r>
              <w:rPr>
                <w:rFonts w:ascii="Times New Roman"/>
                <w:spacing w:val="-1"/>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3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31,742,521.10</w:t>
            </w:r>
            <w:r>
              <w:rPr>
                <w:rFonts w:ascii="Times New Roman"/>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2,669,290.98</w:t>
            </w:r>
            <w:r>
              <w:rPr>
                <w:rFonts w:ascii="Times New Roman"/>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29,073,230.12</w:t>
            </w:r>
            <w:r>
              <w:rPr>
                <w:rFonts w:ascii="Times New Roman"/>
                <w:spacing w:val="-1"/>
                <w:sz w:val="18"/>
              </w:rPr>
            </w:r>
          </w:p>
        </w:tc>
      </w:tr>
    </w:tbl>
    <w:p>
      <w:pPr>
        <w:spacing w:line="240" w:lineRule="auto" w:before="12"/>
        <w:rPr>
          <w:rFonts w:ascii="宋体" w:hAnsi="宋体" w:cs="宋体" w:eastAsia="宋体" w:hint="default"/>
          <w:b/>
          <w:bCs/>
          <w:sz w:val="12"/>
          <w:szCs w:val="12"/>
        </w:rPr>
      </w:pPr>
    </w:p>
    <w:p>
      <w:pPr>
        <w:pStyle w:val="BodyText"/>
        <w:spacing w:line="240" w:lineRule="auto" w:before="44"/>
        <w:ind w:left="573" w:right="115"/>
        <w:jc w:val="left"/>
      </w:pPr>
      <w:r>
        <w:rPr/>
        <w:t>注：存货期末余额较期初余额增加</w:t>
      </w:r>
      <w:r>
        <w:rPr>
          <w:spacing w:val="-45"/>
        </w:rPr>
        <w:t> </w:t>
      </w:r>
      <w:r>
        <w:rPr>
          <w:rFonts w:ascii="Times New Roman" w:hAnsi="Times New Roman" w:cs="Times New Roman" w:eastAsia="Times New Roman" w:hint="default"/>
        </w:rPr>
        <w:t>2,398.10 </w:t>
      </w:r>
      <w:r>
        <w:rPr/>
        <w:t>万元，增长</w:t>
      </w:r>
      <w:r>
        <w:rPr>
          <w:spacing w:val="-48"/>
        </w:rPr>
        <w:t> </w:t>
      </w:r>
      <w:r>
        <w:rPr>
          <w:rFonts w:ascii="Times New Roman" w:hAnsi="Times New Roman" w:cs="Times New Roman" w:eastAsia="Times New Roman" w:hint="default"/>
        </w:rPr>
        <w:t>75.</w:t>
      </w:r>
      <w:r>
        <w:rPr>
          <w:rFonts w:ascii="Times New Roman" w:hAnsi="Times New Roman" w:cs="Times New Roman" w:eastAsia="Times New Roman" w:hint="default"/>
          <w:spacing w:val="-3"/>
        </w:rPr>
        <w:t> </w:t>
      </w:r>
      <w:r>
        <w:rPr>
          <w:rFonts w:ascii="Times New Roman" w:hAnsi="Times New Roman" w:cs="Times New Roman" w:eastAsia="Times New Roman" w:hint="default"/>
        </w:rPr>
        <w:t>55%</w:t>
      </w:r>
      <w:r>
        <w:rPr/>
        <w:t>，主要原因为：（</w:t>
      </w:r>
      <w:r>
        <w:rPr>
          <w:rFonts w:ascii="Times New Roman" w:hAnsi="Times New Roman" w:cs="Times New Roman" w:eastAsia="Times New Roman" w:hint="default"/>
        </w:rPr>
        <w:t>1</w:t>
      </w:r>
      <w:r>
        <w:rPr/>
        <w:t>）子公司湖南天舟教育科技研究有</w:t>
      </w:r>
    </w:p>
    <w:p>
      <w:pPr>
        <w:pStyle w:val="BodyText"/>
        <w:spacing w:line="345" w:lineRule="auto" w:before="111"/>
        <w:ind w:left="213" w:right="252"/>
        <w:jc w:val="left"/>
      </w:pPr>
      <w:r>
        <w:rPr/>
        <w:t>限责任公司响应国家一教一辅政策，本期重点开发《跨越》系列教辅图书，由于该图书尚在开发过程中，增加在产品</w:t>
      </w:r>
      <w:r>
        <w:rPr>
          <w:spacing w:val="-44"/>
        </w:rPr>
        <w:t> </w:t>
      </w:r>
      <w:r>
        <w:rPr>
          <w:rFonts w:ascii="Times New Roman" w:hAnsi="Times New Roman" w:cs="Times New Roman" w:eastAsia="Times New Roman" w:hint="default"/>
        </w:rPr>
        <w:t>625 </w:t>
      </w:r>
      <w:r>
        <w:rPr/>
        <w:t>万元；（</w:t>
      </w:r>
      <w:r>
        <w:rPr>
          <w:rFonts w:ascii="Times New Roman" w:hAnsi="Times New Roman" w:cs="Times New Roman" w:eastAsia="Times New Roman" w:hint="default"/>
        </w:rPr>
        <w:t>2</w:t>
      </w:r>
      <w:r>
        <w:rPr/>
        <w:t>）子公司北京永载文化有限责任公司本期正式开展业务，增加库存商品</w:t>
      </w:r>
      <w:r>
        <w:rPr>
          <w:spacing w:val="-47"/>
        </w:rPr>
        <w:t> </w:t>
      </w:r>
      <w:r>
        <w:rPr>
          <w:rFonts w:ascii="Times New Roman" w:hAnsi="Times New Roman" w:cs="Times New Roman" w:eastAsia="Times New Roman" w:hint="default"/>
        </w:rPr>
        <w:t>435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年春季教辅发行延 后，影响期末与客户的结算进度，导致发出商品增加。</w:t>
      </w:r>
    </w:p>
    <w:p>
      <w:pPr>
        <w:spacing w:line="240" w:lineRule="auto" w:before="5"/>
        <w:rPr>
          <w:rFonts w:ascii="宋体" w:hAnsi="宋体" w:cs="宋体" w:eastAsia="宋体" w:hint="default"/>
          <w:sz w:val="15"/>
          <w:szCs w:val="15"/>
        </w:rPr>
      </w:pPr>
    </w:p>
    <w:p>
      <w:pPr>
        <w:pStyle w:val="BodyText"/>
        <w:spacing w:line="240" w:lineRule="auto"/>
        <w:ind w:left="573" w:right="5558"/>
        <w:jc w:val="left"/>
      </w:pPr>
      <w:r>
        <w:rPr/>
        <w:t>（</w:t>
      </w:r>
      <w:r>
        <w:rPr>
          <w:rFonts w:ascii="Times New Roman" w:hAnsi="Times New Roman" w:cs="Times New Roman" w:eastAsia="Times New Roman" w:hint="default"/>
        </w:rPr>
        <w:t>2</w:t>
      </w:r>
      <w:r>
        <w:rPr/>
        <w:t>）存货跌价准备</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18" w:footer="999" w:top="1100" w:bottom="1180" w:left="920" w:right="920"/>
        </w:sectPr>
      </w:pPr>
    </w:p>
    <w:p>
      <w:pPr>
        <w:spacing w:line="240" w:lineRule="auto" w:before="13"/>
        <w:rPr>
          <w:rFonts w:ascii="宋体" w:hAnsi="宋体" w:cs="宋体" w:eastAsia="宋体" w:hint="default"/>
          <w:sz w:val="18"/>
          <w:szCs w:val="18"/>
        </w:rPr>
      </w:pPr>
    </w:p>
    <w:p>
      <w:pPr>
        <w:pStyle w:val="Heading8"/>
        <w:tabs>
          <w:tab w:pos="1775" w:val="left" w:leader="none"/>
          <w:tab w:pos="3064" w:val="left" w:leader="none"/>
        </w:tabs>
        <w:spacing w:line="240" w:lineRule="auto"/>
        <w:ind w:left="669" w:right="-20"/>
        <w:jc w:val="left"/>
        <w:rPr>
          <w:b w:val="0"/>
          <w:bCs w:val="0"/>
        </w:rPr>
      </w:pPr>
      <w:r>
        <w:rPr/>
        <w:t>项</w:t>
      </w:r>
      <w:r>
        <w:rPr>
          <w:spacing w:val="90"/>
        </w:rPr>
        <w:t> </w:t>
      </w:r>
      <w:r>
        <w:rPr/>
        <w:t>目</w:t>
        <w:tab/>
      </w:r>
      <w:r>
        <w:rPr>
          <w:w w:val="95"/>
        </w:rPr>
        <w:t>期初余额</w:t>
        <w:tab/>
      </w:r>
      <w:r>
        <w:rPr/>
        <w:t>本期计提</w:t>
      </w:r>
      <w:r>
        <w:rPr>
          <w:b w:val="0"/>
          <w:bCs w:val="0"/>
        </w:rPr>
      </w:r>
    </w:p>
    <w:p>
      <w:pPr>
        <w:pStyle w:val="Heading8"/>
        <w:spacing w:line="240" w:lineRule="auto" w:before="44"/>
        <w:ind w:left="669" w:right="0"/>
        <w:jc w:val="left"/>
        <w:rPr>
          <w:b w:val="0"/>
          <w:bCs w:val="0"/>
        </w:rPr>
      </w:pPr>
      <w:r>
        <w:rPr>
          <w:b w:val="0"/>
          <w:bCs w:val="0"/>
          <w:w w:val="95"/>
        </w:rPr>
        <w:br w:type="column"/>
      </w:r>
      <w:r>
        <w:rPr>
          <w:w w:val="95"/>
        </w:rPr>
        <w:t>本期减少</w:t>
      </w:r>
      <w:r>
        <w:rPr>
          <w:b w:val="0"/>
          <w:bCs w:val="0"/>
        </w:rPr>
      </w:r>
    </w:p>
    <w:p>
      <w:pPr>
        <w:spacing w:line="240" w:lineRule="auto" w:before="13"/>
        <w:rPr>
          <w:rFonts w:ascii="宋体" w:hAnsi="宋体" w:cs="宋体" w:eastAsia="宋体" w:hint="default"/>
          <w:b/>
          <w:bCs/>
          <w:sz w:val="18"/>
          <w:szCs w:val="18"/>
        </w:rPr>
      </w:pPr>
      <w:r>
        <w:rPr/>
        <w:br w:type="column"/>
      </w:r>
      <w:r>
        <w:rPr>
          <w:rFonts w:ascii="宋体"/>
          <w:b/>
          <w:sz w:val="18"/>
        </w:rPr>
      </w:r>
    </w:p>
    <w:p>
      <w:pPr>
        <w:pStyle w:val="Heading8"/>
        <w:spacing w:line="240" w:lineRule="auto"/>
        <w:ind w:left="669" w:right="0"/>
        <w:jc w:val="left"/>
        <w:rPr>
          <w:b w:val="0"/>
          <w:bCs w:val="0"/>
        </w:rPr>
      </w:pPr>
      <w:r>
        <w:rPr>
          <w:w w:val="95"/>
        </w:rPr>
        <w:t>期末余额</w:t>
      </w:r>
      <w:r>
        <w:rPr>
          <w:b w:val="0"/>
          <w:bCs w:val="0"/>
        </w:rPr>
      </w:r>
    </w:p>
    <w:p>
      <w:pPr>
        <w:pStyle w:val="Heading8"/>
        <w:spacing w:line="240" w:lineRule="auto" w:before="68"/>
        <w:ind w:left="262" w:right="0"/>
        <w:jc w:val="left"/>
        <w:rPr>
          <w:b w:val="0"/>
          <w:bCs w:val="0"/>
        </w:rPr>
      </w:pPr>
      <w:r>
        <w:rPr>
          <w:b w:val="0"/>
          <w:bCs w:val="0"/>
        </w:rPr>
        <w:br w:type="column"/>
      </w:r>
      <w:r>
        <w:rPr/>
        <w:t>本期转销存货跌</w:t>
      </w:r>
      <w:r>
        <w:rPr>
          <w:b w:val="0"/>
          <w:bCs w:val="0"/>
        </w:rPr>
      </w:r>
    </w:p>
    <w:p>
      <w:pPr>
        <w:spacing w:after="0" w:line="240" w:lineRule="auto"/>
        <w:jc w:val="left"/>
        <w:sectPr>
          <w:type w:val="continuous"/>
          <w:pgSz w:w="11910" w:h="16840"/>
          <w:pgMar w:top="1100" w:bottom="1180" w:left="920" w:right="920"/>
          <w:cols w:num="4" w:equalWidth="0">
            <w:col w:w="3788" w:space="1750"/>
            <w:col w:w="1392" w:space="56"/>
            <w:col w:w="1392" w:space="40"/>
            <w:col w:w="1652"/>
          </w:cols>
        </w:sectPr>
      </w:pPr>
    </w:p>
    <w:tbl>
      <w:tblPr>
        <w:tblW w:w="0" w:type="auto"/>
        <w:jc w:val="left"/>
        <w:tblInd w:w="104" w:type="dxa"/>
        <w:tblLayout w:type="fixed"/>
        <w:tblCellMar>
          <w:top w:w="0" w:type="dxa"/>
          <w:left w:w="0" w:type="dxa"/>
          <w:bottom w:w="0" w:type="dxa"/>
          <w:right w:w="0" w:type="dxa"/>
        </w:tblCellMar>
        <w:tblLook w:val="01E0"/>
      </w:tblPr>
      <w:tblGrid>
        <w:gridCol w:w="1162"/>
        <w:gridCol w:w="1471"/>
        <w:gridCol w:w="1302"/>
        <w:gridCol w:w="779"/>
        <w:gridCol w:w="1138"/>
        <w:gridCol w:w="1180"/>
        <w:gridCol w:w="1416"/>
        <w:gridCol w:w="1409"/>
      </w:tblGrid>
      <w:tr>
        <w:trPr>
          <w:trHeight w:val="275" w:hRule="exact"/>
        </w:trPr>
        <w:tc>
          <w:tcPr>
            <w:tcW w:w="3935" w:type="dxa"/>
            <w:gridSpan w:val="3"/>
            <w:tcBorders>
              <w:top w:val="nil" w:sz="6" w:space="0" w:color="auto"/>
              <w:left w:val="nil" w:sz="6" w:space="0" w:color="auto"/>
              <w:bottom w:val="single" w:sz="4" w:space="0" w:color="000000"/>
              <w:right w:val="nil" w:sz="6" w:space="0" w:color="auto"/>
            </w:tcBorders>
          </w:tcPr>
          <w:p>
            <w:pPr/>
          </w:p>
        </w:tc>
        <w:tc>
          <w:tcPr>
            <w:tcW w:w="779" w:type="dxa"/>
            <w:tcBorders>
              <w:top w:val="nil" w:sz="6" w:space="0" w:color="auto"/>
              <w:left w:val="nil" w:sz="6" w:space="0" w:color="auto"/>
              <w:bottom w:val="single" w:sz="4" w:space="0" w:color="000000"/>
              <w:right w:val="nil" w:sz="6" w:space="0" w:color="auto"/>
            </w:tcBorders>
          </w:tcPr>
          <w:p>
            <w:pPr>
              <w:pStyle w:val="TableParagraph"/>
              <w:spacing w:line="204"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38" w:type="dxa"/>
            <w:tcBorders>
              <w:top w:val="nil" w:sz="6" w:space="0" w:color="auto"/>
              <w:left w:val="nil" w:sz="6" w:space="0" w:color="auto"/>
              <w:bottom w:val="single" w:sz="4" w:space="0" w:color="000000"/>
              <w:right w:val="nil" w:sz="6" w:space="0" w:color="auto"/>
            </w:tcBorders>
          </w:tcPr>
          <w:p>
            <w:pPr>
              <w:pStyle w:val="TableParagraph"/>
              <w:spacing w:line="204" w:lineRule="exact"/>
              <w:ind w:right="161"/>
              <w:jc w:val="righ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180" w:type="dxa"/>
            <w:tcBorders>
              <w:top w:val="nil" w:sz="6" w:space="0" w:color="auto"/>
              <w:left w:val="nil" w:sz="6" w:space="0" w:color="auto"/>
              <w:bottom w:val="single" w:sz="4" w:space="0" w:color="000000"/>
              <w:right w:val="nil" w:sz="6" w:space="0" w:color="auto"/>
            </w:tcBorders>
          </w:tcPr>
          <w:p>
            <w:pPr>
              <w:pStyle w:val="TableParagraph"/>
              <w:spacing w:line="204" w:lineRule="exact"/>
              <w:ind w:right="20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180"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价准备的原因</w:t>
            </w:r>
            <w:r>
              <w:rPr>
                <w:rFonts w:ascii="宋体" w:hAnsi="宋体" w:cs="宋体" w:eastAsia="宋体" w:hint="default"/>
                <w:sz w:val="18"/>
                <w:szCs w:val="18"/>
              </w:rPr>
            </w:r>
          </w:p>
        </w:tc>
      </w:tr>
      <w:tr>
        <w:trPr>
          <w:trHeight w:val="492" w:hRule="exact"/>
        </w:trPr>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31"/>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37"/>
              <w:jc w:val="right"/>
              <w:rPr>
                <w:rFonts w:ascii="Times New Roman" w:hAnsi="Times New Roman" w:cs="Times New Roman" w:eastAsia="Times New Roman" w:hint="default"/>
                <w:sz w:val="18"/>
                <w:szCs w:val="18"/>
              </w:rPr>
            </w:pPr>
            <w:r>
              <w:rPr>
                <w:rFonts w:ascii="Times New Roman"/>
                <w:spacing w:val="-1"/>
                <w:sz w:val="18"/>
              </w:rPr>
              <w:t>2,669,290.98</w:t>
            </w: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1"/>
              <w:jc w:val="center"/>
              <w:rPr>
                <w:rFonts w:ascii="Times New Roman" w:hAnsi="Times New Roman" w:cs="Times New Roman" w:eastAsia="Times New Roman" w:hint="default"/>
                <w:sz w:val="18"/>
                <w:szCs w:val="18"/>
              </w:rPr>
            </w:pPr>
            <w:r>
              <w:rPr>
                <w:rFonts w:ascii="Times New Roman"/>
                <w:sz w:val="18"/>
              </w:rPr>
              <w:t>740,373.05</w:t>
            </w:r>
          </w:p>
        </w:tc>
        <w:tc>
          <w:tcPr>
            <w:tcW w:w="779" w:type="dxa"/>
            <w:tcBorders>
              <w:top w:val="single" w:sz="4" w:space="0" w:color="000000"/>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62"/>
              <w:jc w:val="right"/>
              <w:rPr>
                <w:rFonts w:ascii="Times New Roman" w:hAnsi="Times New Roman" w:cs="Times New Roman" w:eastAsia="Times New Roman" w:hint="default"/>
                <w:sz w:val="18"/>
                <w:szCs w:val="18"/>
              </w:rPr>
            </w:pPr>
            <w:r>
              <w:rPr>
                <w:rFonts w:ascii="Times New Roman"/>
                <w:spacing w:val="-1"/>
                <w:sz w:val="18"/>
              </w:rPr>
              <w:t>530,121.40</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04"/>
              <w:jc w:val="right"/>
              <w:rPr>
                <w:rFonts w:ascii="Times New Roman" w:hAnsi="Times New Roman" w:cs="Times New Roman" w:eastAsia="Times New Roman" w:hint="default"/>
                <w:sz w:val="18"/>
                <w:szCs w:val="18"/>
              </w:rPr>
            </w:pPr>
            <w:r>
              <w:rPr>
                <w:rFonts w:ascii="Times New Roman"/>
                <w:spacing w:val="-1"/>
                <w:sz w:val="18"/>
              </w:rPr>
              <w:t>530,121.40</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64"/>
              <w:jc w:val="right"/>
              <w:rPr>
                <w:rFonts w:ascii="Times New Roman" w:hAnsi="Times New Roman" w:cs="Times New Roman" w:eastAsia="Times New Roman" w:hint="default"/>
                <w:sz w:val="18"/>
                <w:szCs w:val="18"/>
              </w:rPr>
            </w:pPr>
            <w:r>
              <w:rPr>
                <w:rFonts w:ascii="Times New Roman"/>
                <w:spacing w:val="-1"/>
                <w:sz w:val="18"/>
              </w:rPr>
              <w:t>2,879,542.63</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66" w:right="0"/>
              <w:jc w:val="left"/>
              <w:rPr>
                <w:rFonts w:ascii="宋体" w:hAnsi="宋体" w:cs="宋体" w:eastAsia="宋体" w:hint="default"/>
                <w:sz w:val="18"/>
                <w:szCs w:val="18"/>
              </w:rPr>
            </w:pPr>
            <w:r>
              <w:rPr>
                <w:rFonts w:ascii="宋体" w:hAnsi="宋体" w:cs="宋体" w:eastAsia="宋体" w:hint="default"/>
                <w:sz w:val="18"/>
                <w:szCs w:val="18"/>
              </w:rPr>
              <w:t>对外销售</w:t>
            </w:r>
          </w:p>
        </w:tc>
      </w:tr>
      <w:tr>
        <w:trPr>
          <w:trHeight w:val="440"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1"/>
              <w:jc w:val="right"/>
              <w:rPr>
                <w:rFonts w:ascii="宋体" w:hAnsi="宋体" w:cs="宋体" w:eastAsia="宋体" w:hint="default"/>
                <w:sz w:val="18"/>
                <w:szCs w:val="18"/>
              </w:rPr>
            </w:pPr>
            <w:r>
              <w:rPr>
                <w:rFonts w:ascii="宋体" w:hAnsi="宋体" w:cs="宋体" w:eastAsia="宋体" w:hint="default"/>
                <w:sz w:val="18"/>
                <w:szCs w:val="18"/>
              </w:rPr>
              <w:t>发出商品</w:t>
            </w:r>
          </w:p>
        </w:tc>
        <w:tc>
          <w:tcPr>
            <w:tcW w:w="147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
              <w:jc w:val="center"/>
              <w:rPr>
                <w:rFonts w:ascii="Times New Roman" w:hAnsi="Times New Roman" w:cs="Times New Roman" w:eastAsia="Times New Roman" w:hint="default"/>
                <w:sz w:val="18"/>
                <w:szCs w:val="18"/>
              </w:rPr>
            </w:pPr>
            <w:r>
              <w:rPr>
                <w:rFonts w:ascii="Times New Roman"/>
                <w:sz w:val="18"/>
              </w:rPr>
              <w:t>128,747.55</w:t>
            </w:r>
          </w:p>
        </w:tc>
        <w:tc>
          <w:tcPr>
            <w:tcW w:w="779"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4"/>
              <w:jc w:val="right"/>
              <w:rPr>
                <w:rFonts w:ascii="Times New Roman" w:hAnsi="Times New Roman" w:cs="Times New Roman" w:eastAsia="Times New Roman" w:hint="default"/>
                <w:sz w:val="18"/>
                <w:szCs w:val="18"/>
              </w:rPr>
            </w:pPr>
            <w:r>
              <w:rPr>
                <w:rFonts w:ascii="Times New Roman"/>
                <w:spacing w:val="-1"/>
                <w:sz w:val="18"/>
              </w:rPr>
              <w:t>128,747.55</w:t>
            </w:r>
          </w:p>
        </w:tc>
        <w:tc>
          <w:tcPr>
            <w:tcW w:w="1409" w:type="dxa"/>
            <w:tcBorders>
              <w:top w:val="nil" w:sz="6" w:space="0" w:color="auto"/>
              <w:left w:val="nil" w:sz="6" w:space="0" w:color="auto"/>
              <w:bottom w:val="nil" w:sz="6" w:space="0" w:color="auto"/>
              <w:right w:val="nil" w:sz="6" w:space="0" w:color="auto"/>
            </w:tcBorders>
          </w:tcPr>
          <w:p>
            <w:pPr/>
          </w:p>
        </w:tc>
      </w:tr>
      <w:tr>
        <w:trPr>
          <w:trHeight w:val="416"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3"/>
              <w:jc w:val="right"/>
              <w:rPr>
                <w:rFonts w:ascii="宋体" w:hAnsi="宋体" w:cs="宋体" w:eastAsia="宋体" w:hint="default"/>
                <w:sz w:val="18"/>
                <w:szCs w:val="18"/>
              </w:rPr>
            </w:pPr>
            <w:r>
              <w:rPr>
                <w:rFonts w:ascii="宋体" w:hAnsi="宋体" w:cs="宋体" w:eastAsia="宋体" w:hint="default"/>
                <w:sz w:val="18"/>
                <w:szCs w:val="18"/>
              </w:rPr>
              <w:t>合  计</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2,669,290.98</w:t>
            </w:r>
            <w:r>
              <w:rPr>
                <w:rFonts w:ascii="Times New Roman"/>
                <w:spacing w:val="-1"/>
                <w:sz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869,120.60</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530,121.40</w:t>
            </w:r>
            <w:r>
              <w:rPr>
                <w:rFonts w:ascii="Times New Roman"/>
                <w:spacing w:val="-1"/>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530,121.40</w:t>
            </w:r>
            <w:r>
              <w:rPr>
                <w:rFonts w:ascii="Times New Roman"/>
                <w:spacing w:val="-1"/>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3,008,290.18</w:t>
            </w:r>
            <w:r>
              <w:rPr>
                <w:rFonts w:ascii="Times New Roman"/>
                <w:spacing w:val="-1"/>
                <w:sz w:val="18"/>
              </w:rPr>
            </w:r>
          </w:p>
        </w:tc>
        <w:tc>
          <w:tcPr>
            <w:tcW w:w="1409"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22"/>
          <w:szCs w:val="22"/>
        </w:rPr>
      </w:pPr>
    </w:p>
    <w:p>
      <w:pPr>
        <w:pStyle w:val="BodyText"/>
        <w:spacing w:line="240" w:lineRule="auto" w:before="44"/>
        <w:ind w:left="573" w:right="5558"/>
        <w:jc w:val="left"/>
      </w:pPr>
      <w:r>
        <w:rPr/>
        <w:t>（</w:t>
      </w:r>
      <w:r>
        <w:rPr>
          <w:rFonts w:ascii="Times New Roman" w:hAnsi="Times New Roman" w:cs="Times New Roman" w:eastAsia="Times New Roman" w:hint="default"/>
        </w:rPr>
        <w:t>3</w:t>
      </w:r>
      <w:r>
        <w:rPr/>
        <w:t>）存货跌价准备情况</w:t>
      </w:r>
    </w:p>
    <w:p>
      <w:pPr>
        <w:spacing w:after="0" w:line="240" w:lineRule="auto"/>
        <w:jc w:val="left"/>
        <w:sectPr>
          <w:type w:val="continuous"/>
          <w:pgSz w:w="11910" w:h="16840"/>
          <w:pgMar w:top="1100" w:bottom="1180" w:left="92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990"/>
        <w:gridCol w:w="2937"/>
        <w:gridCol w:w="2149"/>
        <w:gridCol w:w="2781"/>
      </w:tblGrid>
      <w:tr>
        <w:trPr>
          <w:trHeight w:val="673" w:hRule="exact"/>
        </w:trPr>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80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37"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407"/>
              <w:jc w:val="right"/>
              <w:rPr>
                <w:rFonts w:ascii="宋体" w:hAnsi="宋体" w:cs="宋体" w:eastAsia="宋体" w:hint="default"/>
                <w:sz w:val="18"/>
                <w:szCs w:val="18"/>
              </w:rPr>
            </w:pPr>
            <w:r>
              <w:rPr>
                <w:rFonts w:ascii="宋体" w:hAnsi="宋体" w:cs="宋体" w:eastAsia="宋体" w:hint="default"/>
                <w:b/>
                <w:bCs/>
                <w:w w:val="95"/>
                <w:sz w:val="18"/>
                <w:szCs w:val="18"/>
              </w:rPr>
              <w:t>计提存货跌价准备的依据</w:t>
            </w:r>
            <w:r>
              <w:rPr>
                <w:rFonts w:ascii="宋体" w:hAnsi="宋体" w:cs="宋体" w:eastAsia="宋体" w:hint="default"/>
                <w:sz w:val="18"/>
                <w:szCs w:val="18"/>
              </w:rPr>
            </w:r>
          </w:p>
        </w:tc>
        <w:tc>
          <w:tcPr>
            <w:tcW w:w="2149" w:type="dxa"/>
            <w:tcBorders>
              <w:top w:val="nil" w:sz="6" w:space="0" w:color="auto"/>
              <w:left w:val="nil" w:sz="6" w:space="0" w:color="auto"/>
              <w:bottom w:val="single" w:sz="4" w:space="0" w:color="000000"/>
              <w:right w:val="nil" w:sz="6" w:space="0" w:color="auto"/>
            </w:tcBorders>
          </w:tcPr>
          <w:p>
            <w:pPr>
              <w:pStyle w:val="TableParagraph"/>
              <w:spacing w:line="180" w:lineRule="exact"/>
              <w:ind w:left="115" w:right="0"/>
              <w:jc w:val="center"/>
              <w:rPr>
                <w:rFonts w:ascii="宋体" w:hAnsi="宋体" w:cs="宋体" w:eastAsia="宋体" w:hint="default"/>
                <w:sz w:val="18"/>
                <w:szCs w:val="18"/>
              </w:rPr>
            </w:pPr>
            <w:r>
              <w:rPr>
                <w:rFonts w:ascii="宋体" w:hAnsi="宋体" w:cs="宋体" w:eastAsia="宋体" w:hint="default"/>
                <w:b/>
                <w:bCs/>
                <w:sz w:val="18"/>
                <w:szCs w:val="18"/>
              </w:rPr>
              <w:t>本期转回存货跌价</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5" w:right="0"/>
              <w:jc w:val="center"/>
              <w:rPr>
                <w:rFonts w:ascii="宋体" w:hAnsi="宋体" w:cs="宋体" w:eastAsia="宋体" w:hint="default"/>
                <w:sz w:val="18"/>
                <w:szCs w:val="18"/>
              </w:rPr>
            </w:pPr>
            <w:r>
              <w:rPr>
                <w:rFonts w:ascii="宋体" w:hAnsi="宋体" w:cs="宋体" w:eastAsia="宋体" w:hint="default"/>
                <w:b/>
                <w:bCs/>
                <w:sz w:val="18"/>
                <w:szCs w:val="18"/>
              </w:rPr>
              <w:t>准备的原因</w:t>
            </w:r>
            <w:r>
              <w:rPr>
                <w:rFonts w:ascii="宋体" w:hAnsi="宋体" w:cs="宋体" w:eastAsia="宋体" w:hint="default"/>
                <w:sz w:val="18"/>
                <w:szCs w:val="18"/>
              </w:rPr>
            </w:r>
          </w:p>
        </w:tc>
        <w:tc>
          <w:tcPr>
            <w:tcW w:w="2781" w:type="dxa"/>
            <w:tcBorders>
              <w:top w:val="nil" w:sz="6" w:space="0" w:color="auto"/>
              <w:left w:val="nil" w:sz="6" w:space="0" w:color="auto"/>
              <w:bottom w:val="single" w:sz="4" w:space="0" w:color="000000"/>
              <w:right w:val="nil" w:sz="6" w:space="0" w:color="auto"/>
            </w:tcBorders>
          </w:tcPr>
          <w:p>
            <w:pPr>
              <w:pStyle w:val="TableParagraph"/>
              <w:spacing w:line="199" w:lineRule="exact"/>
              <w:ind w:left="156" w:right="0"/>
              <w:jc w:val="center"/>
              <w:rPr>
                <w:rFonts w:ascii="宋体" w:hAnsi="宋体" w:cs="宋体" w:eastAsia="宋体" w:hint="default"/>
                <w:sz w:val="18"/>
                <w:szCs w:val="18"/>
              </w:rPr>
            </w:pPr>
            <w:r>
              <w:rPr>
                <w:rFonts w:ascii="宋体" w:hAnsi="宋体" w:cs="宋体" w:eastAsia="宋体" w:hint="default"/>
                <w:b/>
                <w:bCs/>
                <w:sz w:val="18"/>
                <w:szCs w:val="18"/>
              </w:rPr>
              <w:t>本期转回金额占该项存货期末</w:t>
            </w:r>
            <w:r>
              <w:rPr>
                <w:rFonts w:ascii="宋体" w:hAnsi="宋体" w:cs="宋体" w:eastAsia="宋体" w:hint="default"/>
                <w:sz w:val="18"/>
                <w:szCs w:val="18"/>
              </w:rPr>
            </w:r>
          </w:p>
          <w:p>
            <w:pPr>
              <w:pStyle w:val="TableParagraph"/>
              <w:spacing w:line="240" w:lineRule="auto" w:before="125"/>
              <w:ind w:left="157" w:right="0"/>
              <w:jc w:val="center"/>
              <w:rPr>
                <w:rFonts w:ascii="宋体" w:hAnsi="宋体" w:cs="宋体" w:eastAsia="宋体" w:hint="default"/>
                <w:sz w:val="18"/>
                <w:szCs w:val="18"/>
              </w:rPr>
            </w:pPr>
            <w:r>
              <w:rPr>
                <w:rFonts w:ascii="宋体" w:hAnsi="宋体" w:cs="宋体" w:eastAsia="宋体" w:hint="default"/>
                <w:b/>
                <w:bCs/>
                <w:sz w:val="18"/>
                <w:szCs w:val="18"/>
              </w:rPr>
              <w:t>余额的比例（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7" w:hRule="exact"/>
        </w:trPr>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74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93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28"/>
              <w:jc w:val="right"/>
              <w:rPr>
                <w:rFonts w:ascii="宋体" w:hAnsi="宋体" w:cs="宋体" w:eastAsia="宋体" w:hint="default"/>
                <w:sz w:val="18"/>
                <w:szCs w:val="18"/>
              </w:rPr>
            </w:pPr>
            <w:r>
              <w:rPr>
                <w:rFonts w:ascii="宋体" w:hAnsi="宋体" w:cs="宋体" w:eastAsia="宋体" w:hint="default"/>
                <w:sz w:val="18"/>
                <w:szCs w:val="18"/>
              </w:rPr>
              <w:t>账面价值高于可变现净值</w:t>
            </w:r>
          </w:p>
        </w:tc>
        <w:tc>
          <w:tcPr>
            <w:tcW w:w="2149" w:type="dxa"/>
            <w:tcBorders>
              <w:top w:val="single" w:sz="4" w:space="0" w:color="000000"/>
              <w:left w:val="nil" w:sz="6" w:space="0" w:color="auto"/>
              <w:bottom w:val="nil" w:sz="6" w:space="0" w:color="auto"/>
              <w:right w:val="nil" w:sz="6" w:space="0" w:color="auto"/>
            </w:tcBorders>
          </w:tcPr>
          <w:p>
            <w:pPr/>
          </w:p>
        </w:tc>
        <w:tc>
          <w:tcPr>
            <w:tcW w:w="2781" w:type="dxa"/>
            <w:tcBorders>
              <w:top w:val="single" w:sz="4" w:space="0" w:color="000000"/>
              <w:left w:val="nil" w:sz="6" w:space="0" w:color="auto"/>
              <w:bottom w:val="nil" w:sz="6" w:space="0" w:color="auto"/>
              <w:right w:val="nil" w:sz="6" w:space="0" w:color="auto"/>
            </w:tcBorders>
          </w:tcPr>
          <w:p>
            <w:pPr/>
          </w:p>
        </w:tc>
      </w:tr>
      <w:tr>
        <w:trPr>
          <w:trHeight w:val="311"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4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28"/>
              <w:jc w:val="right"/>
              <w:rPr>
                <w:rFonts w:ascii="宋体" w:hAnsi="宋体" w:cs="宋体" w:eastAsia="宋体" w:hint="default"/>
                <w:sz w:val="18"/>
                <w:szCs w:val="18"/>
              </w:rPr>
            </w:pPr>
            <w:r>
              <w:rPr>
                <w:rFonts w:ascii="宋体" w:hAnsi="宋体" w:cs="宋体" w:eastAsia="宋体" w:hint="default"/>
                <w:sz w:val="18"/>
                <w:szCs w:val="18"/>
              </w:rPr>
              <w:t>账面价值高于可变现净值</w:t>
            </w:r>
          </w:p>
        </w:tc>
        <w:tc>
          <w:tcPr>
            <w:tcW w:w="2149" w:type="dxa"/>
            <w:tcBorders>
              <w:top w:val="nil" w:sz="6" w:space="0" w:color="auto"/>
              <w:left w:val="nil" w:sz="6" w:space="0" w:color="auto"/>
              <w:bottom w:val="nil" w:sz="6" w:space="0" w:color="auto"/>
              <w:right w:val="nil" w:sz="6" w:space="0" w:color="auto"/>
            </w:tcBorders>
          </w:tcPr>
          <w:p>
            <w:pPr/>
          </w:p>
        </w:tc>
        <w:tc>
          <w:tcPr>
            <w:tcW w:w="278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3241"/>
        <w:gridCol w:w="3535"/>
        <w:gridCol w:w="3081"/>
      </w:tblGrid>
      <w:tr>
        <w:trPr>
          <w:trHeight w:val="275" w:hRule="exact"/>
        </w:trPr>
        <w:tc>
          <w:tcPr>
            <w:tcW w:w="3241" w:type="dxa"/>
            <w:tcBorders>
              <w:top w:val="nil" w:sz="6" w:space="0" w:color="auto"/>
              <w:left w:val="nil" w:sz="6" w:space="0" w:color="auto"/>
              <w:bottom w:val="single" w:sz="4" w:space="0" w:color="000000"/>
              <w:right w:val="nil" w:sz="6" w:space="0" w:color="auto"/>
            </w:tcBorders>
          </w:tcPr>
          <w:p>
            <w:pPr>
              <w:pStyle w:val="TableParagraph"/>
              <w:spacing w:line="180" w:lineRule="exact"/>
              <w:ind w:right="132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35" w:type="dxa"/>
            <w:tcBorders>
              <w:top w:val="nil" w:sz="6" w:space="0" w:color="auto"/>
              <w:left w:val="nil" w:sz="6" w:space="0" w:color="auto"/>
              <w:bottom w:val="single" w:sz="4" w:space="0" w:color="000000"/>
              <w:right w:val="nil" w:sz="6" w:space="0" w:color="auto"/>
            </w:tcBorders>
          </w:tcPr>
          <w:p>
            <w:pPr>
              <w:pStyle w:val="TableParagraph"/>
              <w:spacing w:line="180" w:lineRule="exact"/>
              <w:ind w:right="15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81" w:type="dxa"/>
            <w:tcBorders>
              <w:top w:val="nil" w:sz="6" w:space="0" w:color="auto"/>
              <w:left w:val="nil" w:sz="6" w:space="0" w:color="auto"/>
              <w:bottom w:val="single" w:sz="4" w:space="0" w:color="000000"/>
              <w:right w:val="nil" w:sz="6" w:space="0" w:color="auto"/>
            </w:tcBorders>
          </w:tcPr>
          <w:p>
            <w:pPr>
              <w:pStyle w:val="TableParagraph"/>
              <w:spacing w:line="180" w:lineRule="exact"/>
              <w:ind w:right="19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1" w:hRule="exact"/>
        </w:trPr>
        <w:tc>
          <w:tcPr>
            <w:tcW w:w="32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53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77"/>
              <w:jc w:val="right"/>
              <w:rPr>
                <w:rFonts w:ascii="Times New Roman" w:hAnsi="Times New Roman" w:cs="Times New Roman" w:eastAsia="Times New Roman" w:hint="default"/>
                <w:sz w:val="18"/>
                <w:szCs w:val="18"/>
              </w:rPr>
            </w:pPr>
            <w:r>
              <w:rPr>
                <w:rFonts w:ascii="Times New Roman"/>
                <w:spacing w:val="-1"/>
                <w:sz w:val="18"/>
              </w:rPr>
              <w:t>597,945.39</w:t>
            </w:r>
          </w:p>
        </w:tc>
        <w:tc>
          <w:tcPr>
            <w:tcW w:w="308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71"/>
              <w:jc w:val="right"/>
              <w:rPr>
                <w:rFonts w:ascii="Times New Roman" w:hAnsi="Times New Roman" w:cs="Times New Roman" w:eastAsia="Times New Roman" w:hint="default"/>
                <w:sz w:val="18"/>
                <w:szCs w:val="18"/>
              </w:rPr>
            </w:pPr>
            <w:r>
              <w:rPr>
                <w:rFonts w:ascii="Times New Roman"/>
                <w:spacing w:val="-1"/>
                <w:sz w:val="18"/>
              </w:rPr>
              <w:t>177,731.73</w:t>
            </w:r>
          </w:p>
        </w:tc>
      </w:tr>
      <w:tr>
        <w:trPr>
          <w:trHeight w:val="44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多缴纳的企业所得税</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6"/>
              <w:jc w:val="right"/>
              <w:rPr>
                <w:rFonts w:ascii="Times New Roman" w:hAnsi="Times New Roman" w:cs="Times New Roman" w:eastAsia="Times New Roman" w:hint="default"/>
                <w:sz w:val="18"/>
                <w:szCs w:val="18"/>
              </w:rPr>
            </w:pPr>
            <w:r>
              <w:rPr>
                <w:rFonts w:ascii="Times New Roman"/>
                <w:w w:val="95"/>
                <w:sz w:val="18"/>
              </w:rPr>
              <w:t>9,828.96</w:t>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1"/>
              <w:jc w:val="right"/>
              <w:rPr>
                <w:rFonts w:ascii="Times New Roman" w:hAnsi="Times New Roman" w:cs="Times New Roman" w:eastAsia="Times New Roman" w:hint="default"/>
                <w:sz w:val="18"/>
                <w:szCs w:val="18"/>
              </w:rPr>
            </w:pPr>
            <w:r>
              <w:rPr>
                <w:rFonts w:ascii="Times New Roman"/>
                <w:w w:val="95"/>
                <w:sz w:val="18"/>
              </w:rPr>
              <w:t>9,828.96</w:t>
            </w:r>
          </w:p>
        </w:tc>
      </w:tr>
      <w:tr>
        <w:trPr>
          <w:trHeight w:val="316"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2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607,774.35</w:t>
            </w:r>
            <w:r>
              <w:rPr>
                <w:rFonts w:ascii="Times New Roman"/>
                <w:spacing w:val="-1"/>
                <w:sz w:val="18"/>
              </w:rPr>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187,560.69</w:t>
            </w:r>
            <w:r>
              <w:rPr>
                <w:rFonts w:ascii="Times New Roman"/>
                <w:spacing w:val="-1"/>
                <w:sz w:val="18"/>
              </w:rPr>
            </w:r>
          </w:p>
        </w:tc>
      </w:tr>
    </w:tbl>
    <w:p>
      <w:pPr>
        <w:spacing w:line="240" w:lineRule="auto" w:before="2"/>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）按明细列示</w:t>
      </w:r>
    </w:p>
    <w:p>
      <w:pPr>
        <w:spacing w:line="240" w:lineRule="auto" w:before="6"/>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951"/>
        <w:gridCol w:w="1104"/>
        <w:gridCol w:w="1211"/>
        <w:gridCol w:w="1276"/>
        <w:gridCol w:w="1044"/>
        <w:gridCol w:w="981"/>
        <w:gridCol w:w="1288"/>
      </w:tblGrid>
      <w:tr>
        <w:trPr>
          <w:trHeight w:val="250" w:hRule="exact"/>
        </w:trPr>
        <w:tc>
          <w:tcPr>
            <w:tcW w:w="2951" w:type="dxa"/>
            <w:tcBorders>
              <w:top w:val="nil" w:sz="6" w:space="0" w:color="auto"/>
              <w:left w:val="nil" w:sz="6" w:space="0" w:color="auto"/>
              <w:bottom w:val="single" w:sz="4" w:space="0" w:color="000000"/>
              <w:right w:val="nil" w:sz="6" w:space="0" w:color="auto"/>
            </w:tcBorders>
          </w:tcPr>
          <w:p>
            <w:pPr>
              <w:pStyle w:val="TableParagraph"/>
              <w:spacing w:line="151" w:lineRule="exact"/>
              <w:ind w:left="1013" w:right="0"/>
              <w:jc w:val="left"/>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1104" w:type="dxa"/>
            <w:tcBorders>
              <w:top w:val="nil" w:sz="6" w:space="0" w:color="auto"/>
              <w:left w:val="nil" w:sz="6" w:space="0" w:color="auto"/>
              <w:bottom w:val="single" w:sz="4" w:space="0" w:color="000000"/>
              <w:right w:val="nil" w:sz="6" w:space="0" w:color="auto"/>
            </w:tcBorders>
          </w:tcPr>
          <w:p>
            <w:pPr>
              <w:pStyle w:val="TableParagraph"/>
              <w:spacing w:line="151" w:lineRule="exact"/>
              <w:ind w:left="84" w:right="0"/>
              <w:jc w:val="center"/>
              <w:rPr>
                <w:rFonts w:ascii="宋体" w:hAnsi="宋体" w:cs="宋体" w:eastAsia="宋体" w:hint="default"/>
                <w:sz w:val="15"/>
                <w:szCs w:val="15"/>
              </w:rPr>
            </w:pPr>
            <w:r>
              <w:rPr>
                <w:rFonts w:ascii="宋体" w:hAnsi="宋体" w:cs="宋体" w:eastAsia="宋体" w:hint="default"/>
                <w:b/>
                <w:bCs/>
                <w:sz w:val="15"/>
                <w:szCs w:val="15"/>
              </w:rPr>
              <w:t>核算方法</w:t>
            </w:r>
            <w:r>
              <w:rPr>
                <w:rFonts w:ascii="宋体" w:hAnsi="宋体" w:cs="宋体" w:eastAsia="宋体" w:hint="default"/>
                <w:sz w:val="15"/>
                <w:szCs w:val="15"/>
              </w:rPr>
            </w:r>
          </w:p>
        </w:tc>
        <w:tc>
          <w:tcPr>
            <w:tcW w:w="1211" w:type="dxa"/>
            <w:tcBorders>
              <w:top w:val="nil" w:sz="6" w:space="0" w:color="auto"/>
              <w:left w:val="nil" w:sz="6" w:space="0" w:color="auto"/>
              <w:bottom w:val="single" w:sz="4" w:space="0" w:color="000000"/>
              <w:right w:val="nil" w:sz="6" w:space="0" w:color="auto"/>
            </w:tcBorders>
          </w:tcPr>
          <w:p>
            <w:pPr>
              <w:pStyle w:val="TableParagraph"/>
              <w:spacing w:line="151" w:lineRule="exact"/>
              <w:ind w:right="74"/>
              <w:jc w:val="center"/>
              <w:rPr>
                <w:rFonts w:ascii="宋体" w:hAnsi="宋体" w:cs="宋体" w:eastAsia="宋体" w:hint="default"/>
                <w:sz w:val="15"/>
                <w:szCs w:val="15"/>
              </w:rPr>
            </w:pPr>
            <w:r>
              <w:rPr>
                <w:rFonts w:ascii="宋体" w:hAnsi="宋体" w:cs="宋体" w:eastAsia="宋体" w:hint="default"/>
                <w:b/>
                <w:bCs/>
                <w:sz w:val="15"/>
                <w:szCs w:val="15"/>
              </w:rPr>
              <w:t>投资成本</w:t>
            </w:r>
            <w:r>
              <w:rPr>
                <w:rFonts w:ascii="宋体" w:hAnsi="宋体" w:cs="宋体" w:eastAsia="宋体" w:hint="default"/>
                <w:sz w:val="15"/>
                <w:szCs w:val="15"/>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151" w:lineRule="exact"/>
              <w:ind w:left="141" w:right="0"/>
              <w:jc w:val="left"/>
              <w:rPr>
                <w:rFonts w:ascii="宋体" w:hAnsi="宋体" w:cs="宋体" w:eastAsia="宋体" w:hint="default"/>
                <w:sz w:val="15"/>
                <w:szCs w:val="15"/>
              </w:rPr>
            </w:pPr>
            <w:r>
              <w:rPr>
                <w:rFonts w:ascii="宋体" w:hAnsi="宋体" w:cs="宋体" w:eastAsia="宋体" w:hint="default"/>
                <w:b/>
                <w:bCs/>
                <w:sz w:val="15"/>
                <w:szCs w:val="15"/>
              </w:rPr>
              <w:t>期初账面金额</w:t>
            </w:r>
            <w:r>
              <w:rPr>
                <w:rFonts w:ascii="宋体" w:hAnsi="宋体" w:cs="宋体" w:eastAsia="宋体" w:hint="default"/>
                <w:sz w:val="15"/>
                <w:szCs w:val="15"/>
              </w:rPr>
            </w:r>
          </w:p>
        </w:tc>
        <w:tc>
          <w:tcPr>
            <w:tcW w:w="1044" w:type="dxa"/>
            <w:tcBorders>
              <w:top w:val="nil" w:sz="6" w:space="0" w:color="auto"/>
              <w:left w:val="nil" w:sz="6" w:space="0" w:color="auto"/>
              <w:bottom w:val="single" w:sz="4" w:space="0" w:color="000000"/>
              <w:right w:val="nil" w:sz="6" w:space="0" w:color="auto"/>
            </w:tcBorders>
          </w:tcPr>
          <w:p>
            <w:pPr>
              <w:pStyle w:val="TableParagraph"/>
              <w:spacing w:line="151" w:lineRule="exact"/>
              <w:ind w:left="162"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981" w:type="dxa"/>
            <w:tcBorders>
              <w:top w:val="nil" w:sz="6" w:space="0" w:color="auto"/>
              <w:left w:val="nil" w:sz="6" w:space="0" w:color="auto"/>
              <w:bottom w:val="single" w:sz="4" w:space="0" w:color="000000"/>
              <w:right w:val="nil" w:sz="6" w:space="0" w:color="auto"/>
            </w:tcBorders>
          </w:tcPr>
          <w:p>
            <w:pPr>
              <w:pStyle w:val="TableParagraph"/>
              <w:spacing w:line="151" w:lineRule="exact"/>
              <w:ind w:left="171"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288" w:type="dxa"/>
            <w:tcBorders>
              <w:top w:val="nil" w:sz="6" w:space="0" w:color="auto"/>
              <w:left w:val="nil" w:sz="6" w:space="0" w:color="auto"/>
              <w:bottom w:val="single" w:sz="4" w:space="0" w:color="000000"/>
              <w:right w:val="nil" w:sz="6" w:space="0" w:color="auto"/>
            </w:tcBorders>
          </w:tcPr>
          <w:p>
            <w:pPr>
              <w:pStyle w:val="TableParagraph"/>
              <w:spacing w:line="151" w:lineRule="exact"/>
              <w:ind w:left="205" w:right="0"/>
              <w:jc w:val="left"/>
              <w:rPr>
                <w:rFonts w:ascii="宋体" w:hAnsi="宋体" w:cs="宋体" w:eastAsia="宋体" w:hint="default"/>
                <w:sz w:val="15"/>
                <w:szCs w:val="15"/>
              </w:rPr>
            </w:pPr>
            <w:r>
              <w:rPr>
                <w:rFonts w:ascii="宋体" w:hAnsi="宋体" w:cs="宋体" w:eastAsia="宋体" w:hint="default"/>
                <w:b/>
                <w:bCs/>
                <w:sz w:val="15"/>
                <w:szCs w:val="15"/>
              </w:rPr>
              <w:t>期末账面金额</w:t>
            </w:r>
            <w:r>
              <w:rPr>
                <w:rFonts w:ascii="宋体" w:hAnsi="宋体" w:cs="宋体" w:eastAsia="宋体" w:hint="default"/>
                <w:sz w:val="15"/>
                <w:szCs w:val="15"/>
              </w:rPr>
            </w:r>
          </w:p>
        </w:tc>
      </w:tr>
      <w:tr>
        <w:trPr>
          <w:trHeight w:val="501" w:hRule="exact"/>
        </w:trPr>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江苏凤凰天舟新媒体发展有限责任公司</w:t>
            </w: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86"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0" w:right="0"/>
              <w:jc w:val="center"/>
              <w:rPr>
                <w:rFonts w:ascii="Times New Roman" w:hAnsi="Times New Roman" w:cs="Times New Roman" w:eastAsia="Times New Roman" w:hint="default"/>
                <w:sz w:val="15"/>
                <w:szCs w:val="15"/>
              </w:rPr>
            </w:pPr>
            <w:r>
              <w:rPr>
                <w:rFonts w:ascii="Times New Roman"/>
                <w:sz w:val="15"/>
              </w:rPr>
              <w:t>4,900,000.00</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60"/>
              <w:jc w:val="right"/>
              <w:rPr>
                <w:rFonts w:ascii="Times New Roman" w:hAnsi="Times New Roman" w:cs="Times New Roman" w:eastAsia="Times New Roman" w:hint="default"/>
                <w:sz w:val="15"/>
                <w:szCs w:val="15"/>
              </w:rPr>
            </w:pPr>
            <w:r>
              <w:rPr>
                <w:rFonts w:ascii="Times New Roman"/>
                <w:spacing w:val="-1"/>
                <w:sz w:val="15"/>
              </w:rPr>
              <w:t>5,331,253.75</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8" w:right="0"/>
              <w:jc w:val="left"/>
              <w:rPr>
                <w:rFonts w:ascii="Times New Roman" w:hAnsi="Times New Roman" w:cs="Times New Roman" w:eastAsia="Times New Roman" w:hint="default"/>
                <w:sz w:val="15"/>
                <w:szCs w:val="15"/>
              </w:rPr>
            </w:pPr>
            <w:r>
              <w:rPr>
                <w:rFonts w:ascii="Times New Roman"/>
                <w:sz w:val="15"/>
              </w:rPr>
              <w:t>733,308.42</w:t>
            </w:r>
          </w:p>
        </w:tc>
        <w:tc>
          <w:tcPr>
            <w:tcW w:w="981"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6,064,562.17</w:t>
            </w:r>
          </w:p>
        </w:tc>
      </w:tr>
      <w:tr>
        <w:trPr>
          <w:trHeight w:val="440"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北京北舟文化传媒有限责任公司</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6"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6" w:right="0"/>
              <w:jc w:val="center"/>
              <w:rPr>
                <w:rFonts w:ascii="Times New Roman" w:hAnsi="Times New Roman" w:cs="Times New Roman" w:eastAsia="Times New Roman" w:hint="default"/>
                <w:sz w:val="15"/>
                <w:szCs w:val="15"/>
              </w:rPr>
            </w:pPr>
            <w:r>
              <w:rPr>
                <w:rFonts w:ascii="Times New Roman"/>
                <w:sz w:val="15"/>
              </w:rPr>
              <w:t>29,400,000.00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0"/>
              <w:jc w:val="right"/>
              <w:rPr>
                <w:rFonts w:ascii="Times New Roman" w:hAnsi="Times New Roman" w:cs="Times New Roman" w:eastAsia="Times New Roman" w:hint="default"/>
                <w:sz w:val="15"/>
                <w:szCs w:val="15"/>
              </w:rPr>
            </w:pPr>
            <w:r>
              <w:rPr>
                <w:rFonts w:ascii="Times New Roman"/>
                <w:spacing w:val="-1"/>
                <w:sz w:val="15"/>
              </w:rPr>
              <w:t>29,287,499.24</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98" w:right="0"/>
              <w:jc w:val="left"/>
              <w:rPr>
                <w:rFonts w:ascii="Times New Roman" w:hAnsi="Times New Roman" w:cs="Times New Roman" w:eastAsia="Times New Roman" w:hint="default"/>
                <w:sz w:val="15"/>
                <w:szCs w:val="15"/>
              </w:rPr>
            </w:pPr>
            <w:r>
              <w:rPr>
                <w:rFonts w:ascii="Times New Roman"/>
                <w:sz w:val="15"/>
              </w:rPr>
              <w:t>174,539.95</w:t>
            </w:r>
          </w:p>
        </w:tc>
        <w:tc>
          <w:tcPr>
            <w:tcW w:w="981"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29,462,039.19</w:t>
            </w:r>
          </w:p>
        </w:tc>
      </w:tr>
      <w:tr>
        <w:trPr>
          <w:trHeight w:val="301"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8"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04"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66"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34,300,000.00</w:t>
            </w:r>
            <w:r>
              <w:rPr>
                <w:rFonts w:ascii="Times New Roman"/>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6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34,618,752.99</w:t>
            </w:r>
            <w:r>
              <w:rPr>
                <w:rFonts w:ascii="Times New Roman"/>
                <w:spacing w:val="-1"/>
                <w:sz w:val="15"/>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9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907,848.37</w:t>
            </w:r>
            <w:r>
              <w:rPr>
                <w:rFonts w:ascii="Times New Roman"/>
                <w:sz w:val="15"/>
              </w:rPr>
            </w:r>
          </w:p>
        </w:tc>
        <w:tc>
          <w:tcPr>
            <w:tcW w:w="981"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35,526,601.36</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5558"/>
        <w:jc w:val="left"/>
      </w:pPr>
      <w:r>
        <w:rPr/>
        <w:t>接上表：</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741"/>
        <w:gridCol w:w="1753"/>
        <w:gridCol w:w="2911"/>
        <w:gridCol w:w="799"/>
        <w:gridCol w:w="1497"/>
        <w:gridCol w:w="1155"/>
      </w:tblGrid>
      <w:tr>
        <w:trPr>
          <w:trHeight w:val="673" w:hRule="exact"/>
        </w:trPr>
        <w:tc>
          <w:tcPr>
            <w:tcW w:w="1741"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在被投资单位的持</w:t>
            </w:r>
            <w:r>
              <w:rPr>
                <w:rFonts w:ascii="宋体" w:hAnsi="宋体" w:cs="宋体" w:eastAsia="宋体" w:hint="default"/>
                <w:sz w:val="18"/>
                <w:szCs w:val="18"/>
              </w:rPr>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199" w:lineRule="exact"/>
              <w:ind w:right="11"/>
              <w:jc w:val="center"/>
              <w:rPr>
                <w:rFonts w:ascii="宋体" w:hAnsi="宋体" w:cs="宋体" w:eastAsia="宋体" w:hint="default"/>
                <w:sz w:val="18"/>
                <w:szCs w:val="18"/>
              </w:rPr>
            </w:pPr>
            <w:r>
              <w:rPr>
                <w:rFonts w:ascii="宋体" w:hAnsi="宋体" w:cs="宋体" w:eastAsia="宋体" w:hint="default"/>
                <w:b/>
                <w:bCs/>
                <w:sz w:val="18"/>
                <w:szCs w:val="18"/>
              </w:rPr>
              <w:t>在被投资单位表决</w:t>
            </w:r>
            <w:r>
              <w:rPr>
                <w:rFonts w:ascii="宋体" w:hAnsi="宋体" w:cs="宋体" w:eastAsia="宋体" w:hint="default"/>
                <w:sz w:val="18"/>
                <w:szCs w:val="18"/>
              </w:rPr>
            </w:r>
          </w:p>
          <w:p>
            <w:pPr>
              <w:pStyle w:val="TableParagraph"/>
              <w:spacing w:line="240" w:lineRule="auto" w:before="124"/>
              <w:ind w:right="15"/>
              <w:jc w:val="center"/>
              <w:rPr>
                <w:rFonts w:ascii="宋体" w:hAnsi="宋体" w:cs="宋体" w:eastAsia="宋体" w:hint="default"/>
                <w:sz w:val="18"/>
                <w:szCs w:val="18"/>
              </w:rPr>
            </w:pPr>
            <w:r>
              <w:rPr>
                <w:rFonts w:ascii="宋体" w:hAnsi="宋体" w:cs="宋体" w:eastAsia="宋体" w:hint="default"/>
                <w:b/>
                <w:bCs/>
                <w:sz w:val="18"/>
                <w:szCs w:val="18"/>
              </w:rPr>
              <w:t>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911" w:type="dxa"/>
            <w:tcBorders>
              <w:top w:val="nil" w:sz="6" w:space="0" w:color="auto"/>
              <w:left w:val="nil" w:sz="6" w:space="0" w:color="auto"/>
              <w:bottom w:val="single" w:sz="4" w:space="0" w:color="000000"/>
              <w:right w:val="nil" w:sz="6" w:space="0" w:color="auto"/>
            </w:tcBorders>
          </w:tcPr>
          <w:p>
            <w:pPr>
              <w:pStyle w:val="TableParagraph"/>
              <w:spacing w:line="199" w:lineRule="exact"/>
              <w:ind w:right="58"/>
              <w:jc w:val="center"/>
              <w:rPr>
                <w:rFonts w:ascii="宋体" w:hAnsi="宋体" w:cs="宋体" w:eastAsia="宋体" w:hint="default"/>
                <w:sz w:val="18"/>
                <w:szCs w:val="18"/>
              </w:rPr>
            </w:pPr>
            <w:r>
              <w:rPr>
                <w:rFonts w:ascii="宋体" w:hAnsi="宋体" w:cs="宋体" w:eastAsia="宋体" w:hint="default"/>
                <w:b/>
                <w:bCs/>
                <w:sz w:val="18"/>
                <w:szCs w:val="18"/>
              </w:rPr>
              <w:t>在被投资单位的持股比例与表决</w:t>
            </w:r>
            <w:r>
              <w:rPr>
                <w:rFonts w:ascii="宋体" w:hAnsi="宋体" w:cs="宋体" w:eastAsia="宋体" w:hint="default"/>
                <w:sz w:val="18"/>
                <w:szCs w:val="18"/>
              </w:rPr>
            </w:r>
          </w:p>
          <w:p>
            <w:pPr>
              <w:pStyle w:val="TableParagraph"/>
              <w:spacing w:line="240" w:lineRule="auto" w:before="124"/>
              <w:ind w:right="57"/>
              <w:jc w:val="center"/>
              <w:rPr>
                <w:rFonts w:ascii="宋体" w:hAnsi="宋体" w:cs="宋体" w:eastAsia="宋体" w:hint="default"/>
                <w:sz w:val="18"/>
                <w:szCs w:val="18"/>
              </w:rPr>
            </w:pPr>
            <w:r>
              <w:rPr>
                <w:rFonts w:ascii="宋体" w:hAnsi="宋体" w:cs="宋体" w:eastAsia="宋体" w:hint="default"/>
                <w:b/>
                <w:bCs/>
                <w:sz w:val="18"/>
                <w:szCs w:val="18"/>
              </w:rPr>
              <w:t>权比例不一致的说明</w:t>
            </w:r>
            <w:r>
              <w:rPr>
                <w:rFonts w:ascii="宋体" w:hAnsi="宋体" w:cs="宋体" w:eastAsia="宋体" w:hint="default"/>
                <w:sz w:val="18"/>
                <w:szCs w:val="18"/>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180"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199"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本期计提资产</w:t>
            </w:r>
            <w:r>
              <w:rPr>
                <w:rFonts w:ascii="宋体" w:hAnsi="宋体" w:cs="宋体" w:eastAsia="宋体" w:hint="default"/>
                <w:sz w:val="18"/>
                <w:szCs w:val="18"/>
              </w:rPr>
            </w:r>
          </w:p>
          <w:p>
            <w:pPr>
              <w:pStyle w:val="TableParagraph"/>
              <w:spacing w:line="240" w:lineRule="auto" w:before="124"/>
              <w:ind w:left="10"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99"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r>
        <w:trPr>
          <w:trHeight w:val="496" w:hRule="exact"/>
        </w:trPr>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67" w:right="0"/>
              <w:jc w:val="left"/>
              <w:rPr>
                <w:rFonts w:ascii="Times New Roman" w:hAnsi="Times New Roman" w:cs="Times New Roman" w:eastAsia="Times New Roman" w:hint="default"/>
                <w:sz w:val="18"/>
                <w:szCs w:val="18"/>
              </w:rPr>
            </w:pPr>
            <w:r>
              <w:rPr>
                <w:rFonts w:ascii="Times New Roman"/>
                <w:sz w:val="18"/>
              </w:rPr>
              <w:t>49.00</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1"/>
              <w:jc w:val="center"/>
              <w:rPr>
                <w:rFonts w:ascii="Times New Roman" w:hAnsi="Times New Roman" w:cs="Times New Roman" w:eastAsia="Times New Roman" w:hint="default"/>
                <w:sz w:val="18"/>
                <w:szCs w:val="18"/>
              </w:rPr>
            </w:pPr>
            <w:r>
              <w:rPr>
                <w:rFonts w:ascii="Times New Roman"/>
                <w:sz w:val="18"/>
              </w:rPr>
              <w:t>49.00</w:t>
            </w:r>
          </w:p>
        </w:tc>
        <w:tc>
          <w:tcPr>
            <w:tcW w:w="2911" w:type="dxa"/>
            <w:tcBorders>
              <w:top w:val="single" w:sz="4" w:space="0" w:color="000000"/>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
        </w:tc>
        <w:tc>
          <w:tcPr>
            <w:tcW w:w="1497"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r>
      <w:tr>
        <w:trPr>
          <w:trHeight w:val="310"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67" w:right="0"/>
              <w:jc w:val="left"/>
              <w:rPr>
                <w:rFonts w:ascii="Times New Roman" w:hAnsi="Times New Roman" w:cs="Times New Roman" w:eastAsia="Times New Roman" w:hint="default"/>
                <w:sz w:val="18"/>
                <w:szCs w:val="18"/>
              </w:rPr>
            </w:pPr>
            <w:r>
              <w:rPr>
                <w:rFonts w:ascii="Times New Roman"/>
                <w:sz w:val="18"/>
              </w:rPr>
              <w:t>49.00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
              <w:jc w:val="center"/>
              <w:rPr>
                <w:rFonts w:ascii="Times New Roman" w:hAnsi="Times New Roman" w:cs="Times New Roman" w:eastAsia="Times New Roman" w:hint="default"/>
                <w:sz w:val="18"/>
                <w:szCs w:val="18"/>
              </w:rPr>
            </w:pPr>
            <w:r>
              <w:rPr>
                <w:rFonts w:ascii="Times New Roman"/>
                <w:sz w:val="18"/>
              </w:rPr>
              <w:t>49.00</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5558"/>
        <w:jc w:val="left"/>
      </w:pPr>
      <w:r>
        <w:rPr/>
        <w:t>（</w:t>
      </w:r>
      <w:r>
        <w:rPr>
          <w:rFonts w:ascii="Times New Roman" w:hAnsi="Times New Roman" w:cs="Times New Roman" w:eastAsia="Times New Roman" w:hint="default"/>
        </w:rPr>
        <w:t>2</w:t>
      </w:r>
      <w:r>
        <w:rPr/>
        <w:t>）对合营企业投资和联营企业投资</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607"/>
        <w:gridCol w:w="1377"/>
        <w:gridCol w:w="1446"/>
        <w:gridCol w:w="1782"/>
        <w:gridCol w:w="1645"/>
      </w:tblGrid>
      <w:tr>
        <w:trPr>
          <w:trHeight w:val="633" w:hRule="exact"/>
        </w:trPr>
        <w:tc>
          <w:tcPr>
            <w:tcW w:w="360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22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4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326"/>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782" w:type="dxa"/>
            <w:tcBorders>
              <w:top w:val="nil" w:sz="6" w:space="0" w:color="auto"/>
              <w:left w:val="nil" w:sz="6" w:space="0" w:color="auto"/>
              <w:bottom w:val="single" w:sz="4" w:space="0" w:color="000000"/>
              <w:right w:val="nil" w:sz="6" w:space="0" w:color="auto"/>
            </w:tcBorders>
          </w:tcPr>
          <w:p>
            <w:pPr>
              <w:pStyle w:val="TableParagraph"/>
              <w:spacing w:line="180" w:lineRule="exact"/>
              <w:ind w:left="328" w:right="0"/>
              <w:jc w:val="left"/>
              <w:rPr>
                <w:rFonts w:ascii="宋体" w:hAnsi="宋体" w:cs="宋体" w:eastAsia="宋体" w:hint="default"/>
                <w:sz w:val="18"/>
                <w:szCs w:val="18"/>
              </w:rPr>
            </w:pPr>
            <w:r>
              <w:rPr>
                <w:rFonts w:ascii="宋体" w:hAnsi="宋体" w:cs="宋体" w:eastAsia="宋体" w:hint="default"/>
                <w:b/>
                <w:bCs/>
                <w:sz w:val="18"/>
                <w:szCs w:val="18"/>
              </w:rPr>
              <w:t>在被投资单位的</w:t>
            </w:r>
            <w:r>
              <w:rPr>
                <w:rFonts w:ascii="宋体" w:hAnsi="宋体" w:cs="宋体" w:eastAsia="宋体" w:hint="default"/>
                <w:sz w:val="18"/>
                <w:szCs w:val="18"/>
              </w:rPr>
            </w: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在被投资单位表</w:t>
            </w:r>
            <w:r>
              <w:rPr>
                <w:rFonts w:ascii="宋体" w:hAnsi="宋体" w:cs="宋体" w:eastAsia="宋体" w:hint="default"/>
                <w:sz w:val="18"/>
                <w:szCs w:val="18"/>
              </w:rPr>
            </w:r>
          </w:p>
          <w:p>
            <w:pPr>
              <w:pStyle w:val="TableParagraph"/>
              <w:spacing w:line="240" w:lineRule="auto" w:before="125"/>
              <w:ind w:left="189" w:right="0"/>
              <w:jc w:val="left"/>
              <w:rPr>
                <w:rFonts w:ascii="宋体" w:hAnsi="宋体" w:cs="宋体" w:eastAsia="宋体" w:hint="default"/>
                <w:sz w:val="18"/>
                <w:szCs w:val="18"/>
              </w:rPr>
            </w:pPr>
            <w:r>
              <w:rPr>
                <w:rFonts w:ascii="宋体" w:hAnsi="宋体" w:cs="宋体" w:eastAsia="宋体" w:hint="default"/>
                <w:b/>
                <w:bCs/>
                <w:sz w:val="18"/>
                <w:szCs w:val="18"/>
              </w:rPr>
              <w:t>决权比例（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9" w:hRule="exact"/>
        </w:trPr>
        <w:tc>
          <w:tcPr>
            <w:tcW w:w="360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一、对合营企业投资</w:t>
            </w:r>
          </w:p>
        </w:tc>
        <w:tc>
          <w:tcPr>
            <w:tcW w:w="1377" w:type="dxa"/>
            <w:tcBorders>
              <w:top w:val="single" w:sz="4" w:space="0" w:color="000000"/>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
        </w:tc>
        <w:tc>
          <w:tcPr>
            <w:tcW w:w="1782" w:type="dxa"/>
            <w:tcBorders>
              <w:top w:val="single" w:sz="4" w:space="0" w:color="000000"/>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
        </w:tc>
      </w:tr>
      <w:tr>
        <w:trPr>
          <w:trHeight w:val="43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77"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4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二、对联营企业投资</w:t>
            </w:r>
          </w:p>
        </w:tc>
        <w:tc>
          <w:tcPr>
            <w:tcW w:w="1377"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445"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4"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8"/>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16"/>
              <w:jc w:val="right"/>
              <w:rPr>
                <w:rFonts w:ascii="Times New Roman" w:hAnsi="Times New Roman" w:cs="Times New Roman" w:eastAsia="Times New Roman" w:hint="default"/>
                <w:sz w:val="18"/>
                <w:szCs w:val="18"/>
              </w:rPr>
            </w:pPr>
            <w:r>
              <w:rPr>
                <w:rFonts w:ascii="Times New Roman"/>
                <w:sz w:val="18"/>
              </w:rPr>
              <w:t>49.00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49.00</w:t>
            </w:r>
          </w:p>
        </w:tc>
      </w:tr>
      <w:tr>
        <w:trPr>
          <w:trHeight w:val="314"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8"/>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6"/>
              <w:jc w:val="right"/>
              <w:rPr>
                <w:rFonts w:ascii="Times New Roman" w:hAnsi="Times New Roman" w:cs="Times New Roman" w:eastAsia="Times New Roman" w:hint="default"/>
                <w:sz w:val="18"/>
                <w:szCs w:val="18"/>
              </w:rPr>
            </w:pPr>
            <w:r>
              <w:rPr>
                <w:rFonts w:ascii="Times New Roman"/>
                <w:sz w:val="18"/>
              </w:rPr>
              <w:t>49.00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49.00</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999" w:top="1100" w:bottom="1180" w:left="920" w:right="920"/>
        </w:sectPr>
      </w:pPr>
    </w:p>
    <w:p>
      <w:pPr>
        <w:spacing w:line="240" w:lineRule="auto" w:before="12"/>
        <w:rPr>
          <w:rFonts w:ascii="宋体" w:hAnsi="宋体" w:cs="宋体" w:eastAsia="宋体" w:hint="default"/>
          <w:sz w:val="26"/>
          <w:szCs w:val="26"/>
        </w:rPr>
      </w:pPr>
    </w:p>
    <w:p>
      <w:pPr>
        <w:pStyle w:val="BodyText"/>
        <w:spacing w:line="240" w:lineRule="auto" w:before="44"/>
        <w:ind w:left="578" w:right="5558"/>
        <w:jc w:val="left"/>
      </w:pPr>
      <w:r>
        <w:rPr/>
        <w:t>接上表：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74"/>
        <w:gridCol w:w="1462"/>
        <w:gridCol w:w="1365"/>
        <w:gridCol w:w="1393"/>
        <w:gridCol w:w="1420"/>
        <w:gridCol w:w="1242"/>
      </w:tblGrid>
      <w:tr>
        <w:trPr>
          <w:trHeight w:val="648" w:hRule="exact"/>
        </w:trPr>
        <w:tc>
          <w:tcPr>
            <w:tcW w:w="297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15" w:right="0"/>
              <w:jc w:val="left"/>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4" w:right="0"/>
              <w:jc w:val="left"/>
              <w:rPr>
                <w:rFonts w:ascii="宋体" w:hAnsi="宋体" w:cs="宋体" w:eastAsia="宋体" w:hint="default"/>
                <w:sz w:val="15"/>
                <w:szCs w:val="15"/>
              </w:rPr>
            </w:pPr>
            <w:r>
              <w:rPr>
                <w:rFonts w:ascii="宋体" w:hAnsi="宋体" w:cs="宋体" w:eastAsia="宋体" w:hint="default"/>
                <w:b/>
                <w:bCs/>
                <w:sz w:val="15"/>
                <w:szCs w:val="15"/>
              </w:rPr>
              <w:t>期末资产总额</w:t>
            </w:r>
            <w:r>
              <w:rPr>
                <w:rFonts w:ascii="宋体" w:hAnsi="宋体" w:cs="宋体" w:eastAsia="宋体" w:hint="default"/>
                <w:sz w:val="15"/>
                <w:szCs w:val="15"/>
              </w:rPr>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b/>
                <w:bCs/>
                <w:sz w:val="15"/>
                <w:szCs w:val="15"/>
              </w:rPr>
              <w:t>期末负债总额</w:t>
            </w:r>
            <w:r>
              <w:rPr>
                <w:rFonts w:ascii="宋体" w:hAnsi="宋体" w:cs="宋体" w:eastAsia="宋体" w:hint="default"/>
                <w:sz w:val="15"/>
                <w:szCs w:val="15"/>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151" w:lineRule="exact"/>
              <w:ind w:right="187"/>
              <w:jc w:val="center"/>
              <w:rPr>
                <w:rFonts w:ascii="宋体" w:hAnsi="宋体" w:cs="宋体" w:eastAsia="宋体" w:hint="default"/>
                <w:sz w:val="15"/>
                <w:szCs w:val="15"/>
              </w:rPr>
            </w:pPr>
            <w:r>
              <w:rPr>
                <w:rFonts w:ascii="宋体" w:hAnsi="宋体" w:cs="宋体" w:eastAsia="宋体" w:hint="default"/>
                <w:b/>
                <w:bCs/>
                <w:sz w:val="15"/>
                <w:szCs w:val="15"/>
              </w:rPr>
              <w:t>期末净资产</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4"/>
              <w:jc w:val="center"/>
              <w:rPr>
                <w:rFonts w:ascii="宋体" w:hAnsi="宋体" w:cs="宋体" w:eastAsia="宋体" w:hint="default"/>
                <w:sz w:val="15"/>
                <w:szCs w:val="15"/>
              </w:rPr>
            </w:pPr>
            <w:r>
              <w:rPr>
                <w:rFonts w:ascii="宋体" w:hAnsi="宋体" w:cs="宋体" w:eastAsia="宋体" w:hint="default"/>
                <w:b/>
                <w:bCs/>
                <w:sz w:val="15"/>
                <w:szCs w:val="15"/>
              </w:rPr>
              <w:t>总额</w:t>
            </w:r>
            <w:r>
              <w:rPr>
                <w:rFonts w:ascii="宋体" w:hAnsi="宋体" w:cs="宋体" w:eastAsia="宋体" w:hint="default"/>
                <w:sz w:val="15"/>
                <w:szCs w:val="15"/>
              </w:rPr>
            </w:r>
          </w:p>
        </w:tc>
        <w:tc>
          <w:tcPr>
            <w:tcW w:w="1420" w:type="dxa"/>
            <w:tcBorders>
              <w:top w:val="nil" w:sz="6" w:space="0" w:color="auto"/>
              <w:left w:val="nil" w:sz="6" w:space="0" w:color="auto"/>
              <w:bottom w:val="single" w:sz="4" w:space="0" w:color="000000"/>
              <w:right w:val="nil" w:sz="6" w:space="0" w:color="auto"/>
            </w:tcBorders>
          </w:tcPr>
          <w:p>
            <w:pPr>
              <w:pStyle w:val="TableParagraph"/>
              <w:spacing w:line="151" w:lineRule="exact"/>
              <w:ind w:right="157"/>
              <w:jc w:val="center"/>
              <w:rPr>
                <w:rFonts w:ascii="宋体" w:hAnsi="宋体" w:cs="宋体" w:eastAsia="宋体" w:hint="default"/>
                <w:sz w:val="15"/>
                <w:szCs w:val="15"/>
              </w:rPr>
            </w:pPr>
            <w:r>
              <w:rPr>
                <w:rFonts w:ascii="宋体" w:hAnsi="宋体" w:cs="宋体" w:eastAsia="宋体" w:hint="default"/>
                <w:b/>
                <w:bCs/>
                <w:sz w:val="15"/>
                <w:szCs w:val="15"/>
              </w:rPr>
              <w:t>本期营业收入</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5"/>
              <w:jc w:val="center"/>
              <w:rPr>
                <w:rFonts w:ascii="宋体" w:hAnsi="宋体" w:cs="宋体" w:eastAsia="宋体" w:hint="default"/>
                <w:sz w:val="15"/>
                <w:szCs w:val="15"/>
              </w:rPr>
            </w:pPr>
            <w:r>
              <w:rPr>
                <w:rFonts w:ascii="宋体" w:hAnsi="宋体" w:cs="宋体" w:eastAsia="宋体" w:hint="default"/>
                <w:b/>
                <w:bCs/>
                <w:sz w:val="15"/>
                <w:szCs w:val="15"/>
              </w:rPr>
              <w:t>总额</w:t>
            </w:r>
            <w:r>
              <w:rPr>
                <w:rFonts w:ascii="宋体" w:hAnsi="宋体" w:cs="宋体" w:eastAsia="宋体" w:hint="default"/>
                <w:sz w:val="15"/>
                <w:szCs w:val="15"/>
              </w:rPr>
            </w: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b/>
                <w:bCs/>
                <w:sz w:val="15"/>
                <w:szCs w:val="15"/>
              </w:rPr>
              <w:t>本期净利润</w:t>
            </w:r>
            <w:r>
              <w:rPr>
                <w:rFonts w:ascii="宋体" w:hAnsi="宋体" w:cs="宋体" w:eastAsia="宋体" w:hint="default"/>
                <w:sz w:val="15"/>
                <w:szCs w:val="15"/>
              </w:rPr>
            </w:r>
          </w:p>
        </w:tc>
      </w:tr>
      <w:tr>
        <w:trPr>
          <w:trHeight w:val="498"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一、对合营企业投资</w:t>
            </w:r>
          </w:p>
        </w:tc>
        <w:tc>
          <w:tcPr>
            <w:tcW w:w="1462" w:type="dxa"/>
            <w:tcBorders>
              <w:top w:val="single" w:sz="4" w:space="0" w:color="000000"/>
              <w:left w:val="nil" w:sz="6" w:space="0" w:color="auto"/>
              <w:bottom w:val="nil" w:sz="6" w:space="0" w:color="auto"/>
              <w:right w:val="nil" w:sz="6" w:space="0" w:color="auto"/>
            </w:tcBorders>
          </w:tcPr>
          <w:p>
            <w:pPr/>
          </w:p>
        </w:tc>
        <w:tc>
          <w:tcPr>
            <w:tcW w:w="1365" w:type="dxa"/>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
        </w:tc>
        <w:tc>
          <w:tcPr>
            <w:tcW w:w="1242"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0"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1462"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417"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5"/>
                <w:szCs w:val="15"/>
              </w:rPr>
            </w:pPr>
            <w:r>
              <w:rPr>
                <w:rFonts w:ascii="宋体" w:hAnsi="宋体" w:cs="宋体" w:eastAsia="宋体" w:hint="default"/>
                <w:sz w:val="15"/>
                <w:szCs w:val="15"/>
              </w:rPr>
              <w:t>二、对联营企业投资</w:t>
            </w:r>
          </w:p>
        </w:tc>
        <w:tc>
          <w:tcPr>
            <w:tcW w:w="1462"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44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5"/>
                <w:szCs w:val="15"/>
              </w:rPr>
            </w:pPr>
            <w:r>
              <w:rPr>
                <w:rFonts w:ascii="宋体" w:hAnsi="宋体" w:cs="宋体" w:eastAsia="宋体" w:hint="default"/>
                <w:sz w:val="15"/>
                <w:szCs w:val="15"/>
              </w:rPr>
              <w:t>江苏凤凰天舟新媒体发展有限责任公司</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49"/>
              <w:jc w:val="right"/>
              <w:rPr>
                <w:rFonts w:ascii="Times New Roman" w:hAnsi="Times New Roman" w:cs="Times New Roman" w:eastAsia="Times New Roman" w:hint="default"/>
                <w:sz w:val="15"/>
                <w:szCs w:val="15"/>
              </w:rPr>
            </w:pPr>
            <w:r>
              <w:rPr>
                <w:rFonts w:ascii="Times New Roman"/>
                <w:spacing w:val="-1"/>
                <w:sz w:val="15"/>
              </w:rPr>
              <w:t>26,587,212.13</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2"/>
              <w:jc w:val="right"/>
              <w:rPr>
                <w:rFonts w:ascii="Times New Roman" w:hAnsi="Times New Roman" w:cs="Times New Roman" w:eastAsia="Times New Roman" w:hint="default"/>
                <w:sz w:val="15"/>
                <w:szCs w:val="15"/>
              </w:rPr>
            </w:pPr>
            <w:r>
              <w:rPr>
                <w:rFonts w:ascii="Times New Roman"/>
                <w:spacing w:val="-1"/>
                <w:sz w:val="15"/>
              </w:rPr>
              <w:t>15,580,764.18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5"/>
              <w:jc w:val="right"/>
              <w:rPr>
                <w:rFonts w:ascii="Times New Roman" w:hAnsi="Times New Roman" w:cs="Times New Roman" w:eastAsia="Times New Roman" w:hint="default"/>
                <w:sz w:val="15"/>
                <w:szCs w:val="15"/>
              </w:rPr>
            </w:pPr>
            <w:r>
              <w:rPr>
                <w:rFonts w:ascii="Times New Roman"/>
                <w:spacing w:val="-2"/>
                <w:sz w:val="15"/>
              </w:rPr>
              <w:t>11,006,447.95</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5"/>
              <w:jc w:val="right"/>
              <w:rPr>
                <w:rFonts w:ascii="Times New Roman" w:hAnsi="Times New Roman" w:cs="Times New Roman" w:eastAsia="Times New Roman" w:hint="default"/>
                <w:sz w:val="15"/>
                <w:szCs w:val="15"/>
              </w:rPr>
            </w:pPr>
            <w:r>
              <w:rPr>
                <w:rFonts w:ascii="Times New Roman"/>
                <w:spacing w:val="-1"/>
                <w:sz w:val="15"/>
              </w:rPr>
              <w:t>22,631,370.74</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5"/>
                <w:szCs w:val="15"/>
              </w:rPr>
            </w:pPr>
            <w:r>
              <w:rPr>
                <w:rFonts w:ascii="Times New Roman"/>
                <w:spacing w:val="-1"/>
                <w:sz w:val="15"/>
              </w:rPr>
              <w:t>775,600.62</w:t>
            </w:r>
          </w:p>
        </w:tc>
      </w:tr>
      <w:tr>
        <w:trPr>
          <w:trHeight w:val="31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8" w:right="0"/>
              <w:jc w:val="left"/>
              <w:rPr>
                <w:rFonts w:ascii="宋体" w:hAnsi="宋体" w:cs="宋体" w:eastAsia="宋体" w:hint="default"/>
                <w:sz w:val="15"/>
                <w:szCs w:val="15"/>
              </w:rPr>
            </w:pPr>
            <w:r>
              <w:rPr>
                <w:rFonts w:ascii="宋体" w:hAnsi="宋体" w:cs="宋体" w:eastAsia="宋体" w:hint="default"/>
                <w:sz w:val="15"/>
                <w:szCs w:val="15"/>
              </w:rPr>
              <w:t>北京北舟文化传媒有限责任公司</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Times New Roman" w:hAnsi="Times New Roman" w:cs="Times New Roman" w:eastAsia="Times New Roman" w:hint="default"/>
                <w:sz w:val="15"/>
                <w:szCs w:val="15"/>
              </w:rPr>
            </w:pPr>
            <w:r>
              <w:rPr>
                <w:rFonts w:ascii="Times New Roman"/>
                <w:spacing w:val="-1"/>
                <w:sz w:val="15"/>
              </w:rPr>
              <w:t>68,638,665.38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Times New Roman" w:hAnsi="Times New Roman" w:cs="Times New Roman" w:eastAsia="Times New Roman" w:hint="default"/>
                <w:sz w:val="15"/>
                <w:szCs w:val="15"/>
              </w:rPr>
            </w:pPr>
            <w:r>
              <w:rPr>
                <w:rFonts w:ascii="Times New Roman"/>
                <w:spacing w:val="-1"/>
                <w:sz w:val="15"/>
              </w:rPr>
              <w:t>8,512,054.79</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5"/>
              <w:jc w:val="right"/>
              <w:rPr>
                <w:rFonts w:ascii="Times New Roman" w:hAnsi="Times New Roman" w:cs="Times New Roman" w:eastAsia="Times New Roman" w:hint="default"/>
                <w:sz w:val="15"/>
                <w:szCs w:val="15"/>
              </w:rPr>
            </w:pPr>
            <w:r>
              <w:rPr>
                <w:rFonts w:ascii="Times New Roman"/>
                <w:spacing w:val="-1"/>
                <w:sz w:val="15"/>
              </w:rPr>
              <w:t>60,126,610.59</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5"/>
              <w:jc w:val="right"/>
              <w:rPr>
                <w:rFonts w:ascii="Times New Roman" w:hAnsi="Times New Roman" w:cs="Times New Roman" w:eastAsia="Times New Roman" w:hint="default"/>
                <w:sz w:val="15"/>
                <w:szCs w:val="15"/>
              </w:rPr>
            </w:pPr>
            <w:r>
              <w:rPr>
                <w:rFonts w:ascii="Times New Roman"/>
                <w:spacing w:val="-1"/>
                <w:sz w:val="15"/>
              </w:rPr>
              <w:t>25,363,661.36</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5"/>
                <w:szCs w:val="15"/>
              </w:rPr>
            </w:pPr>
            <w:r>
              <w:rPr>
                <w:rFonts w:ascii="Times New Roman"/>
                <w:spacing w:val="-1"/>
                <w:sz w:val="15"/>
              </w:rPr>
              <w:t>356,203.98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69" w:lineRule="auto"/>
        <w:ind w:left="213" w:right="213" w:firstLine="364"/>
        <w:jc w:val="left"/>
      </w:pPr>
      <w:r>
        <w:rPr>
          <w:spacing w:val="-2"/>
        </w:rPr>
        <w:t>注：本期确认江苏凤凰天舟新媒体发展有限责任公司（以下简称“凤凰天舟公司”）的投资收益与按持股比例及凤凰天</w:t>
      </w:r>
      <w:r>
        <w:rPr/>
        <w:t> 舟公司本期净利润计算出的金额的差异，系对向凤凰天舟公司采购商品形成的未实现内部交易损益进行了抵销。</w:t>
      </w:r>
    </w:p>
    <w:p>
      <w:pPr>
        <w:spacing w:line="240" w:lineRule="auto" w:before="1"/>
        <w:rPr>
          <w:rFonts w:ascii="宋体" w:hAnsi="宋体" w:cs="宋体" w:eastAsia="宋体" w:hint="default"/>
          <w:sz w:val="18"/>
          <w:szCs w:val="18"/>
        </w:rPr>
      </w:pPr>
    </w:p>
    <w:p>
      <w:pPr>
        <w:pStyle w:val="Heading5"/>
        <w:spacing w:line="240" w:lineRule="auto"/>
        <w:ind w:left="213" w:right="5558"/>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）固定资产情况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595"/>
        <w:gridCol w:w="2458"/>
        <w:gridCol w:w="1693"/>
        <w:gridCol w:w="1736"/>
        <w:gridCol w:w="1375"/>
      </w:tblGrid>
      <w:tr>
        <w:trPr>
          <w:trHeight w:val="272" w:hRule="exact"/>
        </w:trPr>
        <w:tc>
          <w:tcPr>
            <w:tcW w:w="2595"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58" w:type="dxa"/>
            <w:tcBorders>
              <w:top w:val="nil" w:sz="6" w:space="0" w:color="auto"/>
              <w:left w:val="nil" w:sz="6" w:space="0" w:color="auto"/>
              <w:bottom w:val="single" w:sz="4" w:space="0" w:color="000000"/>
              <w:right w:val="nil" w:sz="6" w:space="0" w:color="auto"/>
            </w:tcBorders>
          </w:tcPr>
          <w:p>
            <w:pPr>
              <w:pStyle w:val="TableParagraph"/>
              <w:spacing w:line="180" w:lineRule="exact"/>
              <w:ind w:left="39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93" w:type="dxa"/>
            <w:tcBorders>
              <w:top w:val="nil" w:sz="6" w:space="0" w:color="auto"/>
              <w:left w:val="nil" w:sz="6" w:space="0" w:color="auto"/>
              <w:bottom w:val="single" w:sz="4" w:space="0" w:color="000000"/>
              <w:right w:val="nil" w:sz="6" w:space="0" w:color="auto"/>
            </w:tcBorders>
          </w:tcPr>
          <w:p>
            <w:pPr>
              <w:pStyle w:val="TableParagraph"/>
              <w:spacing w:line="180" w:lineRule="exact"/>
              <w:ind w:left="-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75" w:type="dxa"/>
            <w:tcBorders>
              <w:top w:val="nil" w:sz="6" w:space="0" w:color="auto"/>
              <w:left w:val="nil" w:sz="6" w:space="0" w:color="auto"/>
              <w:bottom w:val="single" w:sz="4"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259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53,055,370.95</w:t>
            </w:r>
            <w:r>
              <w:rPr>
                <w:rFonts w:ascii="Times New Roman"/>
                <w:sz w:val="18"/>
              </w:rPr>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2,174,071.98</w:t>
            </w:r>
            <w:r>
              <w:rPr>
                <w:rFonts w:ascii="Times New Roman"/>
                <w:sz w:val="18"/>
              </w:rPr>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38,733.40</w:t>
            </w:r>
            <w:r>
              <w:rPr>
                <w:rFonts w:ascii="Times New Roman"/>
                <w:spacing w:val="-1"/>
                <w:sz w:val="18"/>
              </w:rPr>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55,190,709.53</w:t>
            </w:r>
            <w:r>
              <w:rPr>
                <w:rFonts w:ascii="Times New Roman"/>
                <w:spacing w:val="-1"/>
                <w:sz w:val="18"/>
              </w:rPr>
            </w:r>
          </w:p>
        </w:tc>
      </w:tr>
      <w:tr>
        <w:trPr>
          <w:trHeight w:val="43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26" w:right="0"/>
              <w:jc w:val="left"/>
              <w:rPr>
                <w:rFonts w:ascii="Times New Roman" w:hAnsi="Times New Roman" w:cs="Times New Roman" w:eastAsia="Times New Roman" w:hint="default"/>
                <w:sz w:val="18"/>
                <w:szCs w:val="18"/>
              </w:rPr>
            </w:pPr>
            <w:r>
              <w:rPr>
                <w:rFonts w:ascii="Times New Roman"/>
                <w:sz w:val="18"/>
              </w:rPr>
              <w:t>44,273,348.65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37" w:right="0"/>
              <w:jc w:val="left"/>
              <w:rPr>
                <w:rFonts w:ascii="Times New Roman" w:hAnsi="Times New Roman" w:cs="Times New Roman" w:eastAsia="Times New Roman" w:hint="default"/>
                <w:sz w:val="18"/>
                <w:szCs w:val="18"/>
              </w:rPr>
            </w:pPr>
            <w:r>
              <w:rPr>
                <w:rFonts w:ascii="Times New Roman"/>
                <w:sz w:val="18"/>
              </w:rPr>
              <w:t>660,958.68</w:t>
            </w: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44,934,307.33</w:t>
            </w:r>
          </w:p>
        </w:tc>
      </w:tr>
      <w:tr>
        <w:trPr>
          <w:trHeight w:val="44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29" w:right="0"/>
              <w:jc w:val="left"/>
              <w:rPr>
                <w:rFonts w:ascii="Times New Roman" w:hAnsi="Times New Roman" w:cs="Times New Roman" w:eastAsia="Times New Roman" w:hint="default"/>
                <w:sz w:val="18"/>
                <w:szCs w:val="18"/>
              </w:rPr>
            </w:pPr>
            <w:r>
              <w:rPr>
                <w:rFonts w:ascii="Times New Roman"/>
                <w:sz w:val="18"/>
              </w:rPr>
              <w:t>9,600.00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17" w:right="0"/>
              <w:jc w:val="left"/>
              <w:rPr>
                <w:rFonts w:ascii="Times New Roman" w:hAnsi="Times New Roman" w:cs="Times New Roman" w:eastAsia="Times New Roman" w:hint="default"/>
                <w:sz w:val="18"/>
                <w:szCs w:val="18"/>
              </w:rPr>
            </w:pPr>
            <w:r>
              <w:rPr>
                <w:rFonts w:ascii="Times New Roman"/>
                <w:sz w:val="18"/>
              </w:rPr>
              <w:t>3,200.00</w:t>
            </w: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12,800.00</w:t>
            </w:r>
          </w:p>
        </w:tc>
      </w:tr>
      <w:tr>
        <w:trPr>
          <w:trHeight w:val="44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15" w:right="0"/>
              <w:jc w:val="left"/>
              <w:rPr>
                <w:rFonts w:ascii="Times New Roman" w:hAnsi="Times New Roman" w:cs="Times New Roman" w:eastAsia="Times New Roman" w:hint="default"/>
                <w:sz w:val="18"/>
                <w:szCs w:val="18"/>
              </w:rPr>
            </w:pPr>
            <w:r>
              <w:rPr>
                <w:rFonts w:ascii="Times New Roman"/>
                <w:sz w:val="18"/>
              </w:rPr>
              <w:t>6,921,849.51</w:t>
            </w: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6,921,849.51</w:t>
            </w:r>
          </w:p>
        </w:tc>
      </w:tr>
      <w:tr>
        <w:trPr>
          <w:trHeight w:val="43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15" w:right="0"/>
              <w:jc w:val="left"/>
              <w:rPr>
                <w:rFonts w:ascii="Times New Roman" w:hAnsi="Times New Roman" w:cs="Times New Roman" w:eastAsia="Times New Roman" w:hint="default"/>
                <w:sz w:val="18"/>
                <w:szCs w:val="18"/>
              </w:rPr>
            </w:pPr>
            <w:r>
              <w:rPr>
                <w:rFonts w:ascii="Times New Roman"/>
                <w:sz w:val="18"/>
              </w:rPr>
              <w:t>1,850,572.79</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1,509,913.30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0"/>
              <w:jc w:val="right"/>
              <w:rPr>
                <w:rFonts w:ascii="Times New Roman" w:hAnsi="Times New Roman" w:cs="Times New Roman" w:eastAsia="Times New Roman" w:hint="default"/>
                <w:sz w:val="18"/>
                <w:szCs w:val="18"/>
              </w:rPr>
            </w:pPr>
            <w:r>
              <w:rPr>
                <w:rFonts w:ascii="Times New Roman"/>
                <w:spacing w:val="-1"/>
                <w:sz w:val="18"/>
              </w:rPr>
              <w:t>38,733.40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3,321,752.69</w:t>
            </w:r>
          </w:p>
        </w:tc>
      </w:tr>
      <w:tr>
        <w:trPr>
          <w:trHeight w:val="399" w:hRule="exact"/>
        </w:trPr>
        <w:tc>
          <w:tcPr>
            <w:tcW w:w="2595"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2"/>
              <w:jc w:val="right"/>
              <w:rPr>
                <w:rFonts w:ascii="宋体" w:hAnsi="宋体" w:cs="宋体" w:eastAsia="宋体" w:hint="default"/>
                <w:sz w:val="18"/>
                <w:szCs w:val="18"/>
              </w:rPr>
            </w:pPr>
            <w:r>
              <w:rPr>
                <w:rFonts w:ascii="宋体" w:hAnsi="宋体" w:cs="宋体" w:eastAsia="宋体" w:hint="default"/>
                <w:b/>
                <w:bCs/>
                <w:w w:val="95"/>
                <w:sz w:val="18"/>
                <w:szCs w:val="18"/>
              </w:rPr>
              <w:t>本期新增</w:t>
            </w:r>
            <w:r>
              <w:rPr>
                <w:rFonts w:ascii="宋体" w:hAnsi="宋体" w:cs="宋体" w:eastAsia="宋体" w:hint="default"/>
                <w:sz w:val="18"/>
                <w:szCs w:val="18"/>
              </w:rPr>
            </w: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63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49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6,800,738.79</w:t>
            </w:r>
            <w:r>
              <w:rPr>
                <w:rFonts w:ascii="Times New Roman"/>
                <w:sz w:val="18"/>
              </w:rPr>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3,187,074.27</w:t>
            </w:r>
            <w:r>
              <w:rPr>
                <w:rFonts w:ascii="Times New Roman"/>
                <w:spacing w:val="-1"/>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23,136.00</w:t>
            </w:r>
            <w:r>
              <w:rPr>
                <w:rFonts w:ascii="Times New Roman"/>
                <w:spacing w:val="-1"/>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9,964,677.06</w:t>
            </w:r>
            <w:r>
              <w:rPr>
                <w:rFonts w:ascii="Times New Roman"/>
                <w:spacing w:val="-1"/>
                <w:sz w:val="18"/>
              </w:rPr>
            </w:r>
          </w:p>
        </w:tc>
      </w:tr>
      <w:tr>
        <w:trPr>
          <w:trHeight w:val="43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15" w:right="0"/>
              <w:jc w:val="left"/>
              <w:rPr>
                <w:rFonts w:ascii="Times New Roman" w:hAnsi="Times New Roman" w:cs="Times New Roman" w:eastAsia="Times New Roman" w:hint="default"/>
                <w:sz w:val="18"/>
                <w:szCs w:val="18"/>
              </w:rPr>
            </w:pPr>
            <w:r>
              <w:rPr>
                <w:rFonts w:ascii="Times New Roman"/>
                <w:sz w:val="18"/>
              </w:rPr>
              <w:t>2,720,837.42</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1,726,804.08</w:t>
            </w: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4,447,641.50</w:t>
            </w:r>
          </w:p>
        </w:tc>
      </w:tr>
      <w:tr>
        <w:trPr>
          <w:trHeight w:val="4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29" w:right="0"/>
              <w:jc w:val="left"/>
              <w:rPr>
                <w:rFonts w:ascii="Times New Roman" w:hAnsi="Times New Roman" w:cs="Times New Roman" w:eastAsia="Times New Roman" w:hint="default"/>
                <w:sz w:val="18"/>
                <w:szCs w:val="18"/>
              </w:rPr>
            </w:pPr>
            <w:r>
              <w:rPr>
                <w:rFonts w:ascii="Times New Roman"/>
                <w:sz w:val="18"/>
              </w:rPr>
              <w:t>2,322.95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931.2</w:t>
            </w: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w w:val="95"/>
                <w:sz w:val="18"/>
              </w:rPr>
              <w:t>3,254.15</w:t>
            </w:r>
          </w:p>
        </w:tc>
      </w:tr>
      <w:tr>
        <w:trPr>
          <w:trHeight w:val="4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15" w:right="0"/>
              <w:jc w:val="left"/>
              <w:rPr>
                <w:rFonts w:ascii="Times New Roman" w:hAnsi="Times New Roman" w:cs="Times New Roman" w:eastAsia="Times New Roman" w:hint="default"/>
                <w:sz w:val="18"/>
                <w:szCs w:val="18"/>
              </w:rPr>
            </w:pPr>
            <w:r>
              <w:rPr>
                <w:rFonts w:ascii="Times New Roman"/>
                <w:sz w:val="18"/>
              </w:rPr>
              <w:t>3,280,833.06</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1,036,183.04</w:t>
            </w: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4,317,016.10</w:t>
            </w:r>
          </w:p>
        </w:tc>
      </w:tr>
      <w:tr>
        <w:trPr>
          <w:trHeight w:val="43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49" w:right="0"/>
              <w:jc w:val="left"/>
              <w:rPr>
                <w:rFonts w:ascii="Times New Roman" w:hAnsi="Times New Roman" w:cs="Times New Roman" w:eastAsia="Times New Roman" w:hint="default"/>
                <w:sz w:val="18"/>
                <w:szCs w:val="18"/>
              </w:rPr>
            </w:pPr>
            <w:r>
              <w:rPr>
                <w:rFonts w:ascii="Times New Roman"/>
                <w:sz w:val="18"/>
              </w:rPr>
              <w:t>796,745.36</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423,155.95</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0"/>
              <w:jc w:val="right"/>
              <w:rPr>
                <w:rFonts w:ascii="Times New Roman" w:hAnsi="Times New Roman" w:cs="Times New Roman" w:eastAsia="Times New Roman" w:hint="default"/>
                <w:sz w:val="18"/>
                <w:szCs w:val="18"/>
              </w:rPr>
            </w:pPr>
            <w:r>
              <w:rPr>
                <w:rFonts w:ascii="Times New Roman"/>
                <w:spacing w:val="-1"/>
                <w:sz w:val="18"/>
              </w:rPr>
              <w:t>23,136.00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1,196,765.31</w:t>
            </w:r>
          </w:p>
        </w:tc>
      </w:tr>
      <w:tr>
        <w:trPr>
          <w:trHeight w:val="436"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三、固定资产减值准备合计</w:t>
            </w:r>
          </w:p>
        </w:tc>
        <w:tc>
          <w:tcPr>
            <w:tcW w:w="245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445"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46,254,632.16</w:t>
            </w:r>
            <w:r>
              <w:rPr>
                <w:rFonts w:ascii="Times New Roman"/>
                <w:sz w:val="18"/>
              </w:rPr>
            </w: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45,226,032.47</w:t>
            </w:r>
            <w:r>
              <w:rPr>
                <w:rFonts w:ascii="Times New Roman"/>
                <w:spacing w:val="-1"/>
                <w:sz w:val="18"/>
              </w:rPr>
            </w:r>
          </w:p>
        </w:tc>
      </w:tr>
      <w:tr>
        <w:trPr>
          <w:trHeight w:val="43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31" w:right="0"/>
              <w:jc w:val="left"/>
              <w:rPr>
                <w:rFonts w:ascii="Times New Roman" w:hAnsi="Times New Roman" w:cs="Times New Roman" w:eastAsia="Times New Roman" w:hint="default"/>
                <w:sz w:val="18"/>
                <w:szCs w:val="18"/>
              </w:rPr>
            </w:pPr>
            <w:r>
              <w:rPr>
                <w:rFonts w:ascii="Times New Roman"/>
                <w:sz w:val="18"/>
              </w:rPr>
              <w:t>41,552,511.23</w:t>
            </w: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40,486,665.83</w:t>
            </w:r>
          </w:p>
        </w:tc>
      </w:tr>
      <w:tr>
        <w:trPr>
          <w:trHeight w:val="4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29" w:right="0"/>
              <w:jc w:val="left"/>
              <w:rPr>
                <w:rFonts w:ascii="Times New Roman" w:hAnsi="Times New Roman" w:cs="Times New Roman" w:eastAsia="Times New Roman" w:hint="default"/>
                <w:sz w:val="18"/>
                <w:szCs w:val="18"/>
              </w:rPr>
            </w:pPr>
            <w:r>
              <w:rPr>
                <w:rFonts w:ascii="Times New Roman"/>
                <w:sz w:val="18"/>
              </w:rPr>
              <w:t>7,277.05</w:t>
            </w: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w w:val="95"/>
                <w:sz w:val="18"/>
              </w:rPr>
              <w:t>9,545.85</w:t>
            </w:r>
          </w:p>
        </w:tc>
      </w:tr>
      <w:tr>
        <w:trPr>
          <w:trHeight w:val="4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15" w:right="0"/>
              <w:jc w:val="left"/>
              <w:rPr>
                <w:rFonts w:ascii="Times New Roman" w:hAnsi="Times New Roman" w:cs="Times New Roman" w:eastAsia="Times New Roman" w:hint="default"/>
                <w:sz w:val="18"/>
                <w:szCs w:val="18"/>
              </w:rPr>
            </w:pPr>
            <w:r>
              <w:rPr>
                <w:rFonts w:ascii="Times New Roman"/>
                <w:sz w:val="18"/>
              </w:rPr>
              <w:t>3,641,016.45</w:t>
            </w: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2,604,833.41</w:t>
            </w:r>
          </w:p>
        </w:tc>
      </w:tr>
      <w:tr>
        <w:trPr>
          <w:trHeight w:val="314"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15" w:right="0"/>
              <w:jc w:val="left"/>
              <w:rPr>
                <w:rFonts w:ascii="Times New Roman" w:hAnsi="Times New Roman" w:cs="Times New Roman" w:eastAsia="Times New Roman" w:hint="default"/>
                <w:sz w:val="18"/>
                <w:szCs w:val="18"/>
              </w:rPr>
            </w:pPr>
            <w:r>
              <w:rPr>
                <w:rFonts w:ascii="Times New Roman"/>
                <w:sz w:val="18"/>
              </w:rPr>
              <w:t>1,053,827.43</w:t>
            </w:r>
          </w:p>
        </w:tc>
        <w:tc>
          <w:tcPr>
            <w:tcW w:w="169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2,124,987.38</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20" w:right="920"/>
        </w:sectPr>
      </w:pPr>
    </w:p>
    <w:p>
      <w:pPr>
        <w:spacing w:line="240" w:lineRule="auto" w:before="8"/>
        <w:rPr>
          <w:rFonts w:ascii="宋体" w:hAnsi="宋体" w:cs="宋体" w:eastAsia="宋体" w:hint="default"/>
          <w:sz w:val="28"/>
          <w:szCs w:val="28"/>
        </w:rPr>
      </w:pPr>
    </w:p>
    <w:tbl>
      <w:tblPr>
        <w:tblW w:w="0" w:type="auto"/>
        <w:jc w:val="left"/>
        <w:tblInd w:w="630" w:type="dxa"/>
        <w:tblLayout w:type="fixed"/>
        <w:tblCellMar>
          <w:top w:w="0" w:type="dxa"/>
          <w:left w:w="0" w:type="dxa"/>
          <w:bottom w:w="0" w:type="dxa"/>
          <w:right w:w="0" w:type="dxa"/>
        </w:tblCellMar>
        <w:tblLook w:val="01E0"/>
      </w:tblPr>
      <w:tblGrid>
        <w:gridCol w:w="1606"/>
        <w:gridCol w:w="1810"/>
        <w:gridCol w:w="1750"/>
        <w:gridCol w:w="1773"/>
        <w:gridCol w:w="1867"/>
      </w:tblGrid>
      <w:tr>
        <w:trPr>
          <w:trHeight w:val="272" w:hRule="exact"/>
        </w:trPr>
        <w:tc>
          <w:tcPr>
            <w:tcW w:w="1606" w:type="dxa"/>
            <w:tcBorders>
              <w:top w:val="nil" w:sz="6" w:space="0" w:color="auto"/>
              <w:left w:val="nil" w:sz="6" w:space="0" w:color="auto"/>
              <w:bottom w:val="single" w:sz="4" w:space="0" w:color="000000"/>
              <w:right w:val="nil" w:sz="6" w:space="0" w:color="auto"/>
            </w:tcBorders>
          </w:tcPr>
          <w:p>
            <w:pPr>
              <w:pStyle w:val="TableParagraph"/>
              <w:spacing w:line="18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固定资产项目</w:t>
            </w:r>
            <w:r>
              <w:rPr>
                <w:rFonts w:ascii="宋体" w:hAnsi="宋体" w:cs="宋体" w:eastAsia="宋体" w:hint="default"/>
                <w:sz w:val="18"/>
                <w:szCs w:val="18"/>
              </w:rPr>
            </w:r>
          </w:p>
        </w:tc>
        <w:tc>
          <w:tcPr>
            <w:tcW w:w="1810" w:type="dxa"/>
            <w:tcBorders>
              <w:top w:val="nil" w:sz="6" w:space="0" w:color="auto"/>
              <w:left w:val="nil" w:sz="6" w:space="0" w:color="auto"/>
              <w:bottom w:val="single" w:sz="4" w:space="0" w:color="000000"/>
              <w:right w:val="nil" w:sz="6" w:space="0" w:color="auto"/>
            </w:tcBorders>
          </w:tcPr>
          <w:p>
            <w:pPr>
              <w:pStyle w:val="TableParagraph"/>
              <w:spacing w:line="180" w:lineRule="exact"/>
              <w:ind w:right="43"/>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773" w:type="dxa"/>
            <w:tcBorders>
              <w:top w:val="nil" w:sz="6" w:space="0" w:color="auto"/>
              <w:left w:val="nil" w:sz="6" w:space="0" w:color="auto"/>
              <w:bottom w:val="single" w:sz="4" w:space="0" w:color="000000"/>
              <w:right w:val="nil" w:sz="6" w:space="0" w:color="auto"/>
            </w:tcBorders>
          </w:tcPr>
          <w:p>
            <w:pPr>
              <w:pStyle w:val="TableParagraph"/>
              <w:spacing w:line="180"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预计处置费用</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80" w:lineRule="exact"/>
              <w:ind w:right="81"/>
              <w:jc w:val="center"/>
              <w:rPr>
                <w:rFonts w:ascii="宋体" w:hAnsi="宋体" w:cs="宋体" w:eastAsia="宋体" w:hint="default"/>
                <w:sz w:val="18"/>
                <w:szCs w:val="18"/>
              </w:rPr>
            </w:pPr>
            <w:r>
              <w:rPr>
                <w:rFonts w:ascii="宋体" w:hAnsi="宋体" w:cs="宋体" w:eastAsia="宋体" w:hint="default"/>
                <w:b/>
                <w:bCs/>
                <w:sz w:val="18"/>
                <w:szCs w:val="18"/>
              </w:rPr>
              <w:t>预计处置时间</w:t>
            </w:r>
            <w:r>
              <w:rPr>
                <w:rFonts w:ascii="宋体" w:hAnsi="宋体" w:cs="宋体" w:eastAsia="宋体" w:hint="default"/>
                <w:sz w:val="18"/>
                <w:szCs w:val="18"/>
              </w:rPr>
            </w:r>
          </w:p>
        </w:tc>
      </w:tr>
      <w:tr>
        <w:trPr>
          <w:trHeight w:val="493" w:hRule="exact"/>
        </w:trPr>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2"/>
              <w:jc w:val="center"/>
              <w:rPr>
                <w:rFonts w:ascii="Times New Roman" w:hAnsi="Times New Roman" w:cs="Times New Roman" w:eastAsia="Times New Roman" w:hint="default"/>
                <w:sz w:val="18"/>
                <w:szCs w:val="18"/>
              </w:rPr>
            </w:pPr>
            <w:r>
              <w:rPr>
                <w:rFonts w:ascii="Times New Roman"/>
                <w:sz w:val="18"/>
              </w:rPr>
              <w:t>3,321,119.00</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74"/>
              <w:jc w:val="right"/>
              <w:rPr>
                <w:rFonts w:ascii="Times New Roman" w:hAnsi="Times New Roman" w:cs="Times New Roman" w:eastAsia="Times New Roman" w:hint="default"/>
                <w:sz w:val="18"/>
                <w:szCs w:val="18"/>
              </w:rPr>
            </w:pPr>
            <w:r>
              <w:rPr>
                <w:rFonts w:ascii="Times New Roman"/>
                <w:spacing w:val="-1"/>
                <w:sz w:val="18"/>
              </w:rPr>
              <w:t>8,190,000.00</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80" w:right="0"/>
              <w:jc w:val="left"/>
              <w:rPr>
                <w:rFonts w:ascii="Times New Roman" w:hAnsi="Times New Roman" w:cs="Times New Roman" w:eastAsia="Times New Roman" w:hint="default"/>
                <w:sz w:val="18"/>
                <w:szCs w:val="18"/>
              </w:rPr>
            </w:pPr>
            <w:r>
              <w:rPr>
                <w:rFonts w:ascii="Times New Roman"/>
                <w:sz w:val="18"/>
              </w:rPr>
              <w:t>1,738,433.71</w:t>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15"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9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3,321,119.00</w:t>
            </w:r>
            <w:r>
              <w:rPr>
                <w:rFonts w:ascii="Times New Roman"/>
                <w:sz w:val="18"/>
              </w:rPr>
            </w:r>
          </w:p>
        </w:tc>
        <w:tc>
          <w:tcPr>
            <w:tcW w:w="1750" w:type="dxa"/>
            <w:tcBorders>
              <w:top w:val="nil" w:sz="6" w:space="0" w:color="auto"/>
              <w:left w:val="nil" w:sz="6" w:space="0" w:color="auto"/>
              <w:bottom w:val="nil" w:sz="6" w:space="0" w:color="auto"/>
              <w:right w:val="nil" w:sz="6" w:space="0" w:color="auto"/>
            </w:tcBorders>
          </w:tcPr>
          <w:p>
            <w:pPr>
              <w:pStyle w:val="TableParagraph"/>
              <w:tabs>
                <w:tab w:pos="362" w:val="left" w:leader="none"/>
                <w:tab w:pos="1394" w:val="left" w:leader="none"/>
              </w:tabs>
              <w:spacing w:line="240" w:lineRule="auto" w:before="111"/>
              <w:ind w:right="18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8,190,000.00</w:t>
              <w:tab/>
            </w:r>
            <w:r>
              <w:rPr>
                <w:rFonts w:ascii="Times New Roman"/>
                <w:spacing w:val="-1"/>
                <w:sz w:val="18"/>
              </w:rPr>
            </w:r>
          </w:p>
        </w:tc>
        <w:tc>
          <w:tcPr>
            <w:tcW w:w="1773" w:type="dxa"/>
            <w:tcBorders>
              <w:top w:val="nil" w:sz="6" w:space="0" w:color="auto"/>
              <w:left w:val="nil" w:sz="6" w:space="0" w:color="auto"/>
              <w:bottom w:val="nil" w:sz="6" w:space="0" w:color="auto"/>
              <w:right w:val="nil" w:sz="6" w:space="0" w:color="auto"/>
            </w:tcBorders>
          </w:tcPr>
          <w:p>
            <w:pPr>
              <w:pStyle w:val="TableParagraph"/>
              <w:tabs>
                <w:tab w:pos="480" w:val="left" w:leader="none"/>
                <w:tab w:pos="1514" w:val="left" w:leader="none"/>
              </w:tabs>
              <w:spacing w:line="240" w:lineRule="auto" w:before="111"/>
              <w:ind w:left="2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t>1,738,433.71</w:t>
              <w:tab/>
            </w:r>
            <w:r>
              <w:rPr>
                <w:rFonts w:ascii="Times New Roman"/>
                <w:sz w:val="18"/>
              </w:rPr>
            </w:r>
          </w:p>
        </w:tc>
        <w:tc>
          <w:tcPr>
            <w:tcW w:w="186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3062"/>
        <w:gridCol w:w="2079"/>
        <w:gridCol w:w="1671"/>
        <w:gridCol w:w="1439"/>
        <w:gridCol w:w="1606"/>
      </w:tblGrid>
      <w:tr>
        <w:trPr>
          <w:trHeight w:val="272" w:hRule="exact"/>
        </w:trPr>
        <w:tc>
          <w:tcPr>
            <w:tcW w:w="3062" w:type="dxa"/>
            <w:tcBorders>
              <w:top w:val="nil" w:sz="6" w:space="0" w:color="auto"/>
              <w:left w:val="nil" w:sz="6" w:space="0" w:color="auto"/>
              <w:bottom w:val="single" w:sz="4" w:space="0" w:color="000000"/>
              <w:right w:val="nil" w:sz="6" w:space="0" w:color="auto"/>
            </w:tcBorders>
          </w:tcPr>
          <w:p>
            <w:pPr>
              <w:pStyle w:val="TableParagraph"/>
              <w:spacing w:line="180" w:lineRule="exact"/>
              <w:ind w:left="370"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79" w:type="dxa"/>
            <w:tcBorders>
              <w:top w:val="nil" w:sz="6" w:space="0" w:color="auto"/>
              <w:left w:val="nil" w:sz="6" w:space="0" w:color="auto"/>
              <w:bottom w:val="single" w:sz="4" w:space="0" w:color="000000"/>
              <w:right w:val="nil" w:sz="6" w:space="0" w:color="auto"/>
            </w:tcBorders>
          </w:tcPr>
          <w:p>
            <w:pPr>
              <w:pStyle w:val="TableParagraph"/>
              <w:spacing w:line="180" w:lineRule="exact"/>
              <w:ind w:left="8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71" w:type="dxa"/>
            <w:tcBorders>
              <w:top w:val="nil" w:sz="6" w:space="0" w:color="auto"/>
              <w:left w:val="nil" w:sz="6" w:space="0" w:color="auto"/>
              <w:bottom w:val="single" w:sz="4" w:space="0" w:color="000000"/>
              <w:right w:val="nil" w:sz="6" w:space="0" w:color="auto"/>
            </w:tcBorders>
          </w:tcPr>
          <w:p>
            <w:pPr>
              <w:pStyle w:val="TableParagraph"/>
              <w:spacing w:line="180" w:lineRule="exact"/>
              <w:ind w:left="33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39" w:type="dxa"/>
            <w:tcBorders>
              <w:top w:val="nil" w:sz="6" w:space="0" w:color="auto"/>
              <w:left w:val="nil" w:sz="6" w:space="0" w:color="auto"/>
              <w:bottom w:val="single" w:sz="4" w:space="0" w:color="000000"/>
              <w:right w:val="nil" w:sz="6" w:space="0" w:color="auto"/>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06" w:type="dxa"/>
            <w:tcBorders>
              <w:top w:val="nil" w:sz="6" w:space="0" w:color="auto"/>
              <w:left w:val="nil" w:sz="6" w:space="0" w:color="auto"/>
              <w:bottom w:val="single" w:sz="4" w:space="0" w:color="000000"/>
              <w:right w:val="nil" w:sz="6" w:space="0" w:color="auto"/>
            </w:tcBorders>
          </w:tcPr>
          <w:p>
            <w:pPr>
              <w:pStyle w:val="TableParagraph"/>
              <w:spacing w:line="180"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2" w:hRule="exact"/>
        </w:trPr>
        <w:tc>
          <w:tcPr>
            <w:tcW w:w="30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3,194,524.81</w:t>
            </w:r>
            <w:r>
              <w:rPr>
                <w:rFonts w:ascii="Times New Roman"/>
                <w:spacing w:val="-1"/>
                <w:sz w:val="18"/>
              </w:rPr>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217,861.08</w:t>
            </w:r>
            <w:r>
              <w:rPr>
                <w:rFonts w:ascii="Times New Roman"/>
                <w:spacing w:val="-1"/>
                <w:sz w:val="18"/>
              </w:rPr>
            </w:r>
          </w:p>
        </w:tc>
        <w:tc>
          <w:tcPr>
            <w:tcW w:w="1439"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3,412,385.89</w:t>
            </w:r>
            <w:r>
              <w:rPr>
                <w:rFonts w:ascii="Times New Roman"/>
                <w:spacing w:val="-1"/>
                <w:sz w:val="18"/>
              </w:rPr>
            </w:r>
          </w:p>
        </w:tc>
      </w:tr>
      <w:tr>
        <w:trPr>
          <w:trHeight w:val="441"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3"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7"/>
              <w:jc w:val="right"/>
              <w:rPr>
                <w:rFonts w:ascii="Times New Roman" w:hAnsi="Times New Roman" w:cs="Times New Roman" w:eastAsia="Times New Roman" w:hint="default"/>
                <w:sz w:val="18"/>
                <w:szCs w:val="18"/>
              </w:rPr>
            </w:pPr>
            <w:r>
              <w:rPr>
                <w:rFonts w:ascii="Times New Roman"/>
                <w:spacing w:val="-1"/>
                <w:sz w:val="18"/>
              </w:rPr>
              <w:t>1,577,800.00</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4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pacing w:val="-1"/>
                <w:sz w:val="18"/>
              </w:rPr>
              <w:t>500,000.00</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4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pacing w:val="-1"/>
                <w:sz w:val="18"/>
              </w:rPr>
              <w:t>272,700.00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2"/>
              <w:jc w:val="right"/>
              <w:rPr>
                <w:rFonts w:ascii="Times New Roman" w:hAnsi="Times New Roman" w:cs="Times New Roman" w:eastAsia="Times New Roman" w:hint="default"/>
                <w:sz w:val="18"/>
                <w:szCs w:val="18"/>
              </w:rPr>
            </w:pPr>
            <w:r>
              <w:rPr>
                <w:rFonts w:ascii="Times New Roman"/>
                <w:w w:val="95"/>
                <w:sz w:val="18"/>
              </w:rPr>
              <w:t>5,600.00</w:t>
            </w: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278,300.00</w:t>
            </w:r>
          </w:p>
        </w:tc>
      </w:tr>
      <w:tr>
        <w:trPr>
          <w:trHeight w:val="44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7"/>
              <w:jc w:val="right"/>
              <w:rPr>
                <w:rFonts w:ascii="Times New Roman" w:hAnsi="Times New Roman" w:cs="Times New Roman" w:eastAsia="Times New Roman" w:hint="default"/>
                <w:sz w:val="18"/>
                <w:szCs w:val="18"/>
              </w:rPr>
            </w:pPr>
            <w:r>
              <w:rPr>
                <w:rFonts w:ascii="Times New Roman"/>
                <w:spacing w:val="-1"/>
                <w:sz w:val="18"/>
              </w:rPr>
              <w:t>57,700.00</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39"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pacing w:val="-1"/>
                <w:sz w:val="18"/>
              </w:rPr>
              <w:t>786,324.81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pacing w:val="-1"/>
                <w:sz w:val="18"/>
              </w:rPr>
              <w:t>212,261.08</w:t>
            </w: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998,585.89</w:t>
            </w:r>
          </w:p>
        </w:tc>
      </w:tr>
      <w:tr>
        <w:trPr>
          <w:trHeight w:val="44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2,497,173.07</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218,740.91</w:t>
            </w:r>
            <w:r>
              <w:rPr>
                <w:rFonts w:ascii="Times New Roman"/>
                <w:spacing w:val="-1"/>
                <w:sz w:val="18"/>
              </w:rPr>
            </w: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2,715,913.98</w:t>
            </w:r>
            <w:r>
              <w:rPr>
                <w:rFonts w:ascii="Times New Roman"/>
                <w:spacing w:val="-1"/>
                <w:sz w:val="18"/>
              </w:rPr>
            </w:r>
          </w:p>
        </w:tc>
      </w:tr>
      <w:tr>
        <w:trPr>
          <w:trHeight w:val="44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3"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7"/>
              <w:jc w:val="right"/>
              <w:rPr>
                <w:rFonts w:ascii="Times New Roman" w:hAnsi="Times New Roman" w:cs="Times New Roman" w:eastAsia="Times New Roman" w:hint="default"/>
                <w:sz w:val="18"/>
                <w:szCs w:val="18"/>
              </w:rPr>
            </w:pPr>
            <w:r>
              <w:rPr>
                <w:rFonts w:ascii="Times New Roman"/>
                <w:spacing w:val="-1"/>
                <w:sz w:val="18"/>
              </w:rPr>
              <w:t>1,577,800.00</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39"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pacing w:val="-1"/>
                <w:sz w:val="18"/>
              </w:rPr>
              <w:t>500,000.00</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41"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pacing w:val="-1"/>
                <w:sz w:val="18"/>
              </w:rPr>
              <w:t>218,083.32</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w w:val="95"/>
                <w:sz w:val="18"/>
              </w:rPr>
              <w:t>3,505.56</w:t>
            </w: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221,588.88</w:t>
            </w:r>
          </w:p>
        </w:tc>
      </w:tr>
      <w:tr>
        <w:trPr>
          <w:trHeight w:val="441"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7"/>
              <w:jc w:val="right"/>
              <w:rPr>
                <w:rFonts w:ascii="Times New Roman" w:hAnsi="Times New Roman" w:cs="Times New Roman" w:eastAsia="Times New Roman" w:hint="default"/>
                <w:sz w:val="18"/>
                <w:szCs w:val="18"/>
              </w:rPr>
            </w:pPr>
            <w:r>
              <w:rPr>
                <w:rFonts w:ascii="Times New Roman"/>
                <w:spacing w:val="-1"/>
                <w:sz w:val="18"/>
              </w:rPr>
              <w:t>57,700.00</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39"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7"/>
              <w:jc w:val="right"/>
              <w:rPr>
                <w:rFonts w:ascii="Times New Roman" w:hAnsi="Times New Roman" w:cs="Times New Roman" w:eastAsia="Times New Roman" w:hint="default"/>
                <w:sz w:val="18"/>
                <w:szCs w:val="18"/>
              </w:rPr>
            </w:pPr>
            <w:r>
              <w:rPr>
                <w:rFonts w:ascii="Times New Roman"/>
                <w:spacing w:val="-1"/>
                <w:sz w:val="18"/>
              </w:rPr>
              <w:t>143,589.75</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pacing w:val="-1"/>
                <w:sz w:val="18"/>
              </w:rPr>
              <w:t>215,235.35</w:t>
            </w: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358,825.10</w:t>
            </w:r>
          </w:p>
        </w:tc>
      </w:tr>
      <w:tr>
        <w:trPr>
          <w:trHeight w:val="43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三、无形资产减值准备累计金额合计</w:t>
            </w:r>
          </w:p>
        </w:tc>
        <w:tc>
          <w:tcPr>
            <w:tcW w:w="207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44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697,351.74</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696,471.91</w:t>
            </w:r>
            <w:r>
              <w:rPr>
                <w:rFonts w:ascii="Times New Roman"/>
                <w:spacing w:val="-1"/>
                <w:sz w:val="18"/>
              </w:rPr>
            </w:r>
          </w:p>
        </w:tc>
      </w:tr>
      <w:tr>
        <w:trPr>
          <w:trHeight w:val="434"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207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44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3"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207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44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3"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
              <w:jc w:val="right"/>
              <w:rPr>
                <w:rFonts w:ascii="Times New Roman" w:hAnsi="Times New Roman" w:cs="Times New Roman" w:eastAsia="Times New Roman" w:hint="default"/>
                <w:sz w:val="18"/>
                <w:szCs w:val="18"/>
              </w:rPr>
            </w:pPr>
            <w:r>
              <w:rPr>
                <w:rFonts w:ascii="Times New Roman"/>
                <w:spacing w:val="-1"/>
                <w:sz w:val="18"/>
              </w:rPr>
              <w:t>54,616.68</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w w:val="95"/>
                <w:sz w:val="18"/>
              </w:rPr>
              <w:t>56,711.12</w:t>
            </w:r>
          </w:p>
        </w:tc>
      </w:tr>
      <w:tr>
        <w:trPr>
          <w:trHeight w:val="43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07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32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7"/>
              <w:jc w:val="right"/>
              <w:rPr>
                <w:rFonts w:ascii="Times New Roman" w:hAnsi="Times New Roman" w:cs="Times New Roman" w:eastAsia="Times New Roman" w:hint="default"/>
                <w:sz w:val="18"/>
                <w:szCs w:val="18"/>
              </w:rPr>
            </w:pPr>
            <w:r>
              <w:rPr>
                <w:rFonts w:ascii="Times New Roman"/>
                <w:spacing w:val="-1"/>
                <w:sz w:val="18"/>
              </w:rPr>
              <w:t>642,735.06</w:t>
            </w:r>
          </w:p>
        </w:tc>
        <w:tc>
          <w:tcPr>
            <w:tcW w:w="167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pacing w:val="-1"/>
                <w:sz w:val="18"/>
              </w:rPr>
              <w:t>639,760.79</w:t>
            </w:r>
          </w:p>
        </w:tc>
      </w:tr>
    </w:tbl>
    <w:p>
      <w:pPr>
        <w:spacing w:line="240" w:lineRule="auto" w:before="4"/>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657" w:type="dxa"/>
        <w:tblLayout w:type="fixed"/>
        <w:tblCellMar>
          <w:top w:w="0" w:type="dxa"/>
          <w:left w:w="0" w:type="dxa"/>
          <w:bottom w:w="0" w:type="dxa"/>
          <w:right w:w="0" w:type="dxa"/>
        </w:tblCellMar>
        <w:tblLook w:val="01E0"/>
      </w:tblPr>
      <w:tblGrid>
        <w:gridCol w:w="1882"/>
        <w:gridCol w:w="1049"/>
        <w:gridCol w:w="1303"/>
        <w:gridCol w:w="1226"/>
        <w:gridCol w:w="1213"/>
        <w:gridCol w:w="1077"/>
        <w:gridCol w:w="1003"/>
      </w:tblGrid>
      <w:tr>
        <w:trPr>
          <w:trHeight w:val="632" w:hRule="exact"/>
        </w:trPr>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42"/>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4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82"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84"/>
              <w:jc w:val="right"/>
              <w:rPr>
                <w:rFonts w:ascii="宋体" w:hAnsi="宋体" w:cs="宋体" w:eastAsia="宋体" w:hint="default"/>
                <w:sz w:val="18"/>
                <w:szCs w:val="18"/>
              </w:rPr>
            </w:pPr>
            <w:r>
              <w:rPr>
                <w:rFonts w:ascii="宋体" w:hAnsi="宋体" w:cs="宋体" w:eastAsia="宋体" w:hint="default"/>
                <w:b/>
                <w:bCs/>
                <w:w w:val="95"/>
                <w:sz w:val="18"/>
                <w:szCs w:val="18"/>
              </w:rPr>
              <w:t>本期摊销额</w:t>
            </w:r>
            <w:r>
              <w:rPr>
                <w:rFonts w:ascii="宋体" w:hAnsi="宋体" w:cs="宋体" w:eastAsia="宋体" w:hint="default"/>
                <w:sz w:val="18"/>
                <w:szCs w:val="18"/>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25"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03" w:type="dxa"/>
            <w:tcBorders>
              <w:top w:val="nil" w:sz="6" w:space="0" w:color="auto"/>
              <w:left w:val="nil" w:sz="6" w:space="0" w:color="auto"/>
              <w:bottom w:val="single" w:sz="4" w:space="0" w:color="000000"/>
              <w:right w:val="nil" w:sz="6" w:space="0" w:color="auto"/>
            </w:tcBorders>
          </w:tcPr>
          <w:p>
            <w:pPr>
              <w:pStyle w:val="TableParagraph"/>
              <w:spacing w:line="180" w:lineRule="exact"/>
              <w:ind w:left="258" w:right="0" w:hanging="89"/>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p>
            <w:pPr>
              <w:pStyle w:val="TableParagraph"/>
              <w:spacing w:line="240" w:lineRule="auto" w:before="124"/>
              <w:ind w:left="258" w:right="0"/>
              <w:jc w:val="left"/>
              <w:rPr>
                <w:rFonts w:ascii="宋体" w:hAnsi="宋体" w:cs="宋体" w:eastAsia="宋体" w:hint="default"/>
                <w:sz w:val="18"/>
                <w:szCs w:val="18"/>
              </w:rPr>
            </w:pPr>
            <w:r>
              <w:rPr>
                <w:rFonts w:ascii="宋体" w:hAnsi="宋体" w:cs="宋体" w:eastAsia="宋体" w:hint="default"/>
                <w:b/>
                <w:bCs/>
                <w:sz w:val="18"/>
                <w:szCs w:val="18"/>
              </w:rPr>
              <w:t>的原因</w:t>
            </w:r>
            <w:r>
              <w:rPr>
                <w:rFonts w:ascii="宋体" w:hAnsi="宋体" w:cs="宋体" w:eastAsia="宋体" w:hint="default"/>
                <w:sz w:val="18"/>
                <w:szCs w:val="18"/>
              </w:rPr>
            </w:r>
          </w:p>
        </w:tc>
      </w:tr>
      <w:tr>
        <w:trPr>
          <w:trHeight w:val="369" w:hRule="exact"/>
        </w:trPr>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1"/>
              <w:jc w:val="right"/>
              <w:rPr>
                <w:rFonts w:ascii="宋体" w:hAnsi="宋体" w:cs="宋体" w:eastAsia="宋体" w:hint="default"/>
                <w:sz w:val="18"/>
                <w:szCs w:val="18"/>
              </w:rPr>
            </w:pPr>
            <w:r>
              <w:rPr>
                <w:rFonts w:ascii="宋体" w:hAnsi="宋体" w:cs="宋体" w:eastAsia="宋体" w:hint="default"/>
                <w:sz w:val="18"/>
                <w:szCs w:val="18"/>
              </w:rPr>
              <w:t>教育咨询培训经营权</w:t>
            </w:r>
          </w:p>
        </w:tc>
        <w:tc>
          <w:tcPr>
            <w:tcW w:w="1049" w:type="dxa"/>
            <w:tcBorders>
              <w:top w:val="single" w:sz="4" w:space="0" w:color="000000"/>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18" w:right="0"/>
              <w:jc w:val="left"/>
              <w:rPr>
                <w:rFonts w:ascii="Times New Roman" w:hAnsi="Times New Roman" w:cs="Times New Roman" w:eastAsia="Times New Roman" w:hint="default"/>
                <w:sz w:val="18"/>
                <w:szCs w:val="18"/>
              </w:rPr>
            </w:pPr>
            <w:r>
              <w:rPr>
                <w:rFonts w:ascii="Times New Roman"/>
                <w:sz w:val="18"/>
              </w:rPr>
              <w:t>2,800,000.00</w:t>
            </w: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23"/>
              <w:jc w:val="right"/>
              <w:rPr>
                <w:rFonts w:ascii="Times New Roman" w:hAnsi="Times New Roman" w:cs="Times New Roman" w:eastAsia="Times New Roman" w:hint="default"/>
                <w:sz w:val="18"/>
                <w:szCs w:val="18"/>
              </w:rPr>
            </w:pPr>
            <w:r>
              <w:rPr>
                <w:rFonts w:ascii="Times New Roman"/>
                <w:spacing w:val="-3"/>
                <w:sz w:val="18"/>
              </w:rPr>
              <w:t>311,111.11</w:t>
            </w:r>
          </w:p>
        </w:tc>
        <w:tc>
          <w:tcPr>
            <w:tcW w:w="1213" w:type="dxa"/>
            <w:tcBorders>
              <w:top w:val="single" w:sz="4" w:space="0" w:color="000000"/>
              <w:left w:val="nil" w:sz="6" w:space="0" w:color="auto"/>
              <w:bottom w:val="nil" w:sz="6" w:space="0" w:color="auto"/>
              <w:right w:val="nil" w:sz="6" w:space="0" w:color="auto"/>
            </w:tcBorders>
          </w:tcPr>
          <w:p>
            <w:pP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3" w:right="0"/>
              <w:jc w:val="center"/>
              <w:rPr>
                <w:rFonts w:ascii="Times New Roman" w:hAnsi="Times New Roman" w:cs="Times New Roman" w:eastAsia="Times New Roman" w:hint="default"/>
                <w:sz w:val="18"/>
                <w:szCs w:val="18"/>
              </w:rPr>
            </w:pPr>
            <w:r>
              <w:rPr>
                <w:rFonts w:ascii="Times New Roman"/>
                <w:sz w:val="18"/>
              </w:rPr>
              <w:t>2,488,888.89</w:t>
            </w:r>
          </w:p>
        </w:tc>
        <w:tc>
          <w:tcPr>
            <w:tcW w:w="1003"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61"/>
          <w:pgSz w:w="11910" w:h="16840"/>
          <w:pgMar w:header="1104" w:footer="999" w:top="1740" w:bottom="1180" w:left="920" w:right="9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677" w:type="dxa"/>
        <w:tblLayout w:type="fixed"/>
        <w:tblCellMar>
          <w:top w:w="0" w:type="dxa"/>
          <w:left w:w="0" w:type="dxa"/>
          <w:bottom w:w="0" w:type="dxa"/>
          <w:right w:w="0" w:type="dxa"/>
        </w:tblCellMar>
        <w:tblLook w:val="01E0"/>
      </w:tblPr>
      <w:tblGrid>
        <w:gridCol w:w="1882"/>
        <w:gridCol w:w="1049"/>
        <w:gridCol w:w="1302"/>
        <w:gridCol w:w="1227"/>
        <w:gridCol w:w="1213"/>
        <w:gridCol w:w="1077"/>
        <w:gridCol w:w="1003"/>
      </w:tblGrid>
      <w:tr>
        <w:trPr>
          <w:trHeight w:val="633" w:hRule="exact"/>
        </w:trPr>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19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4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82"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184"/>
              <w:jc w:val="right"/>
              <w:rPr>
                <w:rFonts w:ascii="宋体" w:hAnsi="宋体" w:cs="宋体" w:eastAsia="宋体" w:hint="default"/>
                <w:sz w:val="18"/>
                <w:szCs w:val="18"/>
              </w:rPr>
            </w:pPr>
            <w:r>
              <w:rPr>
                <w:rFonts w:ascii="宋体" w:hAnsi="宋体" w:cs="宋体" w:eastAsia="宋体" w:hint="default"/>
                <w:b/>
                <w:bCs/>
                <w:w w:val="95"/>
                <w:sz w:val="18"/>
                <w:szCs w:val="18"/>
              </w:rPr>
              <w:t>本期摊销额</w:t>
            </w:r>
            <w:r>
              <w:rPr>
                <w:rFonts w:ascii="宋体" w:hAnsi="宋体" w:cs="宋体" w:eastAsia="宋体" w:hint="default"/>
                <w:sz w:val="18"/>
                <w:szCs w:val="18"/>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25"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03" w:type="dxa"/>
            <w:tcBorders>
              <w:top w:val="nil" w:sz="6" w:space="0" w:color="auto"/>
              <w:left w:val="nil" w:sz="6" w:space="0" w:color="auto"/>
              <w:bottom w:val="single" w:sz="4" w:space="0" w:color="000000"/>
              <w:right w:val="nil" w:sz="6" w:space="0" w:color="auto"/>
            </w:tcBorders>
          </w:tcPr>
          <w:p>
            <w:pPr>
              <w:pStyle w:val="TableParagraph"/>
              <w:spacing w:line="180" w:lineRule="exact"/>
              <w:ind w:left="258" w:right="0" w:hanging="89"/>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p>
            <w:pPr>
              <w:pStyle w:val="TableParagraph"/>
              <w:spacing w:line="240" w:lineRule="auto" w:before="125"/>
              <w:ind w:left="258" w:right="0"/>
              <w:jc w:val="left"/>
              <w:rPr>
                <w:rFonts w:ascii="宋体" w:hAnsi="宋体" w:cs="宋体" w:eastAsia="宋体" w:hint="default"/>
                <w:sz w:val="18"/>
                <w:szCs w:val="18"/>
              </w:rPr>
            </w:pPr>
            <w:r>
              <w:rPr>
                <w:rFonts w:ascii="宋体" w:hAnsi="宋体" w:cs="宋体" w:eastAsia="宋体" w:hint="default"/>
                <w:b/>
                <w:bCs/>
                <w:sz w:val="18"/>
                <w:szCs w:val="18"/>
              </w:rPr>
              <w:t>的原因</w:t>
            </w:r>
            <w:r>
              <w:rPr>
                <w:rFonts w:ascii="宋体" w:hAnsi="宋体" w:cs="宋体" w:eastAsia="宋体" w:hint="default"/>
                <w:sz w:val="18"/>
                <w:szCs w:val="18"/>
              </w:rPr>
            </w:r>
          </w:p>
        </w:tc>
      </w:tr>
      <w:tr>
        <w:trPr>
          <w:trHeight w:val="493" w:hRule="exact"/>
        </w:trPr>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049" w:type="dxa"/>
            <w:tcBorders>
              <w:top w:val="single" w:sz="4" w:space="0" w:color="000000"/>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18" w:right="0"/>
              <w:jc w:val="left"/>
              <w:rPr>
                <w:rFonts w:ascii="Times New Roman" w:hAnsi="Times New Roman" w:cs="Times New Roman" w:eastAsia="Times New Roman" w:hint="default"/>
                <w:sz w:val="18"/>
                <w:szCs w:val="18"/>
              </w:rPr>
            </w:pPr>
            <w:r>
              <w:rPr>
                <w:rFonts w:ascii="Times New Roman"/>
                <w:sz w:val="18"/>
              </w:rPr>
              <w:t>1,991,693.55</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23"/>
              <w:jc w:val="right"/>
              <w:rPr>
                <w:rFonts w:ascii="Times New Roman" w:hAnsi="Times New Roman" w:cs="Times New Roman" w:eastAsia="Times New Roman" w:hint="default"/>
                <w:sz w:val="18"/>
                <w:szCs w:val="18"/>
              </w:rPr>
            </w:pPr>
            <w:r>
              <w:rPr>
                <w:rFonts w:ascii="Times New Roman"/>
                <w:spacing w:val="-1"/>
                <w:sz w:val="18"/>
              </w:rPr>
              <w:t>101,920.48</w:t>
            </w:r>
          </w:p>
        </w:tc>
        <w:tc>
          <w:tcPr>
            <w:tcW w:w="1213" w:type="dxa"/>
            <w:tcBorders>
              <w:top w:val="single" w:sz="4" w:space="0" w:color="000000"/>
              <w:left w:val="nil" w:sz="6" w:space="0" w:color="auto"/>
              <w:bottom w:val="nil" w:sz="6" w:space="0" w:color="auto"/>
              <w:right w:val="nil" w:sz="6" w:space="0" w:color="auto"/>
            </w:tcBorders>
          </w:tcPr>
          <w:p>
            <w:pP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3" w:right="0"/>
              <w:jc w:val="center"/>
              <w:rPr>
                <w:rFonts w:ascii="Times New Roman" w:hAnsi="Times New Roman" w:cs="Times New Roman" w:eastAsia="Times New Roman" w:hint="default"/>
                <w:sz w:val="18"/>
                <w:szCs w:val="18"/>
              </w:rPr>
            </w:pPr>
            <w:r>
              <w:rPr>
                <w:rFonts w:ascii="Times New Roman"/>
                <w:sz w:val="18"/>
              </w:rPr>
              <w:t>1,889,773.07</w:t>
            </w:r>
          </w:p>
        </w:tc>
        <w:tc>
          <w:tcPr>
            <w:tcW w:w="1003" w:type="dxa"/>
            <w:tcBorders>
              <w:top w:val="single" w:sz="4" w:space="0" w:color="000000"/>
              <w:left w:val="nil" w:sz="6" w:space="0" w:color="auto"/>
              <w:bottom w:val="nil" w:sz="6" w:space="0" w:color="auto"/>
              <w:right w:val="nil" w:sz="6" w:space="0" w:color="auto"/>
            </w:tcBorders>
          </w:tcPr>
          <w:p>
            <w:pPr/>
          </w:p>
        </w:tc>
      </w:tr>
      <w:tr>
        <w:trPr>
          <w:trHeight w:val="315" w:hRule="exact"/>
        </w:trPr>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49"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4,791,693.55</w:t>
            </w:r>
            <w:r>
              <w:rPr>
                <w:rFonts w:ascii="Times New Roman"/>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413,031.59</w:t>
            </w:r>
            <w:r>
              <w:rPr>
                <w:rFonts w:ascii="Times New Roman"/>
                <w:spacing w:val="-1"/>
                <w:sz w:val="18"/>
              </w:rPr>
            </w:r>
          </w:p>
        </w:tc>
        <w:tc>
          <w:tcPr>
            <w:tcW w:w="1213"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4,378,661.96</w:t>
            </w:r>
            <w:r>
              <w:rPr>
                <w:rFonts w:ascii="Times New Roman"/>
                <w:sz w:val="18"/>
              </w:rPr>
            </w:r>
          </w:p>
        </w:tc>
        <w:tc>
          <w:tcPr>
            <w:tcW w:w="1003"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b/>
          <w:bCs/>
          <w:sz w:val="29"/>
          <w:szCs w:val="29"/>
        </w:rPr>
      </w:pPr>
    </w:p>
    <w:p>
      <w:pPr>
        <w:pStyle w:val="BodyText"/>
        <w:spacing w:line="369" w:lineRule="auto" w:before="44"/>
        <w:ind w:left="233" w:right="222" w:firstLine="360"/>
        <w:jc w:val="left"/>
      </w:pPr>
      <w:r>
        <w:rPr>
          <w:spacing w:val="-2"/>
        </w:rPr>
        <w:t>注：本公司子公司北京东方天舟教育科技有限责任公司（以下简称“东方天舟公司”）本期向天津乐美汇教育信息咨询</w:t>
      </w:r>
      <w:r>
        <w:rPr/>
        <w:t> </w:t>
      </w:r>
      <w:r>
        <w:rPr>
          <w:spacing w:val="-4"/>
        </w:rPr>
        <w:t>有限公司（以下简称“乐美汇公司”）购买了</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个教学点的相关资产及经营权，其中东方天舟公司取得乐美汇公司</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个教学</w:t>
      </w:r>
    </w:p>
    <w:p>
      <w:pPr>
        <w:pStyle w:val="BodyText"/>
        <w:spacing w:line="240" w:lineRule="auto" w:before="3"/>
        <w:ind w:left="233" w:right="283"/>
        <w:jc w:val="left"/>
      </w:pPr>
      <w:r>
        <w:rPr/>
        <w:t>点的教育咨询培训业务经营权总投资</w:t>
      </w:r>
      <w:r>
        <w:rPr>
          <w:spacing w:val="-46"/>
        </w:rPr>
        <w:t> </w:t>
      </w:r>
      <w:r>
        <w:rPr>
          <w:rFonts w:ascii="Times New Roman" w:hAnsi="Times New Roman" w:cs="Times New Roman" w:eastAsia="Times New Roman" w:hint="default"/>
        </w:rPr>
        <w:t>280</w:t>
      </w:r>
      <w:r>
        <w:rPr>
          <w:rFonts w:ascii="Times New Roman" w:hAnsi="Times New Roman" w:cs="Times New Roman" w:eastAsia="Times New Roman" w:hint="default"/>
          <w:spacing w:val="-1"/>
        </w:rPr>
        <w:t> </w:t>
      </w:r>
      <w:r>
        <w:rPr/>
        <w:t>万元，东方天舟公司将该经营权按</w:t>
      </w:r>
      <w:r>
        <w:rPr>
          <w:spacing w:val="-47"/>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个月进行摊销。</w:t>
      </w:r>
    </w:p>
    <w:p>
      <w:pPr>
        <w:spacing w:line="240" w:lineRule="auto" w:before="0"/>
        <w:rPr>
          <w:rFonts w:ascii="宋体" w:hAnsi="宋体" w:cs="宋体" w:eastAsia="宋体" w:hint="default"/>
          <w:sz w:val="18"/>
          <w:szCs w:val="18"/>
        </w:rPr>
      </w:pPr>
    </w:p>
    <w:p>
      <w:pPr>
        <w:pStyle w:val="Heading8"/>
        <w:spacing w:line="240" w:lineRule="auto" w:before="153"/>
        <w:ind w:left="593" w:right="283"/>
        <w:jc w:val="left"/>
        <w:rPr>
          <w:b w:val="0"/>
          <w:bCs w:val="0"/>
        </w:rPr>
      </w:pPr>
      <w:r>
        <w:rPr>
          <w:rFonts w:ascii="Times New Roman" w:hAnsi="Times New Roman" w:cs="Times New Roman" w:eastAsia="Times New Roman" w:hint="default"/>
        </w:rPr>
        <w:t>12</w:t>
      </w:r>
      <w:r>
        <w:rPr/>
        <w:t>、递延所得税资产</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left="593" w:right="283"/>
        <w:jc w:val="left"/>
      </w:pPr>
      <w:r>
        <w:rPr/>
        <w:t>（</w:t>
      </w:r>
      <w:r>
        <w:rPr>
          <w:rFonts w:ascii="Times New Roman" w:hAnsi="Times New Roman" w:cs="Times New Roman" w:eastAsia="Times New Roman" w:hint="default"/>
        </w:rPr>
        <w:t>1</w:t>
      </w:r>
      <w:r>
        <w:rPr/>
        <w:t>）已确认的递延所得税资产</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702"/>
        <w:gridCol w:w="1539"/>
        <w:gridCol w:w="2106"/>
        <w:gridCol w:w="1586"/>
        <w:gridCol w:w="1924"/>
      </w:tblGrid>
      <w:tr>
        <w:trPr>
          <w:trHeight w:val="272" w:hRule="exact"/>
        </w:trPr>
        <w:tc>
          <w:tcPr>
            <w:tcW w:w="2702" w:type="dxa"/>
            <w:tcBorders>
              <w:top w:val="nil" w:sz="6" w:space="0" w:color="auto"/>
              <w:left w:val="nil" w:sz="6" w:space="0" w:color="auto"/>
              <w:bottom w:val="single" w:sz="4" w:space="0" w:color="000000"/>
              <w:right w:val="nil" w:sz="6" w:space="0" w:color="auto"/>
            </w:tcBorders>
          </w:tcPr>
          <w:p>
            <w:pPr>
              <w:pStyle w:val="TableParagraph"/>
              <w:spacing w:line="180" w:lineRule="exact"/>
              <w:ind w:right="1192"/>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39"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06" w:type="dxa"/>
            <w:tcBorders>
              <w:top w:val="nil" w:sz="6" w:space="0" w:color="auto"/>
              <w:left w:val="nil" w:sz="6" w:space="0" w:color="auto"/>
              <w:bottom w:val="single" w:sz="4" w:space="0" w:color="000000"/>
              <w:right w:val="nil" w:sz="6" w:space="0" w:color="auto"/>
            </w:tcBorders>
          </w:tcPr>
          <w:p>
            <w:pPr>
              <w:pStyle w:val="TableParagraph"/>
              <w:spacing w:line="180" w:lineRule="exact"/>
              <w:ind w:left="279" w:right="0"/>
              <w:jc w:val="left"/>
              <w:rPr>
                <w:rFonts w:ascii="宋体" w:hAnsi="宋体" w:cs="宋体" w:eastAsia="宋体" w:hint="default"/>
                <w:sz w:val="18"/>
                <w:szCs w:val="18"/>
              </w:rPr>
            </w:pPr>
            <w:r>
              <w:rPr>
                <w:rFonts w:ascii="宋体" w:hAnsi="宋体" w:cs="宋体" w:eastAsia="宋体" w:hint="default"/>
                <w:b/>
                <w:bCs/>
                <w:sz w:val="18"/>
                <w:szCs w:val="18"/>
              </w:rPr>
              <w:t>对应的暂时性差异</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left="3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24" w:type="dxa"/>
            <w:tcBorders>
              <w:top w:val="nil" w:sz="6" w:space="0" w:color="auto"/>
              <w:left w:val="nil" w:sz="6" w:space="0" w:color="auto"/>
              <w:bottom w:val="single" w:sz="4" w:space="0" w:color="000000"/>
              <w:right w:val="nil" w:sz="6" w:space="0" w:color="auto"/>
            </w:tcBorders>
          </w:tcPr>
          <w:p>
            <w:pPr>
              <w:pStyle w:val="TableParagraph"/>
              <w:spacing w:line="180" w:lineRule="exact"/>
              <w:ind w:left="279" w:right="0"/>
              <w:jc w:val="left"/>
              <w:rPr>
                <w:rFonts w:ascii="宋体" w:hAnsi="宋体" w:cs="宋体" w:eastAsia="宋体" w:hint="default"/>
                <w:sz w:val="18"/>
                <w:szCs w:val="18"/>
              </w:rPr>
            </w:pPr>
            <w:r>
              <w:rPr>
                <w:rFonts w:ascii="宋体" w:hAnsi="宋体" w:cs="宋体" w:eastAsia="宋体" w:hint="default"/>
                <w:b/>
                <w:bCs/>
                <w:sz w:val="18"/>
                <w:szCs w:val="18"/>
              </w:rPr>
              <w:t>对应的暂时性差异</w:t>
            </w:r>
            <w:r>
              <w:rPr>
                <w:rFonts w:ascii="宋体" w:hAnsi="宋体" w:cs="宋体" w:eastAsia="宋体" w:hint="default"/>
                <w:sz w:val="18"/>
                <w:szCs w:val="18"/>
              </w:rPr>
            </w:r>
          </w:p>
        </w:tc>
      </w:tr>
      <w:tr>
        <w:trPr>
          <w:trHeight w:val="491" w:hRule="exact"/>
        </w:trPr>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77"/>
              <w:jc w:val="right"/>
              <w:rPr>
                <w:rFonts w:ascii="Times New Roman" w:hAnsi="Times New Roman" w:cs="Times New Roman" w:eastAsia="Times New Roman" w:hint="default"/>
                <w:sz w:val="18"/>
                <w:szCs w:val="18"/>
              </w:rPr>
            </w:pPr>
            <w:r>
              <w:rPr>
                <w:rFonts w:ascii="Times New Roman"/>
                <w:spacing w:val="-1"/>
                <w:sz w:val="18"/>
              </w:rPr>
              <w:t>752,072.55</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20" w:right="0"/>
              <w:jc w:val="left"/>
              <w:rPr>
                <w:rFonts w:ascii="Times New Roman" w:hAnsi="Times New Roman" w:cs="Times New Roman" w:eastAsia="Times New Roman" w:hint="default"/>
                <w:sz w:val="18"/>
                <w:szCs w:val="18"/>
              </w:rPr>
            </w:pPr>
            <w:r>
              <w:rPr>
                <w:rFonts w:ascii="Times New Roman"/>
                <w:sz w:val="18"/>
              </w:rPr>
              <w:t>3,008,290.18</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77"/>
              <w:jc w:val="right"/>
              <w:rPr>
                <w:rFonts w:ascii="Times New Roman" w:hAnsi="Times New Roman" w:cs="Times New Roman" w:eastAsia="Times New Roman" w:hint="default"/>
                <w:sz w:val="18"/>
                <w:szCs w:val="18"/>
              </w:rPr>
            </w:pPr>
            <w:r>
              <w:rPr>
                <w:rFonts w:ascii="Times New Roman"/>
                <w:spacing w:val="-1"/>
                <w:sz w:val="18"/>
              </w:rPr>
              <w:t>667,322.74</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20" w:right="0"/>
              <w:jc w:val="left"/>
              <w:rPr>
                <w:rFonts w:ascii="Times New Roman" w:hAnsi="Times New Roman" w:cs="Times New Roman" w:eastAsia="Times New Roman" w:hint="default"/>
                <w:sz w:val="18"/>
                <w:szCs w:val="18"/>
              </w:rPr>
            </w:pPr>
            <w:r>
              <w:rPr>
                <w:rFonts w:ascii="Times New Roman"/>
                <w:sz w:val="18"/>
              </w:rPr>
              <w:t>2,669,290.98</w:t>
            </w:r>
          </w:p>
        </w:tc>
      </w:tr>
      <w:tr>
        <w:trPr>
          <w:trHeight w:val="795"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367" w:lineRule="auto" w:before="69"/>
              <w:ind w:left="108" w:right="333"/>
              <w:jc w:val="left"/>
              <w:rPr>
                <w:rFonts w:ascii="宋体" w:hAnsi="宋体" w:cs="宋体" w:eastAsia="宋体" w:hint="default"/>
                <w:sz w:val="18"/>
                <w:szCs w:val="18"/>
              </w:rPr>
            </w:pPr>
            <w:r>
              <w:rPr>
                <w:rFonts w:ascii="宋体" w:hAnsi="宋体" w:cs="宋体" w:eastAsia="宋体" w:hint="default"/>
                <w:spacing w:val="7"/>
                <w:sz w:val="18"/>
                <w:szCs w:val="18"/>
              </w:rPr>
              <w:t>存货未实现内部销售损益产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生的可抵扣暂时性差异</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spacing w:val="-1"/>
                <w:sz w:val="18"/>
              </w:rPr>
              <w:t>71,560.84</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286,243.38</w:t>
            </w:r>
          </w:p>
        </w:tc>
        <w:tc>
          <w:tcPr>
            <w:tcW w:w="158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r>
      <w:tr>
        <w:trPr>
          <w:trHeight w:val="321"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9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823,633.39</w:t>
            </w:r>
            <w:r>
              <w:rPr>
                <w:rFonts w:ascii="Times New Roman"/>
                <w:spacing w:val="-1"/>
                <w:sz w:val="18"/>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6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3,294,533.56</w:t>
            </w:r>
            <w:r>
              <w:rPr>
                <w:rFonts w:ascii="Times New Roman"/>
                <w:sz w:val="18"/>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667,322.74</w:t>
            </w:r>
            <w:r>
              <w:rPr>
                <w:rFonts w:ascii="Times New Roman"/>
                <w:spacing w:val="-1"/>
                <w:sz w:val="18"/>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6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2,669,290.98</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93" w:right="283"/>
        <w:jc w:val="left"/>
      </w:pPr>
      <w:r>
        <w:rPr/>
        <w:t>（</w:t>
      </w:r>
      <w:r>
        <w:rPr>
          <w:rFonts w:ascii="Times New Roman" w:hAnsi="Times New Roman" w:cs="Times New Roman" w:eastAsia="Times New Roman" w:hint="default"/>
        </w:rPr>
        <w:t>2</w:t>
      </w:r>
      <w:r>
        <w:rPr/>
        <w:t>）未确认递延所得税资产明细</w:t>
      </w:r>
    </w:p>
    <w:p>
      <w:pPr>
        <w:spacing w:line="240" w:lineRule="auto" w:before="10"/>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3776"/>
        <w:gridCol w:w="2847"/>
        <w:gridCol w:w="3195"/>
      </w:tblGrid>
      <w:tr>
        <w:trPr>
          <w:trHeight w:val="273" w:hRule="exact"/>
        </w:trPr>
        <w:tc>
          <w:tcPr>
            <w:tcW w:w="3776" w:type="dxa"/>
            <w:tcBorders>
              <w:top w:val="nil" w:sz="6" w:space="0" w:color="auto"/>
              <w:left w:val="nil" w:sz="6" w:space="0" w:color="auto"/>
              <w:bottom w:val="single" w:sz="4" w:space="0" w:color="000000"/>
              <w:right w:val="nil" w:sz="6" w:space="0" w:color="auto"/>
            </w:tcBorders>
          </w:tcPr>
          <w:p>
            <w:pPr>
              <w:pStyle w:val="TableParagraph"/>
              <w:spacing w:line="180" w:lineRule="exact"/>
              <w:ind w:right="611"/>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47" w:type="dxa"/>
            <w:tcBorders>
              <w:top w:val="nil" w:sz="6" w:space="0" w:color="auto"/>
              <w:left w:val="nil" w:sz="6" w:space="0" w:color="auto"/>
              <w:bottom w:val="single" w:sz="4" w:space="0" w:color="000000"/>
              <w:right w:val="nil" w:sz="6" w:space="0" w:color="auto"/>
            </w:tcBorders>
          </w:tcPr>
          <w:p>
            <w:pPr>
              <w:pStyle w:val="TableParagraph"/>
              <w:spacing w:line="180" w:lineRule="exact"/>
              <w:ind w:left="7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5" w:type="dxa"/>
            <w:tcBorders>
              <w:top w:val="nil" w:sz="6" w:space="0" w:color="auto"/>
              <w:left w:val="nil" w:sz="6" w:space="0" w:color="auto"/>
              <w:bottom w:val="single" w:sz="4" w:space="0" w:color="000000"/>
              <w:right w:val="nil" w:sz="6" w:space="0" w:color="auto"/>
            </w:tcBorders>
          </w:tcPr>
          <w:p>
            <w:pPr>
              <w:pStyle w:val="TableParagraph"/>
              <w:spacing w:line="180" w:lineRule="exact"/>
              <w:ind w:right="7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2" w:hRule="exact"/>
        </w:trPr>
        <w:tc>
          <w:tcPr>
            <w:tcW w:w="377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9" w:right="0"/>
              <w:jc w:val="left"/>
              <w:rPr>
                <w:rFonts w:ascii="宋体" w:hAnsi="宋体" w:cs="宋体" w:eastAsia="宋体" w:hint="default"/>
                <w:sz w:val="18"/>
                <w:szCs w:val="18"/>
              </w:rPr>
            </w:pPr>
            <w:r>
              <w:rPr>
                <w:rFonts w:ascii="宋体" w:hAnsi="宋体" w:cs="宋体" w:eastAsia="宋体" w:hint="default"/>
                <w:sz w:val="18"/>
                <w:szCs w:val="18"/>
              </w:rPr>
              <w:t>可抵扣暂时性差异（坏账准备）</w:t>
            </w:r>
          </w:p>
        </w:tc>
        <w:tc>
          <w:tcPr>
            <w:tcW w:w="284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57" w:right="0"/>
              <w:jc w:val="left"/>
              <w:rPr>
                <w:rFonts w:ascii="Times New Roman" w:hAnsi="Times New Roman" w:cs="Times New Roman" w:eastAsia="Times New Roman" w:hint="default"/>
                <w:sz w:val="18"/>
                <w:szCs w:val="18"/>
              </w:rPr>
            </w:pPr>
            <w:r>
              <w:rPr>
                <w:rFonts w:ascii="Times New Roman"/>
                <w:sz w:val="18"/>
              </w:rPr>
              <w:t>3,069,440.26</w:t>
            </w:r>
          </w:p>
        </w:tc>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71"/>
              <w:jc w:val="right"/>
              <w:rPr>
                <w:rFonts w:ascii="Times New Roman" w:hAnsi="Times New Roman" w:cs="Times New Roman" w:eastAsia="Times New Roman" w:hint="default"/>
                <w:sz w:val="18"/>
                <w:szCs w:val="18"/>
              </w:rPr>
            </w:pPr>
            <w:r>
              <w:rPr>
                <w:rFonts w:ascii="Times New Roman"/>
                <w:spacing w:val="-1"/>
                <w:sz w:val="18"/>
              </w:rPr>
              <w:t>1,479,521.69</w:t>
            </w:r>
          </w:p>
        </w:tc>
      </w:tr>
      <w:tr>
        <w:trPr>
          <w:trHeight w:val="440"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9"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14" w:right="0"/>
              <w:jc w:val="left"/>
              <w:rPr>
                <w:rFonts w:ascii="Times New Roman" w:hAnsi="Times New Roman" w:cs="Times New Roman" w:eastAsia="Times New Roman" w:hint="default"/>
                <w:sz w:val="18"/>
                <w:szCs w:val="18"/>
              </w:rPr>
            </w:pPr>
            <w:r>
              <w:rPr>
                <w:rFonts w:ascii="Times New Roman"/>
                <w:sz w:val="18"/>
              </w:rPr>
              <w:t>12,005,200.50</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1"/>
              <w:jc w:val="right"/>
              <w:rPr>
                <w:rFonts w:ascii="Times New Roman" w:hAnsi="Times New Roman" w:cs="Times New Roman" w:eastAsia="Times New Roman" w:hint="default"/>
                <w:sz w:val="18"/>
                <w:szCs w:val="18"/>
              </w:rPr>
            </w:pPr>
            <w:r>
              <w:rPr>
                <w:rFonts w:ascii="Times New Roman"/>
                <w:spacing w:val="-1"/>
                <w:sz w:val="18"/>
              </w:rPr>
              <w:t>5,540,714.21</w:t>
            </w:r>
          </w:p>
        </w:tc>
      </w:tr>
      <w:tr>
        <w:trPr>
          <w:trHeight w:val="315"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28"/>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47" w:type="dxa"/>
            <w:tcBorders>
              <w:top w:val="nil" w:sz="6" w:space="0" w:color="auto"/>
              <w:left w:val="nil" w:sz="6" w:space="0" w:color="auto"/>
              <w:bottom w:val="nil" w:sz="6" w:space="0" w:color="auto"/>
              <w:right w:val="nil" w:sz="6" w:space="0" w:color="auto"/>
            </w:tcBorders>
          </w:tcPr>
          <w:p>
            <w:pPr>
              <w:pStyle w:val="TableParagraph"/>
              <w:tabs>
                <w:tab w:pos="1737" w:val="left" w:leader="none"/>
              </w:tabs>
              <w:spacing w:line="240" w:lineRule="auto" w:before="111"/>
              <w:ind w:left="61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15,074,640.76</w:t>
              <w:tab/>
            </w:r>
            <w:r>
              <w:rPr>
                <w:rFonts w:ascii="Times New Roman"/>
                <w:sz w:val="18"/>
              </w:rPr>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7,020,235.90</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93" w:right="283"/>
        <w:jc w:val="left"/>
      </w:pPr>
      <w:r>
        <w:rPr/>
        <w:t>（</w:t>
      </w:r>
      <w:r>
        <w:rPr>
          <w:rFonts w:ascii="Times New Roman" w:hAnsi="Times New Roman" w:cs="Times New Roman" w:eastAsia="Times New Roman" w:hint="default"/>
        </w:rPr>
        <w:t>3</w:t>
      </w:r>
      <w:r>
        <w:rPr/>
        <w:t>）未确认递延所得税资产的可抵扣亏损将于以下年度到期</w:t>
      </w:r>
    </w:p>
    <w:p>
      <w:pPr>
        <w:spacing w:line="240" w:lineRule="auto" w:before="10"/>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872"/>
        <w:gridCol w:w="2907"/>
        <w:gridCol w:w="3077"/>
      </w:tblGrid>
      <w:tr>
        <w:trPr>
          <w:trHeight w:val="272" w:hRule="exact"/>
        </w:trPr>
        <w:tc>
          <w:tcPr>
            <w:tcW w:w="3872" w:type="dxa"/>
            <w:tcBorders>
              <w:top w:val="nil" w:sz="6" w:space="0" w:color="auto"/>
              <w:left w:val="nil" w:sz="6" w:space="0" w:color="auto"/>
              <w:bottom w:val="single" w:sz="4" w:space="0" w:color="000000"/>
              <w:right w:val="nil" w:sz="6" w:space="0" w:color="auto"/>
            </w:tcBorders>
          </w:tcPr>
          <w:p>
            <w:pPr>
              <w:pStyle w:val="TableParagraph"/>
              <w:spacing w:line="182" w:lineRule="exact"/>
              <w:ind w:right="694"/>
              <w:jc w:val="righ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份</w:t>
            </w:r>
            <w:r>
              <w:rPr>
                <w:rFonts w:ascii="宋体" w:hAnsi="宋体" w:cs="宋体" w:eastAsia="宋体" w:hint="default"/>
                <w:sz w:val="18"/>
                <w:szCs w:val="18"/>
              </w:rPr>
            </w:r>
          </w:p>
        </w:tc>
        <w:tc>
          <w:tcPr>
            <w:tcW w:w="2907" w:type="dxa"/>
            <w:tcBorders>
              <w:top w:val="nil" w:sz="6" w:space="0" w:color="auto"/>
              <w:left w:val="nil" w:sz="6" w:space="0" w:color="auto"/>
              <w:bottom w:val="single" w:sz="4" w:space="0" w:color="000000"/>
              <w:right w:val="nil" w:sz="6" w:space="0" w:color="auto"/>
            </w:tcBorders>
          </w:tcPr>
          <w:p>
            <w:pPr>
              <w:pStyle w:val="TableParagraph"/>
              <w:spacing w:line="180" w:lineRule="exact"/>
              <w:ind w:left="6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77" w:type="dxa"/>
            <w:tcBorders>
              <w:top w:val="nil" w:sz="6" w:space="0" w:color="auto"/>
              <w:left w:val="nil" w:sz="6" w:space="0" w:color="auto"/>
              <w:bottom w:val="single" w:sz="4" w:space="0" w:color="000000"/>
              <w:right w:val="nil" w:sz="6" w:space="0" w:color="auto"/>
            </w:tcBorders>
          </w:tcPr>
          <w:p>
            <w:pPr>
              <w:pStyle w:val="TableParagraph"/>
              <w:spacing w:line="180" w:lineRule="exact"/>
              <w:ind w:right="20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2" w:hRule="exact"/>
        </w:trPr>
        <w:tc>
          <w:tcPr>
            <w:tcW w:w="38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7" w:type="dxa"/>
            <w:tcBorders>
              <w:top w:val="single" w:sz="4" w:space="0" w:color="000000"/>
              <w:left w:val="nil" w:sz="6" w:space="0" w:color="auto"/>
              <w:bottom w:val="nil" w:sz="6" w:space="0" w:color="auto"/>
              <w:right w:val="nil" w:sz="6" w:space="0" w:color="auto"/>
            </w:tcBorders>
          </w:tcPr>
          <w:p>
            <w:pPr/>
          </w:p>
        </w:tc>
        <w:tc>
          <w:tcPr>
            <w:tcW w:w="307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64"/>
              <w:jc w:val="right"/>
              <w:rPr>
                <w:rFonts w:ascii="Times New Roman" w:hAnsi="Times New Roman" w:cs="Times New Roman" w:eastAsia="Times New Roman" w:hint="default"/>
                <w:sz w:val="18"/>
                <w:szCs w:val="18"/>
              </w:rPr>
            </w:pPr>
            <w:r>
              <w:rPr>
                <w:rFonts w:ascii="Times New Roman"/>
                <w:spacing w:val="-1"/>
                <w:sz w:val="18"/>
              </w:rPr>
              <w:t>105,011.66</w:t>
            </w:r>
          </w:p>
        </w:tc>
      </w:tr>
      <w:tr>
        <w:trPr>
          <w:trHeight w:val="441" w:hRule="exact"/>
        </w:trPr>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3"/>
              <w:jc w:val="right"/>
              <w:rPr>
                <w:rFonts w:ascii="Times New Roman" w:hAnsi="Times New Roman" w:cs="Times New Roman" w:eastAsia="Times New Roman" w:hint="default"/>
                <w:sz w:val="18"/>
                <w:szCs w:val="18"/>
              </w:rPr>
            </w:pPr>
            <w:r>
              <w:rPr>
                <w:rFonts w:ascii="Times New Roman"/>
                <w:spacing w:val="-1"/>
                <w:sz w:val="18"/>
              </w:rPr>
              <w:t>1,890,589.75</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64"/>
              <w:jc w:val="right"/>
              <w:rPr>
                <w:rFonts w:ascii="Times New Roman" w:hAnsi="Times New Roman" w:cs="Times New Roman" w:eastAsia="Times New Roman" w:hint="default"/>
                <w:sz w:val="18"/>
                <w:szCs w:val="18"/>
              </w:rPr>
            </w:pPr>
            <w:r>
              <w:rPr>
                <w:rFonts w:ascii="Times New Roman"/>
                <w:spacing w:val="-1"/>
                <w:sz w:val="18"/>
              </w:rPr>
              <w:t>3,205,790.94</w:t>
            </w:r>
          </w:p>
        </w:tc>
      </w:tr>
      <w:tr>
        <w:trPr>
          <w:trHeight w:val="440" w:hRule="exact"/>
        </w:trPr>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3"/>
              <w:jc w:val="right"/>
              <w:rPr>
                <w:rFonts w:ascii="Times New Roman" w:hAnsi="Times New Roman" w:cs="Times New Roman" w:eastAsia="Times New Roman" w:hint="default"/>
                <w:sz w:val="18"/>
                <w:szCs w:val="18"/>
              </w:rPr>
            </w:pPr>
            <w:r>
              <w:rPr>
                <w:rFonts w:ascii="Times New Roman"/>
                <w:spacing w:val="-1"/>
                <w:sz w:val="18"/>
              </w:rPr>
              <w:t>3,377,626.57</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64"/>
              <w:jc w:val="right"/>
              <w:rPr>
                <w:rFonts w:ascii="Times New Roman" w:hAnsi="Times New Roman" w:cs="Times New Roman" w:eastAsia="Times New Roman" w:hint="default"/>
                <w:sz w:val="18"/>
                <w:szCs w:val="18"/>
              </w:rPr>
            </w:pPr>
            <w:r>
              <w:rPr>
                <w:rFonts w:ascii="Times New Roman"/>
                <w:spacing w:val="-1"/>
                <w:sz w:val="18"/>
              </w:rPr>
              <w:t>2,229,911.61</w:t>
            </w:r>
          </w:p>
        </w:tc>
      </w:tr>
      <w:tr>
        <w:trPr>
          <w:trHeight w:val="440" w:hRule="exact"/>
        </w:trPr>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3"/>
              <w:jc w:val="right"/>
              <w:rPr>
                <w:rFonts w:ascii="Times New Roman" w:hAnsi="Times New Roman" w:cs="Times New Roman" w:eastAsia="Times New Roman" w:hint="default"/>
                <w:sz w:val="18"/>
                <w:szCs w:val="18"/>
              </w:rPr>
            </w:pPr>
            <w:r>
              <w:rPr>
                <w:rFonts w:ascii="Times New Roman"/>
                <w:spacing w:val="-1"/>
                <w:sz w:val="18"/>
              </w:rPr>
              <w:t>6,736,984.18</w:t>
            </w:r>
          </w:p>
        </w:tc>
        <w:tc>
          <w:tcPr>
            <w:tcW w:w="3077" w:type="dxa"/>
            <w:tcBorders>
              <w:top w:val="nil" w:sz="6" w:space="0" w:color="auto"/>
              <w:left w:val="nil" w:sz="6" w:space="0" w:color="auto"/>
              <w:bottom w:val="nil" w:sz="6" w:space="0" w:color="auto"/>
              <w:right w:val="nil" w:sz="6" w:space="0" w:color="auto"/>
            </w:tcBorders>
          </w:tcPr>
          <w:p>
            <w:pPr/>
          </w:p>
        </w:tc>
      </w:tr>
      <w:tr>
        <w:trPr>
          <w:trHeight w:val="316" w:hRule="exact"/>
        </w:trPr>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7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12,005,200.50</w:t>
            </w:r>
            <w:r>
              <w:rPr>
                <w:rFonts w:ascii="Times New Roman"/>
                <w:sz w:val="18"/>
              </w:rPr>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5,540,714.21</w:t>
            </w:r>
            <w:r>
              <w:rPr>
                <w:rFonts w:ascii="Times New Roman"/>
                <w:spacing w:val="-1"/>
                <w:sz w:val="18"/>
              </w:rPr>
            </w:r>
          </w:p>
        </w:tc>
      </w:tr>
    </w:tbl>
    <w:p>
      <w:pPr>
        <w:spacing w:line="240" w:lineRule="auto" w:before="2"/>
        <w:rPr>
          <w:rFonts w:ascii="宋体" w:hAnsi="宋体" w:cs="宋体" w:eastAsia="宋体" w:hint="default"/>
          <w:sz w:val="25"/>
          <w:szCs w:val="25"/>
        </w:rPr>
      </w:pPr>
    </w:p>
    <w:p>
      <w:pPr>
        <w:pStyle w:val="Heading5"/>
        <w:spacing w:line="240" w:lineRule="auto" w:before="36"/>
        <w:ind w:left="233" w:right="283"/>
        <w:jc w:val="left"/>
        <w:rPr>
          <w:b w:val="0"/>
          <w:bCs w:val="0"/>
        </w:rPr>
      </w:pPr>
      <w:r>
        <w:rPr/>
        <w:pict>
          <v:group style="position:absolute;margin-left:50.28001pt;margin-top:55.099697pt;width:494.05pt;height:.5pt;mso-position-horizontal-relative:page;mso-position-vertical-relative:paragraph;z-index:-686296" coordorigin="1006,1102" coordsize="9881,10">
            <v:group style="position:absolute;left:1010;top:1107;width:2651;height:2" coordorigin="1010,1107" coordsize="2651,2">
              <v:shape style="position:absolute;left:1010;top:1107;width:2651;height:2" coordorigin="1010,1107" coordsize="2651,0" path="m1010,1107l3661,1107e" filled="false" stroked="true" strokeweight=".47998pt" strokecolor="#000000">
                <v:path arrowok="t"/>
              </v:shape>
            </v:group>
            <v:group style="position:absolute;left:3647;top:1107;width:10;height:2" coordorigin="3647,1107" coordsize="10,2">
              <v:shape style="position:absolute;left:3647;top:1107;width:10;height:2" coordorigin="3647,1107" coordsize="10,0" path="m3647,1107l3656,1107e" filled="false" stroked="true" strokeweight=".47998pt" strokecolor="#000000">
                <v:path arrowok="t"/>
              </v:shape>
            </v:group>
            <v:group style="position:absolute;left:3656;top:1107;width:1810;height:2" coordorigin="3656,1107" coordsize="1810,2">
              <v:shape style="position:absolute;left:3656;top:1107;width:1810;height:2" coordorigin="3656,1107" coordsize="1810,0" path="m3656,1107l5466,1107e" filled="false" stroked="true" strokeweight=".47998pt" strokecolor="#000000">
                <v:path arrowok="t"/>
              </v:shape>
            </v:group>
            <v:group style="position:absolute;left:5451;top:1107;width:10;height:2" coordorigin="5451,1107" coordsize="10,2">
              <v:shape style="position:absolute;left:5451;top:1107;width:10;height:2" coordorigin="5451,1107" coordsize="10,0" path="m5451,1107l5461,1107e" filled="false" stroked="true" strokeweight=".47998pt" strokecolor="#000000">
                <v:path arrowok="t"/>
              </v:shape>
            </v:group>
            <v:group style="position:absolute;left:5461;top:1107;width:1813;height:2" coordorigin="5461,1107" coordsize="1813,2">
              <v:shape style="position:absolute;left:5461;top:1107;width:1813;height:2" coordorigin="5461,1107" coordsize="1813,0" path="m5461,1107l7273,1107e" filled="false" stroked="true" strokeweight=".47998pt" strokecolor="#000000">
                <v:path arrowok="t"/>
              </v:shape>
            </v:group>
            <v:group style="position:absolute;left:7259;top:1107;width:10;height:2" coordorigin="7259,1107" coordsize="10,2">
              <v:shape style="position:absolute;left:7259;top:1107;width:10;height:2" coordorigin="7259,1107" coordsize="10,0" path="m7259,1107l7269,1107e" filled="false" stroked="true" strokeweight=".47998pt" strokecolor="#000000">
                <v:path arrowok="t"/>
              </v:shape>
            </v:group>
            <v:group style="position:absolute;left:7269;top:1107;width:1811;height:2" coordorigin="7269,1107" coordsize="1811,2">
              <v:shape style="position:absolute;left:7269;top:1107;width:1811;height:2" coordorigin="7269,1107" coordsize="1811,0" path="m7269,1107l9079,1107e" filled="false" stroked="true" strokeweight=".47998pt" strokecolor="#000000">
                <v:path arrowok="t"/>
              </v:shape>
            </v:group>
            <v:group style="position:absolute;left:9064;top:1107;width:10;height:2" coordorigin="9064,1107" coordsize="10,2">
              <v:shape style="position:absolute;left:9064;top:1107;width:10;height:2" coordorigin="9064,1107" coordsize="10,0" path="m9064,1107l9074,1107e" filled="false" stroked="true" strokeweight=".47998pt" strokecolor="#000000">
                <v:path arrowok="t"/>
              </v:shape>
            </v:group>
            <v:group style="position:absolute;left:9074;top:1107;width:1808;height:2" coordorigin="9074,1107" coordsize="1808,2">
              <v:shape style="position:absolute;left:9074;top:1107;width:1808;height:2" coordorigin="9074,1107" coordsize="1808,0" path="m9074,1107l10882,1107e" filled="false" stroked="true" strokeweight=".47998pt" strokecolor="#000000">
                <v:path arrowok="t"/>
              </v:shape>
            </v:group>
            <w10:wrap type="none"/>
          </v:group>
        </w:pict>
      </w:r>
      <w:r>
        <w:rPr>
          <w:rFonts w:ascii="Times New Roman" w:hAnsi="Times New Roman" w:cs="Times New Roman" w:eastAsia="Times New Roman" w:hint="default"/>
        </w:rPr>
        <w:t>13</w:t>
      </w:r>
      <w:r>
        <w:rPr/>
        <w:t>、其他非流动资产</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925" w:type="dxa"/>
        <w:tblLayout w:type="fixed"/>
        <w:tblCellMar>
          <w:top w:w="0" w:type="dxa"/>
          <w:left w:w="0" w:type="dxa"/>
          <w:bottom w:w="0" w:type="dxa"/>
          <w:right w:w="0" w:type="dxa"/>
        </w:tblCellMar>
        <w:tblLook w:val="01E0"/>
      </w:tblPr>
      <w:tblGrid>
        <w:gridCol w:w="1606"/>
        <w:gridCol w:w="2036"/>
        <w:gridCol w:w="1805"/>
        <w:gridCol w:w="1805"/>
        <w:gridCol w:w="1463"/>
      </w:tblGrid>
      <w:tr>
        <w:trPr>
          <w:trHeight w:val="272" w:hRule="exact"/>
        </w:trPr>
        <w:tc>
          <w:tcPr>
            <w:tcW w:w="1606"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036" w:type="dxa"/>
            <w:tcBorders>
              <w:top w:val="nil" w:sz="6" w:space="0" w:color="auto"/>
              <w:left w:val="nil" w:sz="6" w:space="0" w:color="auto"/>
              <w:bottom w:val="nil" w:sz="6" w:space="0" w:color="auto"/>
              <w:right w:val="nil" w:sz="6" w:space="0" w:color="auto"/>
            </w:tcBorders>
          </w:tcPr>
          <w:p>
            <w:pPr>
              <w:pStyle w:val="TableParagraph"/>
              <w:spacing w:line="180" w:lineRule="exact"/>
              <w:ind w:left="77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05" w:type="dxa"/>
            <w:tcBorders>
              <w:top w:val="nil" w:sz="6" w:space="0" w:color="auto"/>
              <w:left w:val="nil" w:sz="6" w:space="0" w:color="auto"/>
              <w:bottom w:val="nil" w:sz="6" w:space="0" w:color="auto"/>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05" w:type="dxa"/>
            <w:tcBorders>
              <w:top w:val="nil" w:sz="6" w:space="0" w:color="auto"/>
              <w:left w:val="nil" w:sz="6" w:space="0" w:color="auto"/>
              <w:bottom w:val="nil" w:sz="6" w:space="0" w:color="auto"/>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headerReference w:type="default" r:id="rId62"/>
          <w:pgSz w:w="11910" w:h="16840"/>
          <w:pgMar w:header="918" w:footer="999" w:top="1100" w:bottom="1180" w:left="900" w:right="9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2578"/>
        <w:gridCol w:w="1973"/>
        <w:gridCol w:w="1696"/>
        <w:gridCol w:w="1805"/>
        <w:gridCol w:w="1804"/>
      </w:tblGrid>
      <w:tr>
        <w:trPr>
          <w:trHeight w:val="273" w:hRule="exact"/>
        </w:trPr>
        <w:tc>
          <w:tcPr>
            <w:tcW w:w="2578" w:type="dxa"/>
            <w:tcBorders>
              <w:top w:val="nil" w:sz="6" w:space="0" w:color="auto"/>
              <w:left w:val="nil" w:sz="6" w:space="0" w:color="auto"/>
              <w:bottom w:val="single" w:sz="4" w:space="0" w:color="000000"/>
              <w:right w:val="nil" w:sz="6" w:space="0" w:color="auto"/>
            </w:tcBorders>
          </w:tcPr>
          <w:p>
            <w:pPr>
              <w:pStyle w:val="TableParagraph"/>
              <w:tabs>
                <w:tab w:pos="511" w:val="left" w:leader="none"/>
              </w:tabs>
              <w:spacing w:line="180" w:lineRule="exact"/>
              <w:ind w:left="57"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73" w:type="dxa"/>
            <w:tcBorders>
              <w:top w:val="nil" w:sz="6" w:space="0" w:color="auto"/>
              <w:left w:val="nil" w:sz="6" w:space="0" w:color="auto"/>
              <w:bottom w:val="single" w:sz="4" w:space="0" w:color="000000"/>
              <w:right w:val="nil" w:sz="6" w:space="0" w:color="auto"/>
            </w:tcBorders>
          </w:tcPr>
          <w:p>
            <w:pPr>
              <w:pStyle w:val="TableParagraph"/>
              <w:spacing w:line="180"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96" w:type="dxa"/>
            <w:tcBorders>
              <w:top w:val="nil" w:sz="6" w:space="0" w:color="auto"/>
              <w:left w:val="nil" w:sz="6" w:space="0" w:color="auto"/>
              <w:bottom w:val="single" w:sz="4" w:space="0" w:color="000000"/>
              <w:right w:val="nil" w:sz="6" w:space="0" w:color="auto"/>
            </w:tcBorders>
          </w:tcPr>
          <w:p>
            <w:pPr>
              <w:pStyle w:val="TableParagraph"/>
              <w:spacing w:line="180" w:lineRule="exact"/>
              <w:ind w:left="43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05" w:type="dxa"/>
            <w:tcBorders>
              <w:top w:val="nil" w:sz="6" w:space="0" w:color="auto"/>
              <w:left w:val="nil" w:sz="6" w:space="0" w:color="auto"/>
              <w:bottom w:val="single" w:sz="4" w:space="0" w:color="000000"/>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19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95" w:right="0"/>
              <w:jc w:val="left"/>
              <w:rPr>
                <w:rFonts w:ascii="Times New Roman" w:hAnsi="Times New Roman" w:cs="Times New Roman" w:eastAsia="Times New Roman" w:hint="default"/>
                <w:sz w:val="18"/>
                <w:szCs w:val="18"/>
              </w:rPr>
            </w:pPr>
            <w:r>
              <w:rPr>
                <w:rFonts w:ascii="Times New Roman"/>
                <w:sz w:val="18"/>
              </w:rPr>
              <w:t>1,000,000.00</w:t>
            </w:r>
          </w:p>
        </w:tc>
        <w:tc>
          <w:tcPr>
            <w:tcW w:w="1696" w:type="dxa"/>
            <w:tcBorders>
              <w:top w:val="single" w:sz="4" w:space="0" w:color="000000"/>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34" w:right="0"/>
              <w:jc w:val="left"/>
              <w:rPr>
                <w:rFonts w:ascii="Times New Roman" w:hAnsi="Times New Roman" w:cs="Times New Roman" w:eastAsia="Times New Roman" w:hint="default"/>
                <w:sz w:val="18"/>
                <w:szCs w:val="18"/>
              </w:rPr>
            </w:pPr>
            <w:r>
              <w:rPr>
                <w:rFonts w:ascii="Times New Roman"/>
                <w:sz w:val="18"/>
              </w:rPr>
              <w:t>1,000,000.00</w:t>
            </w:r>
          </w:p>
        </w:tc>
      </w:tr>
      <w:tr>
        <w:trPr>
          <w:trHeight w:val="315"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8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1,000,000.00</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2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1,000,000.00</w:t>
            </w:r>
            <w:r>
              <w:rPr>
                <w:rFonts w:ascii="Times New Roman"/>
                <w:sz w:val="18"/>
              </w:rPr>
            </w:r>
          </w:p>
        </w:tc>
      </w:tr>
    </w:tbl>
    <w:p>
      <w:pPr>
        <w:spacing w:line="240" w:lineRule="auto" w:before="10"/>
        <w:rPr>
          <w:rFonts w:ascii="宋体" w:hAnsi="宋体" w:cs="宋体" w:eastAsia="宋体" w:hint="default"/>
          <w:b/>
          <w:bCs/>
          <w:sz w:val="29"/>
          <w:szCs w:val="29"/>
        </w:rPr>
      </w:pPr>
    </w:p>
    <w:p>
      <w:pPr>
        <w:pStyle w:val="BodyText"/>
        <w:spacing w:line="240" w:lineRule="auto" w:before="44"/>
        <w:ind w:left="573" w:right="115"/>
        <w:jc w:val="left"/>
      </w:pPr>
      <w:r>
        <w:rPr/>
        <w:t>注：湖南天舟教育科技研究院属于本公司下属从事教育科学研究、教育技术研究及推广的民办非企业法人单位。</w:t>
      </w:r>
    </w:p>
    <w:p>
      <w:pPr>
        <w:spacing w:line="240" w:lineRule="auto" w:before="9"/>
        <w:rPr>
          <w:rFonts w:ascii="宋体" w:hAnsi="宋体" w:cs="宋体" w:eastAsia="宋体" w:hint="default"/>
          <w:sz w:val="25"/>
          <w:szCs w:val="25"/>
        </w:rPr>
      </w:pPr>
    </w:p>
    <w:p>
      <w:pPr>
        <w:pStyle w:val="Heading5"/>
        <w:spacing w:line="240" w:lineRule="auto"/>
        <w:ind w:left="213" w:right="5558"/>
        <w:jc w:val="left"/>
        <w:rPr>
          <w:b w:val="0"/>
          <w:bCs w:val="0"/>
        </w:rPr>
      </w:pPr>
      <w:r>
        <w:rPr>
          <w:rFonts w:ascii="Times New Roman" w:hAnsi="Times New Roman" w:cs="Times New Roman" w:eastAsia="Times New Roman" w:hint="default"/>
        </w:rPr>
        <w:t>14</w:t>
      </w:r>
      <w:r>
        <w:rPr/>
        <w:t>、资产减值准备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1677"/>
        <w:gridCol w:w="1730"/>
        <w:gridCol w:w="2491"/>
        <w:gridCol w:w="1307"/>
        <w:gridCol w:w="1230"/>
        <w:gridCol w:w="1423"/>
      </w:tblGrid>
      <w:tr>
        <w:trPr>
          <w:trHeight w:val="205" w:hRule="exact"/>
        </w:trPr>
        <w:tc>
          <w:tcPr>
            <w:tcW w:w="167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180" w:lineRule="exact"/>
              <w:ind w:left="29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3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230"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05" w:lineRule="exact"/>
              <w:ind w:right="500"/>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30" w:type="dxa"/>
            <w:tcBorders>
              <w:top w:val="nil" w:sz="6" w:space="0" w:color="auto"/>
              <w:left w:val="nil" w:sz="6" w:space="0" w:color="auto"/>
              <w:bottom w:val="nil" w:sz="6" w:space="0" w:color="auto"/>
              <w:right w:val="nil" w:sz="6" w:space="0" w:color="auto"/>
            </w:tcBorders>
          </w:tcPr>
          <w:p>
            <w:pPr>
              <w:pStyle w:val="TableParagraph"/>
              <w:spacing w:line="205"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491" w:type="dxa"/>
            <w:tcBorders>
              <w:top w:val="nil" w:sz="6" w:space="0" w:color="auto"/>
              <w:left w:val="nil" w:sz="6" w:space="0" w:color="auto"/>
              <w:bottom w:val="nil" w:sz="6" w:space="0" w:color="auto"/>
              <w:right w:val="nil" w:sz="6" w:space="0" w:color="auto"/>
            </w:tcBorders>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307"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05" w:lineRule="exact"/>
              <w:ind w:left="28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2" w:hRule="exact"/>
        </w:trPr>
        <w:tc>
          <w:tcPr>
            <w:tcW w:w="1677" w:type="dxa"/>
            <w:tcBorders>
              <w:top w:val="nil" w:sz="6" w:space="0" w:color="auto"/>
              <w:left w:val="nil" w:sz="6" w:space="0" w:color="auto"/>
              <w:bottom w:val="single" w:sz="8" w:space="0" w:color="000000"/>
              <w:right w:val="nil" w:sz="6" w:space="0" w:color="auto"/>
            </w:tcBorders>
          </w:tcPr>
          <w:p>
            <w:pPr/>
          </w:p>
        </w:tc>
        <w:tc>
          <w:tcPr>
            <w:tcW w:w="1730" w:type="dxa"/>
            <w:tcBorders>
              <w:top w:val="nil" w:sz="6" w:space="0" w:color="auto"/>
              <w:left w:val="nil" w:sz="6" w:space="0" w:color="auto"/>
              <w:bottom w:val="single" w:sz="8" w:space="0" w:color="000000"/>
              <w:right w:val="nil" w:sz="6" w:space="0" w:color="auto"/>
            </w:tcBorders>
          </w:tcPr>
          <w:p>
            <w:pPr/>
          </w:p>
        </w:tc>
        <w:tc>
          <w:tcPr>
            <w:tcW w:w="2491" w:type="dxa"/>
            <w:tcBorders>
              <w:top w:val="nil" w:sz="6" w:space="0" w:color="auto"/>
              <w:left w:val="nil" w:sz="6" w:space="0" w:color="auto"/>
              <w:bottom w:val="single" w:sz="8" w:space="0" w:color="000000"/>
              <w:right w:val="nil" w:sz="6" w:space="0" w:color="auto"/>
            </w:tcBorders>
          </w:tcPr>
          <w:p>
            <w:pPr>
              <w:pStyle w:val="TableParagraph"/>
              <w:spacing w:line="205" w:lineRule="exact"/>
              <w:ind w:right="318"/>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07" w:type="dxa"/>
            <w:tcBorders>
              <w:top w:val="nil" w:sz="6" w:space="0" w:color="auto"/>
              <w:left w:val="nil" w:sz="6" w:space="0" w:color="auto"/>
              <w:bottom w:val="single" w:sz="8" w:space="0" w:color="000000"/>
              <w:right w:val="nil" w:sz="6" w:space="0" w:color="auto"/>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230" w:type="dxa"/>
            <w:tcBorders>
              <w:top w:val="nil" w:sz="6" w:space="0" w:color="auto"/>
              <w:left w:val="nil" w:sz="6" w:space="0" w:color="auto"/>
              <w:bottom w:val="single" w:sz="8" w:space="0" w:color="000000"/>
              <w:right w:val="nil" w:sz="6" w:space="0" w:color="auto"/>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3" w:type="dxa"/>
            <w:tcBorders>
              <w:top w:val="nil" w:sz="6" w:space="0" w:color="auto"/>
              <w:left w:val="nil" w:sz="6" w:space="0" w:color="auto"/>
              <w:bottom w:val="single" w:sz="8" w:space="0" w:color="000000"/>
              <w:right w:val="nil" w:sz="6" w:space="0" w:color="auto"/>
            </w:tcBorders>
          </w:tcPr>
          <w:p>
            <w:pPr/>
          </w:p>
        </w:tc>
      </w:tr>
      <w:tr>
        <w:trPr>
          <w:trHeight w:val="499" w:hRule="exact"/>
        </w:trPr>
        <w:tc>
          <w:tcPr>
            <w:tcW w:w="1677"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0"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519" w:right="0"/>
              <w:jc w:val="left"/>
              <w:rPr>
                <w:rFonts w:ascii="Times New Roman" w:hAnsi="Times New Roman" w:cs="Times New Roman" w:eastAsia="Times New Roman" w:hint="default"/>
                <w:sz w:val="18"/>
                <w:szCs w:val="18"/>
              </w:rPr>
            </w:pPr>
            <w:r>
              <w:rPr>
                <w:rFonts w:ascii="Times New Roman"/>
                <w:sz w:val="18"/>
              </w:rPr>
              <w:t>1,479,521.69</w:t>
            </w:r>
          </w:p>
        </w:tc>
        <w:tc>
          <w:tcPr>
            <w:tcW w:w="2491"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353" w:right="0"/>
              <w:jc w:val="left"/>
              <w:rPr>
                <w:rFonts w:ascii="Times New Roman" w:hAnsi="Times New Roman" w:cs="Times New Roman" w:eastAsia="Times New Roman" w:hint="default"/>
                <w:sz w:val="18"/>
                <w:szCs w:val="18"/>
              </w:rPr>
            </w:pPr>
            <w:r>
              <w:rPr>
                <w:rFonts w:ascii="Times New Roman"/>
                <w:sz w:val="18"/>
              </w:rPr>
              <w:t>1,589,918.57</w:t>
            </w:r>
          </w:p>
        </w:tc>
        <w:tc>
          <w:tcPr>
            <w:tcW w:w="1307" w:type="dxa"/>
            <w:tcBorders>
              <w:top w:val="single" w:sz="8" w:space="0" w:color="000000"/>
              <w:left w:val="nil" w:sz="6" w:space="0" w:color="auto"/>
              <w:bottom w:val="nil" w:sz="6" w:space="0" w:color="auto"/>
              <w:right w:val="nil" w:sz="6" w:space="0" w:color="auto"/>
            </w:tcBorders>
          </w:tcPr>
          <w:p>
            <w:pPr/>
          </w:p>
        </w:tc>
        <w:tc>
          <w:tcPr>
            <w:tcW w:w="1230" w:type="dxa"/>
            <w:tcBorders>
              <w:top w:val="single" w:sz="8" w:space="0" w:color="000000"/>
              <w:left w:val="nil" w:sz="6" w:space="0" w:color="auto"/>
              <w:bottom w:val="nil" w:sz="6" w:space="0" w:color="auto"/>
              <w:right w:val="nil" w:sz="6" w:space="0" w:color="auto"/>
            </w:tcBorders>
          </w:tcPr>
          <w:p>
            <w:pPr/>
          </w:p>
        </w:tc>
        <w:tc>
          <w:tcPr>
            <w:tcW w:w="1423"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241" w:right="0"/>
              <w:jc w:val="left"/>
              <w:rPr>
                <w:rFonts w:ascii="Times New Roman" w:hAnsi="Times New Roman" w:cs="Times New Roman" w:eastAsia="Times New Roman" w:hint="default"/>
                <w:sz w:val="18"/>
                <w:szCs w:val="18"/>
              </w:rPr>
            </w:pPr>
            <w:r>
              <w:rPr>
                <w:rFonts w:ascii="Times New Roman"/>
                <w:sz w:val="18"/>
              </w:rPr>
              <w:t>3,069,440.26</w:t>
            </w:r>
          </w:p>
        </w:tc>
      </w:tr>
      <w:tr>
        <w:trPr>
          <w:trHeight w:val="43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19" w:right="0"/>
              <w:jc w:val="left"/>
              <w:rPr>
                <w:rFonts w:ascii="Times New Roman" w:hAnsi="Times New Roman" w:cs="Times New Roman" w:eastAsia="Times New Roman" w:hint="default"/>
                <w:sz w:val="18"/>
                <w:szCs w:val="18"/>
              </w:rPr>
            </w:pPr>
            <w:r>
              <w:rPr>
                <w:rFonts w:ascii="Times New Roman"/>
                <w:sz w:val="18"/>
              </w:rPr>
              <w:t>2,669,290.98</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87" w:right="0"/>
              <w:jc w:val="left"/>
              <w:rPr>
                <w:rFonts w:ascii="Times New Roman" w:hAnsi="Times New Roman" w:cs="Times New Roman" w:eastAsia="Times New Roman" w:hint="default"/>
                <w:sz w:val="18"/>
                <w:szCs w:val="18"/>
              </w:rPr>
            </w:pPr>
            <w:r>
              <w:rPr>
                <w:rFonts w:ascii="Times New Roman"/>
                <w:sz w:val="18"/>
              </w:rPr>
              <w:t>869,120.60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20" w:right="0"/>
              <w:jc w:val="left"/>
              <w:rPr>
                <w:rFonts w:ascii="Times New Roman" w:hAnsi="Times New Roman" w:cs="Times New Roman" w:eastAsia="Times New Roman" w:hint="default"/>
                <w:sz w:val="18"/>
                <w:szCs w:val="18"/>
              </w:rPr>
            </w:pPr>
            <w:r>
              <w:rPr>
                <w:rFonts w:ascii="Times New Roman"/>
                <w:sz w:val="18"/>
              </w:rPr>
              <w:t>530,121.40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5" w:right="0"/>
              <w:jc w:val="left"/>
              <w:rPr>
                <w:rFonts w:ascii="Times New Roman" w:hAnsi="Times New Roman" w:cs="Times New Roman" w:eastAsia="Times New Roman" w:hint="default"/>
                <w:sz w:val="18"/>
                <w:szCs w:val="18"/>
              </w:rPr>
            </w:pPr>
            <w:r>
              <w:rPr>
                <w:rFonts w:ascii="Times New Roman"/>
                <w:sz w:val="18"/>
              </w:rPr>
              <w:t>530,121.40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41" w:right="0"/>
              <w:jc w:val="left"/>
              <w:rPr>
                <w:rFonts w:ascii="Times New Roman" w:hAnsi="Times New Roman" w:cs="Times New Roman" w:eastAsia="Times New Roman" w:hint="default"/>
                <w:sz w:val="18"/>
                <w:szCs w:val="18"/>
              </w:rPr>
            </w:pPr>
            <w:r>
              <w:rPr>
                <w:rFonts w:ascii="Times New Roman"/>
                <w:sz w:val="18"/>
              </w:rPr>
              <w:t>3,008,290.18</w:t>
            </w:r>
          </w:p>
        </w:tc>
      </w:tr>
      <w:tr>
        <w:trPr>
          <w:trHeight w:val="31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0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1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4,148,812.67</w:t>
            </w:r>
            <w:r>
              <w:rPr>
                <w:rFonts w:ascii="Times New Roman"/>
                <w:sz w:val="18"/>
              </w:rPr>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2,459,039.17</w:t>
            </w:r>
            <w:r>
              <w:rPr>
                <w:rFonts w:ascii="Times New Roman"/>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530,121.40</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530,121.40</w:t>
            </w:r>
            <w:r>
              <w:rPr>
                <w:rFonts w:ascii="Times New Roman"/>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6,077,730.44</w:t>
            </w:r>
            <w:r>
              <w:rPr>
                <w:rFonts w:ascii="Times New Roman"/>
                <w:sz w:val="18"/>
              </w:rPr>
            </w:r>
          </w:p>
        </w:tc>
      </w:tr>
    </w:tbl>
    <w:p>
      <w:pPr>
        <w:spacing w:line="240" w:lineRule="auto" w:before="4"/>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1"/>
        <w:rPr>
          <w:rFonts w:ascii="宋体" w:hAnsi="宋体" w:cs="宋体" w:eastAsia="宋体" w:hint="default"/>
          <w:b/>
          <w:bCs/>
          <w:sz w:val="28"/>
          <w:szCs w:val="28"/>
        </w:rPr>
      </w:pPr>
    </w:p>
    <w:tbl>
      <w:tblPr>
        <w:tblW w:w="0" w:type="auto"/>
        <w:jc w:val="left"/>
        <w:tblInd w:w="104" w:type="dxa"/>
        <w:tblLayout w:type="fixed"/>
        <w:tblCellMar>
          <w:top w:w="0" w:type="dxa"/>
          <w:left w:w="0" w:type="dxa"/>
          <w:bottom w:w="0" w:type="dxa"/>
          <w:right w:w="0" w:type="dxa"/>
        </w:tblCellMar>
        <w:tblLook w:val="01E0"/>
      </w:tblPr>
      <w:tblGrid>
        <w:gridCol w:w="2456"/>
        <w:gridCol w:w="3860"/>
        <w:gridCol w:w="1346"/>
        <w:gridCol w:w="2195"/>
      </w:tblGrid>
      <w:tr>
        <w:trPr>
          <w:trHeight w:val="855" w:hRule="exact"/>
        </w:trPr>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513" w:hRule="exact"/>
        </w:trPr>
        <w:tc>
          <w:tcPr>
            <w:tcW w:w="2456" w:type="dxa"/>
            <w:tcBorders>
              <w:top w:val="nil" w:sz="6" w:space="0" w:color="auto"/>
              <w:left w:val="nil" w:sz="6" w:space="0" w:color="auto"/>
              <w:bottom w:val="single" w:sz="4" w:space="0" w:color="000000"/>
              <w:right w:val="nil" w:sz="6" w:space="0" w:color="auto"/>
            </w:tcBorders>
          </w:tcPr>
          <w:p>
            <w:pPr>
              <w:pStyle w:val="TableParagraph"/>
              <w:spacing w:line="200"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386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tabs>
                <w:tab w:pos="2112" w:val="left" w:leader="none"/>
              </w:tabs>
              <w:spacing w:line="240" w:lineRule="auto"/>
              <w:ind w:left="823" w:right="0"/>
              <w:jc w:val="left"/>
              <w:rPr>
                <w:rFonts w:ascii="宋体" w:hAnsi="宋体" w:cs="宋体" w:eastAsia="宋体" w:hint="default"/>
                <w:sz w:val="18"/>
                <w:szCs w:val="18"/>
              </w:rPr>
            </w:pPr>
            <w:r>
              <w:rPr>
                <w:rFonts w:ascii="宋体" w:hAnsi="宋体" w:cs="宋体" w:eastAsia="宋体" w:hint="default"/>
                <w:b/>
                <w:bCs/>
                <w:sz w:val="18"/>
                <w:szCs w:val="18"/>
              </w:rPr>
              <w:t>金额</w:t>
              <w:tab/>
              <w:t>占总额比例（％）</w:t>
            </w:r>
            <w:r>
              <w:rPr>
                <w:rFonts w:ascii="宋体" w:hAnsi="宋体" w:cs="宋体" w:eastAsia="宋体" w:hint="default"/>
                <w:sz w:val="18"/>
                <w:szCs w:val="18"/>
              </w:rPr>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6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b/>
                <w:bCs/>
                <w:sz w:val="18"/>
                <w:szCs w:val="18"/>
              </w:rPr>
              <w:t>占总额比例（％）</w:t>
            </w:r>
            <w:r>
              <w:rPr>
                <w:rFonts w:ascii="宋体" w:hAnsi="宋体" w:cs="宋体" w:eastAsia="宋体" w:hint="default"/>
                <w:sz w:val="18"/>
                <w:szCs w:val="18"/>
              </w:rPr>
            </w:r>
          </w:p>
        </w:tc>
      </w:tr>
      <w:tr>
        <w:trPr>
          <w:trHeight w:val="491" w:hRule="exact"/>
        </w:trPr>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860" w:type="dxa"/>
            <w:tcBorders>
              <w:top w:val="single" w:sz="4" w:space="0" w:color="000000"/>
              <w:left w:val="nil" w:sz="6" w:space="0" w:color="auto"/>
              <w:bottom w:val="nil" w:sz="6" w:space="0" w:color="auto"/>
              <w:right w:val="nil" w:sz="6" w:space="0" w:color="auto"/>
            </w:tcBorders>
          </w:tcPr>
          <w:p>
            <w:pPr>
              <w:pStyle w:val="TableParagraph"/>
              <w:tabs>
                <w:tab w:pos="2676" w:val="left" w:leader="none"/>
              </w:tabs>
              <w:spacing w:line="240" w:lineRule="auto" w:before="158"/>
              <w:ind w:left="636" w:right="0"/>
              <w:jc w:val="left"/>
              <w:rPr>
                <w:rFonts w:ascii="Times New Roman" w:hAnsi="Times New Roman" w:cs="Times New Roman" w:eastAsia="Times New Roman" w:hint="default"/>
                <w:sz w:val="18"/>
                <w:szCs w:val="18"/>
              </w:rPr>
            </w:pPr>
            <w:r>
              <w:rPr>
                <w:rFonts w:ascii="Times New Roman"/>
                <w:spacing w:val="-1"/>
                <w:sz w:val="18"/>
              </w:rPr>
              <w:t>42,649,105.22</w:t>
              <w:tab/>
            </w:r>
            <w:r>
              <w:rPr>
                <w:rFonts w:ascii="Times New Roman"/>
                <w:sz w:val="18"/>
              </w:rPr>
              <w:t>81.72</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
              <w:jc w:val="right"/>
              <w:rPr>
                <w:rFonts w:ascii="Times New Roman" w:hAnsi="Times New Roman" w:cs="Times New Roman" w:eastAsia="Times New Roman" w:hint="default"/>
                <w:sz w:val="18"/>
                <w:szCs w:val="18"/>
              </w:rPr>
            </w:pPr>
            <w:r>
              <w:rPr>
                <w:rFonts w:ascii="Times New Roman"/>
                <w:spacing w:val="-1"/>
                <w:sz w:val="18"/>
              </w:rPr>
              <w:t>42,777,451.56</w:t>
            </w:r>
          </w:p>
        </w:tc>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076" w:right="0"/>
              <w:jc w:val="left"/>
              <w:rPr>
                <w:rFonts w:ascii="Times New Roman" w:hAnsi="Times New Roman" w:cs="Times New Roman" w:eastAsia="Times New Roman" w:hint="default"/>
                <w:sz w:val="18"/>
                <w:szCs w:val="18"/>
              </w:rPr>
            </w:pPr>
            <w:r>
              <w:rPr>
                <w:rFonts w:ascii="Times New Roman"/>
                <w:sz w:val="18"/>
              </w:rPr>
              <w:t>98.05</w:t>
            </w:r>
          </w:p>
        </w:tc>
      </w:tr>
      <w:tr>
        <w:trPr>
          <w:trHeight w:val="440" w:hRule="exact"/>
        </w:trPr>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860" w:type="dxa"/>
            <w:tcBorders>
              <w:top w:val="nil" w:sz="6" w:space="0" w:color="auto"/>
              <w:left w:val="nil" w:sz="6" w:space="0" w:color="auto"/>
              <w:bottom w:val="nil" w:sz="6" w:space="0" w:color="auto"/>
              <w:right w:val="nil" w:sz="6" w:space="0" w:color="auto"/>
            </w:tcBorders>
          </w:tcPr>
          <w:p>
            <w:pPr>
              <w:pStyle w:val="TableParagraph"/>
              <w:tabs>
                <w:tab w:pos="2676" w:val="left" w:leader="none"/>
              </w:tabs>
              <w:spacing w:line="240" w:lineRule="auto" w:before="111"/>
              <w:ind w:left="725" w:right="0"/>
              <w:jc w:val="left"/>
              <w:rPr>
                <w:rFonts w:ascii="Times New Roman" w:hAnsi="Times New Roman" w:cs="Times New Roman" w:eastAsia="Times New Roman" w:hint="default"/>
                <w:sz w:val="18"/>
                <w:szCs w:val="18"/>
              </w:rPr>
            </w:pPr>
            <w:r>
              <w:rPr>
                <w:rFonts w:ascii="Times New Roman"/>
                <w:spacing w:val="-1"/>
                <w:sz w:val="18"/>
              </w:rPr>
              <w:t>9,177,567.04</w:t>
              <w:tab/>
            </w:r>
            <w:r>
              <w:rPr>
                <w:rFonts w:ascii="Times New Roman"/>
                <w:sz w:val="18"/>
              </w:rPr>
              <w:t>17.58</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
              <w:jc w:val="right"/>
              <w:rPr>
                <w:rFonts w:ascii="Times New Roman" w:hAnsi="Times New Roman" w:cs="Times New Roman" w:eastAsia="Times New Roman" w:hint="default"/>
                <w:sz w:val="18"/>
                <w:szCs w:val="18"/>
              </w:rPr>
            </w:pPr>
            <w:r>
              <w:rPr>
                <w:rFonts w:ascii="Times New Roman"/>
                <w:spacing w:val="-1"/>
                <w:sz w:val="18"/>
              </w:rPr>
              <w:t>437,401.47</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63" w:right="0"/>
              <w:jc w:val="center"/>
              <w:rPr>
                <w:rFonts w:ascii="Times New Roman" w:hAnsi="Times New Roman" w:cs="Times New Roman" w:eastAsia="Times New Roman" w:hint="default"/>
                <w:sz w:val="18"/>
                <w:szCs w:val="18"/>
              </w:rPr>
            </w:pPr>
            <w:r>
              <w:rPr>
                <w:rFonts w:ascii="Times New Roman"/>
                <w:sz w:val="18"/>
              </w:rPr>
              <w:t>1.00</w:t>
            </w:r>
          </w:p>
        </w:tc>
      </w:tr>
      <w:tr>
        <w:trPr>
          <w:trHeight w:val="440" w:hRule="exact"/>
        </w:trPr>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860" w:type="dxa"/>
            <w:tcBorders>
              <w:top w:val="nil" w:sz="6" w:space="0" w:color="auto"/>
              <w:left w:val="nil" w:sz="6" w:space="0" w:color="auto"/>
              <w:bottom w:val="nil" w:sz="6" w:space="0" w:color="auto"/>
              <w:right w:val="nil" w:sz="6" w:space="0" w:color="auto"/>
            </w:tcBorders>
          </w:tcPr>
          <w:p>
            <w:pPr>
              <w:pStyle w:val="TableParagraph"/>
              <w:tabs>
                <w:tab w:pos="2722" w:val="left" w:leader="none"/>
              </w:tabs>
              <w:spacing w:line="240" w:lineRule="auto" w:before="112"/>
              <w:ind w:left="866" w:right="0"/>
              <w:jc w:val="left"/>
              <w:rPr>
                <w:rFonts w:ascii="Times New Roman" w:hAnsi="Times New Roman" w:cs="Times New Roman" w:eastAsia="Times New Roman" w:hint="default"/>
                <w:sz w:val="18"/>
                <w:szCs w:val="18"/>
              </w:rPr>
            </w:pPr>
            <w:r>
              <w:rPr>
                <w:rFonts w:ascii="Times New Roman"/>
                <w:spacing w:val="-1"/>
                <w:sz w:val="18"/>
              </w:rPr>
              <w:t>116,574.79</w:t>
              <w:tab/>
              <w:t>0.22</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
              <w:jc w:val="right"/>
              <w:rPr>
                <w:rFonts w:ascii="Times New Roman" w:hAnsi="Times New Roman" w:cs="Times New Roman" w:eastAsia="Times New Roman" w:hint="default"/>
                <w:sz w:val="18"/>
                <w:szCs w:val="18"/>
              </w:rPr>
            </w:pPr>
            <w:r>
              <w:rPr>
                <w:rFonts w:ascii="Times New Roman"/>
                <w:spacing w:val="-1"/>
                <w:sz w:val="18"/>
              </w:rPr>
              <w:t>345,283.34</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63" w:right="0"/>
              <w:jc w:val="center"/>
              <w:rPr>
                <w:rFonts w:ascii="Times New Roman" w:hAnsi="Times New Roman" w:cs="Times New Roman" w:eastAsia="Times New Roman" w:hint="default"/>
                <w:sz w:val="18"/>
                <w:szCs w:val="18"/>
              </w:rPr>
            </w:pPr>
            <w:r>
              <w:rPr>
                <w:rFonts w:ascii="Times New Roman"/>
                <w:sz w:val="18"/>
              </w:rPr>
              <w:t>0.79</w:t>
            </w:r>
          </w:p>
        </w:tc>
      </w:tr>
      <w:tr>
        <w:trPr>
          <w:trHeight w:val="439" w:hRule="exact"/>
        </w:trPr>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860" w:type="dxa"/>
            <w:tcBorders>
              <w:top w:val="nil" w:sz="6" w:space="0" w:color="auto"/>
              <w:left w:val="nil" w:sz="6" w:space="0" w:color="auto"/>
              <w:bottom w:val="nil" w:sz="6" w:space="0" w:color="auto"/>
              <w:right w:val="nil" w:sz="6" w:space="0" w:color="auto"/>
            </w:tcBorders>
          </w:tcPr>
          <w:p>
            <w:pPr>
              <w:pStyle w:val="TableParagraph"/>
              <w:tabs>
                <w:tab w:pos="2722" w:val="left" w:leader="none"/>
              </w:tabs>
              <w:spacing w:line="240" w:lineRule="auto" w:before="111"/>
              <w:ind w:left="859" w:right="0"/>
              <w:jc w:val="left"/>
              <w:rPr>
                <w:rFonts w:ascii="Times New Roman" w:hAnsi="Times New Roman" w:cs="Times New Roman" w:eastAsia="Times New Roman" w:hint="default"/>
                <w:sz w:val="18"/>
                <w:szCs w:val="18"/>
              </w:rPr>
            </w:pPr>
            <w:r>
              <w:rPr>
                <w:rFonts w:ascii="Times New Roman"/>
                <w:spacing w:val="-1"/>
                <w:sz w:val="18"/>
              </w:rPr>
              <w:t>249,293.51</w:t>
              <w:tab/>
              <w:t>0.48</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
              <w:jc w:val="right"/>
              <w:rPr>
                <w:rFonts w:ascii="Times New Roman" w:hAnsi="Times New Roman" w:cs="Times New Roman" w:eastAsia="Times New Roman" w:hint="default"/>
                <w:sz w:val="18"/>
                <w:szCs w:val="18"/>
              </w:rPr>
            </w:pPr>
            <w:r>
              <w:rPr>
                <w:rFonts w:ascii="Times New Roman"/>
                <w:spacing w:val="-1"/>
                <w:sz w:val="18"/>
              </w:rPr>
              <w:t>68,500.00</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63" w:right="0"/>
              <w:jc w:val="center"/>
              <w:rPr>
                <w:rFonts w:ascii="Times New Roman" w:hAnsi="Times New Roman" w:cs="Times New Roman" w:eastAsia="Times New Roman" w:hint="default"/>
                <w:sz w:val="18"/>
                <w:szCs w:val="18"/>
              </w:rPr>
            </w:pPr>
            <w:r>
              <w:rPr>
                <w:rFonts w:ascii="Times New Roman"/>
                <w:sz w:val="18"/>
              </w:rPr>
              <w:t>0.16</w:t>
            </w:r>
          </w:p>
        </w:tc>
      </w:tr>
      <w:tr>
        <w:trPr>
          <w:trHeight w:val="415" w:hRule="exact"/>
        </w:trPr>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3860" w:type="dxa"/>
            <w:tcBorders>
              <w:top w:val="nil" w:sz="6" w:space="0" w:color="auto"/>
              <w:left w:val="nil" w:sz="6" w:space="0" w:color="auto"/>
              <w:bottom w:val="nil" w:sz="6" w:space="0" w:color="auto"/>
              <w:right w:val="nil" w:sz="6" w:space="0" w:color="auto"/>
            </w:tcBorders>
          </w:tcPr>
          <w:p>
            <w:pPr>
              <w:pStyle w:val="TableParagraph"/>
              <w:tabs>
                <w:tab w:pos="2743" w:val="left" w:leader="none"/>
              </w:tabs>
              <w:spacing w:line="240" w:lineRule="auto" w:before="111"/>
              <w:ind w:left="636"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52,192,540.56</w:t>
            </w:r>
            <w:r>
              <w:rPr>
                <w:rFonts w:ascii="Times New Roman"/>
                <w:spacing w:val="-1"/>
                <w:sz w:val="18"/>
              </w:rPr>
              <w:tab/>
            </w:r>
            <w:r>
              <w:rPr>
                <w:rFonts w:ascii="Times New Roman"/>
                <w:spacing w:val="1"/>
                <w:sz w:val="18"/>
                <w:u w:val="thick" w:color="000000"/>
              </w:rPr>
              <w:t>100</w:t>
            </w:r>
            <w:r>
              <w:rPr>
                <w:rFonts w:ascii="Times New Roman"/>
                <w:spacing w:val="1"/>
                <w:sz w:val="18"/>
              </w:rPr>
            </w:r>
            <w:r>
              <w:rPr>
                <w:rFonts w:ascii="Times New Roman"/>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43,628,636.37</w:t>
            </w:r>
            <w:r>
              <w:rPr>
                <w:rFonts w:ascii="Times New Roman"/>
                <w:spacing w:val="-1"/>
                <w:sz w:val="18"/>
              </w:rPr>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6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4"/>
        <w:rPr>
          <w:rFonts w:ascii="宋体" w:hAnsi="宋体" w:cs="宋体" w:eastAsia="宋体" w:hint="default"/>
          <w:b/>
          <w:bCs/>
          <w:sz w:val="22"/>
          <w:szCs w:val="22"/>
        </w:rPr>
      </w:pPr>
    </w:p>
    <w:p>
      <w:pPr>
        <w:pStyle w:val="BodyText"/>
        <w:spacing w:line="345" w:lineRule="auto" w:before="44"/>
        <w:ind w:left="213" w:right="197" w:firstLine="360"/>
        <w:jc w:val="left"/>
      </w:pPr>
      <w:r>
        <w:rPr/>
        <w:t>（</w:t>
      </w:r>
      <w:r>
        <w:rPr>
          <w:rFonts w:ascii="Times New Roman" w:hAnsi="Times New Roman" w:cs="Times New Roman" w:eastAsia="Times New Roman" w:hint="default"/>
        </w:rPr>
        <w:t>2</w:t>
      </w:r>
      <w:r>
        <w:rPr/>
        <w:t>）期末账龄超过</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年的大额应付账款主要为应付湖南教育出版社有限公司、中国和平出版社有限责任公司、河北紫 鑫图书贸易有限公司未结算货款。</w:t>
      </w:r>
    </w:p>
    <w:p>
      <w:pPr>
        <w:spacing w:line="240" w:lineRule="auto" w:before="10"/>
        <w:rPr>
          <w:rFonts w:ascii="宋体" w:hAnsi="宋体" w:cs="宋体" w:eastAsia="宋体" w:hint="default"/>
          <w:sz w:val="24"/>
          <w:szCs w:val="24"/>
        </w:rPr>
      </w:pPr>
    </w:p>
    <w:p>
      <w:pPr>
        <w:pStyle w:val="BodyText"/>
        <w:spacing w:line="240" w:lineRule="auto"/>
        <w:ind w:left="573" w:right="115"/>
        <w:jc w:val="left"/>
      </w:pPr>
      <w:r>
        <w:rPr/>
        <w:t>（</w:t>
      </w:r>
      <w:r>
        <w:rPr>
          <w:rFonts w:ascii="Times New Roman" w:hAnsi="Times New Roman" w:cs="Times New Roman" w:eastAsia="Times New Roman" w:hint="default"/>
        </w:rPr>
        <w:t>3</w:t>
      </w:r>
      <w:r>
        <w:rPr/>
        <w:t>）本报告期应付账款中无应付持有本公司</w:t>
      </w:r>
      <w:r>
        <w:rPr>
          <w:spacing w:val="-45"/>
        </w:rPr>
        <w:t> </w:t>
      </w:r>
      <w:r>
        <w:rPr>
          <w:rFonts w:ascii="Times New Roman" w:hAnsi="Times New Roman" w:cs="Times New Roman" w:eastAsia="Times New Roman" w:hint="default"/>
        </w:rPr>
        <w:t>5%</w:t>
      </w:r>
      <w:r>
        <w:rPr/>
        <w:t>（含</w:t>
      </w:r>
      <w:r>
        <w:rPr>
          <w:spacing w:val="-45"/>
        </w:rPr>
        <w:t> </w:t>
      </w:r>
      <w:r>
        <w:rPr>
          <w:rFonts w:ascii="Times New Roman" w:hAnsi="Times New Roman" w:cs="Times New Roman" w:eastAsia="Times New Roman" w:hint="default"/>
        </w:rPr>
        <w:t>5%</w:t>
      </w:r>
      <w:r>
        <w:rPr/>
        <w:t>）以上表决权股份的股东单位款项。</w:t>
      </w:r>
    </w:p>
    <w:p>
      <w:pPr>
        <w:spacing w:line="240" w:lineRule="auto" w:before="8"/>
        <w:rPr>
          <w:rFonts w:ascii="宋体" w:hAnsi="宋体" w:cs="宋体" w:eastAsia="宋体" w:hint="default"/>
          <w:sz w:val="20"/>
          <w:szCs w:val="20"/>
        </w:rPr>
      </w:pPr>
    </w:p>
    <w:p>
      <w:pPr>
        <w:pStyle w:val="BodyText"/>
        <w:spacing w:line="240" w:lineRule="auto"/>
        <w:ind w:left="573" w:right="5558"/>
        <w:jc w:val="left"/>
      </w:pPr>
      <w:r>
        <w:rPr/>
        <w:t>（</w:t>
      </w:r>
      <w:r>
        <w:rPr>
          <w:rFonts w:ascii="Times New Roman" w:hAnsi="Times New Roman" w:cs="Times New Roman" w:eastAsia="Times New Roman" w:hint="default"/>
        </w:rPr>
        <w:t>4</w:t>
      </w:r>
      <w:r>
        <w:rPr/>
        <w:t>）应付关联方款项情况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095"/>
        <w:gridCol w:w="2946"/>
        <w:gridCol w:w="2816"/>
      </w:tblGrid>
      <w:tr>
        <w:trPr>
          <w:trHeight w:val="277" w:hRule="exact"/>
        </w:trPr>
        <w:tc>
          <w:tcPr>
            <w:tcW w:w="4095" w:type="dxa"/>
            <w:tcBorders>
              <w:top w:val="nil" w:sz="6" w:space="0" w:color="auto"/>
              <w:left w:val="nil" w:sz="6" w:space="0" w:color="auto"/>
              <w:bottom w:val="single" w:sz="8" w:space="0" w:color="000000"/>
              <w:right w:val="nil" w:sz="6" w:space="0" w:color="auto"/>
            </w:tcBorders>
          </w:tcPr>
          <w:p>
            <w:pPr>
              <w:pStyle w:val="TableParagraph"/>
              <w:spacing w:line="180" w:lineRule="exact"/>
              <w:ind w:right="202"/>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946" w:type="dxa"/>
            <w:tcBorders>
              <w:top w:val="nil" w:sz="6" w:space="0" w:color="auto"/>
              <w:left w:val="nil" w:sz="6" w:space="0" w:color="auto"/>
              <w:bottom w:val="single" w:sz="8" w:space="0" w:color="000000"/>
              <w:right w:val="nil" w:sz="6" w:space="0" w:color="auto"/>
            </w:tcBorders>
          </w:tcPr>
          <w:p>
            <w:pPr>
              <w:pStyle w:val="TableParagraph"/>
              <w:spacing w:line="180" w:lineRule="exact"/>
              <w:ind w:left="9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16" w:type="dxa"/>
            <w:tcBorders>
              <w:top w:val="nil" w:sz="6" w:space="0" w:color="auto"/>
              <w:left w:val="nil" w:sz="6" w:space="0" w:color="auto"/>
              <w:bottom w:val="single" w:sz="8" w:space="0" w:color="000000"/>
              <w:right w:val="nil" w:sz="6" w:space="0" w:color="auto"/>
            </w:tcBorders>
          </w:tcPr>
          <w:p>
            <w:pPr>
              <w:pStyle w:val="TableParagraph"/>
              <w:spacing w:line="180" w:lineRule="exact"/>
              <w:ind w:right="16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8" w:hRule="exact"/>
        </w:trPr>
        <w:tc>
          <w:tcPr>
            <w:tcW w:w="409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2946"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962"/>
              <w:jc w:val="right"/>
              <w:rPr>
                <w:rFonts w:ascii="Times New Roman" w:hAnsi="Times New Roman" w:cs="Times New Roman" w:eastAsia="Times New Roman" w:hint="default"/>
                <w:sz w:val="18"/>
                <w:szCs w:val="18"/>
              </w:rPr>
            </w:pPr>
            <w:r>
              <w:rPr>
                <w:rFonts w:ascii="Times New Roman"/>
                <w:spacing w:val="-1"/>
                <w:sz w:val="18"/>
              </w:rPr>
              <w:t>534,954.20</w:t>
            </w:r>
          </w:p>
        </w:tc>
        <w:tc>
          <w:tcPr>
            <w:tcW w:w="2816"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794"/>
              <w:jc w:val="right"/>
              <w:rPr>
                <w:rFonts w:ascii="Times New Roman" w:hAnsi="Times New Roman" w:cs="Times New Roman" w:eastAsia="Times New Roman" w:hint="default"/>
                <w:sz w:val="18"/>
                <w:szCs w:val="18"/>
              </w:rPr>
            </w:pPr>
            <w:r>
              <w:rPr>
                <w:rFonts w:ascii="Times New Roman"/>
                <w:spacing w:val="-1"/>
                <w:sz w:val="18"/>
              </w:rPr>
              <w:t>182,514.26</w:t>
            </w:r>
          </w:p>
        </w:tc>
      </w:tr>
      <w:tr>
        <w:trPr>
          <w:trHeight w:val="439"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2"/>
              <w:jc w:val="right"/>
              <w:rPr>
                <w:rFonts w:ascii="Times New Roman" w:hAnsi="Times New Roman" w:cs="Times New Roman" w:eastAsia="Times New Roman" w:hint="default"/>
                <w:sz w:val="18"/>
                <w:szCs w:val="18"/>
              </w:rPr>
            </w:pPr>
            <w:r>
              <w:rPr>
                <w:rFonts w:ascii="Times New Roman"/>
                <w:spacing w:val="-1"/>
                <w:sz w:val="18"/>
              </w:rPr>
              <w:t>37,310.41</w:t>
            </w:r>
          </w:p>
        </w:tc>
        <w:tc>
          <w:tcPr>
            <w:tcW w:w="2816" w:type="dxa"/>
            <w:tcBorders>
              <w:top w:val="nil" w:sz="6" w:space="0" w:color="auto"/>
              <w:left w:val="nil" w:sz="6" w:space="0" w:color="auto"/>
              <w:bottom w:val="nil" w:sz="6" w:space="0" w:color="auto"/>
              <w:right w:val="nil" w:sz="6" w:space="0" w:color="auto"/>
            </w:tcBorders>
          </w:tcPr>
          <w:p>
            <w:pPr/>
          </w:p>
        </w:tc>
      </w:tr>
      <w:tr>
        <w:trPr>
          <w:trHeight w:val="31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9"/>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572,264.61</w:t>
            </w:r>
            <w:r>
              <w:rPr>
                <w:rFonts w:ascii="Times New Roman"/>
                <w:spacing w:val="-1"/>
                <w:sz w:val="18"/>
              </w:rPr>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9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182,514.26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20" w:right="920"/>
        </w:sectPr>
      </w:pPr>
    </w:p>
    <w:p>
      <w:pPr>
        <w:spacing w:line="240" w:lineRule="auto" w:before="11"/>
        <w:rPr>
          <w:rFonts w:ascii="宋体" w:hAnsi="宋体" w:cs="宋体" w:eastAsia="宋体" w:hint="default"/>
          <w:sz w:val="20"/>
          <w:szCs w:val="20"/>
        </w:rPr>
      </w:pPr>
    </w:p>
    <w:p>
      <w:pPr>
        <w:pStyle w:val="Heading5"/>
        <w:spacing w:line="240" w:lineRule="auto" w:before="36"/>
        <w:ind w:left="233" w:right="283"/>
        <w:jc w:val="left"/>
        <w:rPr>
          <w:b w:val="0"/>
          <w:bCs w:val="0"/>
        </w:rPr>
      </w:pPr>
      <w:r>
        <w:rPr>
          <w:rFonts w:ascii="Times New Roman" w:hAnsi="Times New Roman" w:cs="Times New Roman" w:eastAsia="Times New Roman" w:hint="default"/>
        </w:rPr>
        <w:t>16</w:t>
      </w:r>
      <w:r>
        <w:rPr/>
        <w:t>、预收款项</w:t>
      </w:r>
      <w:r>
        <w:rPr>
          <w:b w:val="0"/>
          <w:bCs w:val="0"/>
        </w:rPr>
      </w:r>
    </w:p>
    <w:p>
      <w:pPr>
        <w:spacing w:line="240" w:lineRule="auto" w:before="9"/>
        <w:rPr>
          <w:rFonts w:ascii="宋体" w:hAnsi="宋体" w:cs="宋体" w:eastAsia="宋体" w:hint="default"/>
          <w:b/>
          <w:bCs/>
          <w:sz w:val="31"/>
          <w:szCs w:val="31"/>
        </w:rPr>
      </w:pPr>
    </w:p>
    <w:p>
      <w:pPr>
        <w:pStyle w:val="BodyText"/>
        <w:spacing w:line="240" w:lineRule="auto"/>
        <w:ind w:left="593" w:right="283"/>
        <w:jc w:val="left"/>
      </w:pPr>
      <w:r>
        <w:rPr/>
        <w:t>（</w:t>
      </w:r>
      <w:r>
        <w:rPr>
          <w:rFonts w:ascii="Times New Roman" w:hAnsi="Times New Roman" w:cs="Times New Roman" w:eastAsia="Times New Roman" w:hint="default"/>
        </w:rPr>
        <w:t>1</w:t>
      </w:r>
      <w:r>
        <w:rPr/>
        <w:t>）按账龄列示</w:t>
      </w:r>
    </w:p>
    <w:p>
      <w:pPr>
        <w:spacing w:line="240" w:lineRule="auto" w:before="12"/>
        <w:rPr>
          <w:rFonts w:ascii="宋体" w:hAnsi="宋体" w:cs="宋体" w:eastAsia="宋体" w:hint="default"/>
          <w:sz w:val="19"/>
          <w:szCs w:val="19"/>
        </w:rPr>
      </w:pPr>
    </w:p>
    <w:p>
      <w:pPr>
        <w:pStyle w:val="Heading8"/>
        <w:tabs>
          <w:tab w:pos="5898" w:val="left" w:leader="none"/>
        </w:tabs>
        <w:spacing w:line="232" w:lineRule="exact" w:before="44"/>
        <w:ind w:left="1939" w:right="0"/>
        <w:jc w:val="center"/>
        <w:rPr>
          <w:b w:val="0"/>
          <w:bCs w:val="0"/>
        </w:rPr>
      </w:pPr>
      <w:r>
        <w:rPr>
          <w:w w:val="95"/>
        </w:rPr>
        <w:t>期末余额</w:t>
        <w:tab/>
      </w:r>
      <w:r>
        <w:rPr/>
        <w:t>期初余额</w:t>
      </w:r>
      <w:r>
        <w:rPr>
          <w:b w:val="0"/>
          <w:bCs w:val="0"/>
        </w:rPr>
      </w:r>
    </w:p>
    <w:p>
      <w:pPr>
        <w:pStyle w:val="Heading8"/>
        <w:spacing w:line="229" w:lineRule="exact"/>
        <w:ind w:left="823" w:right="283"/>
        <w:jc w:val="left"/>
        <w:rPr>
          <w:b w:val="0"/>
          <w:bCs w:val="0"/>
        </w:rPr>
      </w:pPr>
      <w:r>
        <w:rPr/>
        <w:t>账</w:t>
      </w:r>
      <w:r>
        <w:rPr>
          <w:spacing w:val="89"/>
        </w:rPr>
        <w:t> </w:t>
      </w:r>
      <w:r>
        <w:rPr/>
        <w:t>龄</w:t>
      </w:r>
      <w:r>
        <w:rPr>
          <w:b w:val="0"/>
          <w:bCs w:val="0"/>
        </w:rPr>
      </w:r>
    </w:p>
    <w:p>
      <w:pPr>
        <w:pStyle w:val="Heading8"/>
        <w:tabs>
          <w:tab w:pos="3917" w:val="left" w:leader="none"/>
          <w:tab w:pos="5986" w:val="left" w:leader="none"/>
          <w:tab w:pos="7876" w:val="left" w:leader="none"/>
        </w:tabs>
        <w:spacing w:line="247" w:lineRule="exact"/>
        <w:ind w:left="2028" w:right="0"/>
        <w:jc w:val="center"/>
        <w:rPr>
          <w:b w:val="0"/>
          <w:bCs w:val="0"/>
        </w:rPr>
      </w:pPr>
      <w:r>
        <w:rPr>
          <w:w w:val="95"/>
        </w:rPr>
        <w:t>账面余额</w:t>
        <w:tab/>
        <w:t>比例（</w:t>
      </w:r>
      <w:r>
        <w:rPr>
          <w:rFonts w:ascii="Times New Roman" w:hAnsi="Times New Roman" w:cs="Times New Roman" w:eastAsia="Times New Roman" w:hint="default"/>
          <w:w w:val="95"/>
        </w:rPr>
        <w:t>%</w:t>
      </w:r>
      <w:r>
        <w:rPr>
          <w:w w:val="95"/>
        </w:rPr>
        <w:t>）</w:t>
        <w:tab/>
        <w:t>账面余额</w:t>
        <w:tab/>
      </w:r>
      <w:r>
        <w:rPr/>
        <w:t>比例（</w:t>
      </w:r>
      <w:r>
        <w:rPr>
          <w:rFonts w:ascii="Times New Roman" w:hAnsi="Times New Roman" w:cs="Times New Roman" w:eastAsia="Times New Roman" w:hint="default"/>
        </w:rPr>
        <w:t>%</w:t>
      </w:r>
      <w:r>
        <w:rPr/>
        <w:t>）</w:t>
      </w:r>
      <w:r>
        <w:rPr>
          <w:b w:val="0"/>
          <w:bCs w:val="0"/>
        </w:rPr>
      </w:r>
    </w:p>
    <w:p>
      <w:pPr>
        <w:spacing w:line="240" w:lineRule="auto" w:before="11"/>
        <w:rPr>
          <w:rFonts w:ascii="宋体" w:hAnsi="宋体" w:cs="宋体" w:eastAsia="宋体" w:hint="default"/>
          <w:b/>
          <w:bCs/>
          <w:sz w:val="5"/>
          <w:szCs w:val="5"/>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93.85pt;height:1pt;mso-position-horizontal-relative:char;mso-position-vertical-relative:line" coordorigin="0,0" coordsize="9877,20">
            <v:group style="position:absolute;left:10;top:10;width:1940;height:2" coordorigin="10,10" coordsize="1940,2">
              <v:shape style="position:absolute;left:10;top:10;width:1940;height:2" coordorigin="10,10" coordsize="1940,0" path="m10,10l1949,10e" filled="false" stroked="true" strokeweight=".95999pt" strokecolor="#000000">
                <v:path arrowok="t"/>
              </v:shape>
            </v:group>
            <v:group style="position:absolute;left:1949;top:10;width:20;height:2" coordorigin="1949,10" coordsize="20,2">
              <v:shape style="position:absolute;left:1949;top:10;width:20;height:2" coordorigin="1949,10" coordsize="20,0" path="m1949,10l1968,10e" filled="false" stroked="true" strokeweight=".95999pt" strokecolor="#000000">
                <v:path arrowok="t"/>
              </v:shape>
            </v:group>
            <v:group style="position:absolute;left:1968;top:10;width:1959;height:2" coordorigin="1968,10" coordsize="1959,2">
              <v:shape style="position:absolute;left:1968;top:10;width:1959;height:2" coordorigin="1968,10" coordsize="1959,0" path="m1968,10l3927,10e" filled="false" stroked="true" strokeweight=".95999pt" strokecolor="#000000">
                <v:path arrowok="t"/>
              </v:shape>
            </v:group>
            <v:group style="position:absolute;left:3927;top:10;width:20;height:2" coordorigin="3927,10" coordsize="20,2">
              <v:shape style="position:absolute;left:3927;top:10;width:20;height:2" coordorigin="3927,10" coordsize="20,0" path="m3927,10l3947,10e" filled="false" stroked="true" strokeweight=".95999pt" strokecolor="#000000">
                <v:path arrowok="t"/>
              </v:shape>
            </v:group>
            <v:group style="position:absolute;left:3947;top:10;width:1962;height:2" coordorigin="3947,10" coordsize="1962,2">
              <v:shape style="position:absolute;left:3947;top:10;width:1962;height:2" coordorigin="3947,10" coordsize="1962,0" path="m3947,10l5908,10e" filled="false" stroked="true" strokeweight=".95999pt" strokecolor="#000000">
                <v:path arrowok="t"/>
              </v:shape>
            </v:group>
            <v:group style="position:absolute;left:5908;top:10;width:20;height:2" coordorigin="5908,10" coordsize="20,2">
              <v:shape style="position:absolute;left:5908;top:10;width:20;height:2" coordorigin="5908,10" coordsize="20,0" path="m5908,10l5927,10e" filled="false" stroked="true" strokeweight=".95999pt" strokecolor="#000000">
                <v:path arrowok="t"/>
              </v:shape>
            </v:group>
            <v:group style="position:absolute;left:5927;top:10;width:1959;height:2" coordorigin="5927,10" coordsize="1959,2">
              <v:shape style="position:absolute;left:5927;top:10;width:1959;height:2" coordorigin="5927,10" coordsize="1959,0" path="m5927,10l7886,10e" filled="false" stroked="true" strokeweight=".95999pt" strokecolor="#000000">
                <v:path arrowok="t"/>
              </v:shape>
            </v:group>
            <v:group style="position:absolute;left:7886;top:10;width:20;height:2" coordorigin="7886,10" coordsize="20,2">
              <v:shape style="position:absolute;left:7886;top:10;width:20;height:2" coordorigin="7886,10" coordsize="20,0" path="m7886,10l7905,10e" filled="false" stroked="true" strokeweight=".95999pt" strokecolor="#000000">
                <v:path arrowok="t"/>
              </v:shape>
            </v:group>
            <v:group style="position:absolute;left:7905;top:10;width:1962;height:2" coordorigin="7905,10" coordsize="1962,2">
              <v:shape style="position:absolute;left:7905;top:10;width:1962;height:2" coordorigin="7905,10" coordsize="1962,0" path="m7905,10l9866,10e" filled="false" stroked="true" strokeweight=".95999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5"/>
          <w:szCs w:val="5"/>
        </w:rPr>
      </w:pPr>
    </w:p>
    <w:tbl>
      <w:tblPr>
        <w:tblW w:w="0" w:type="auto"/>
        <w:jc w:val="left"/>
        <w:tblInd w:w="198" w:type="dxa"/>
        <w:tblLayout w:type="fixed"/>
        <w:tblCellMar>
          <w:top w:w="0" w:type="dxa"/>
          <w:left w:w="0" w:type="dxa"/>
          <w:bottom w:w="0" w:type="dxa"/>
          <w:right w:w="0" w:type="dxa"/>
        </w:tblCellMar>
        <w:tblLook w:val="01E0"/>
      </w:tblPr>
      <w:tblGrid>
        <w:gridCol w:w="1931"/>
        <w:gridCol w:w="2128"/>
        <w:gridCol w:w="1724"/>
        <w:gridCol w:w="2220"/>
        <w:gridCol w:w="1021"/>
      </w:tblGrid>
      <w:tr>
        <w:trPr>
          <w:trHeight w:val="415"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22"/>
              <w:jc w:val="right"/>
              <w:rPr>
                <w:rFonts w:ascii="Times New Roman" w:hAnsi="Times New Roman" w:cs="Times New Roman" w:eastAsia="Times New Roman" w:hint="default"/>
                <w:sz w:val="18"/>
                <w:szCs w:val="18"/>
              </w:rPr>
            </w:pPr>
            <w:r>
              <w:rPr>
                <w:rFonts w:ascii="Times New Roman"/>
                <w:spacing w:val="-1"/>
                <w:sz w:val="18"/>
              </w:rPr>
              <w:t>5,622,990.41</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92"/>
              <w:jc w:val="right"/>
              <w:rPr>
                <w:rFonts w:ascii="Times New Roman" w:hAnsi="Times New Roman" w:cs="Times New Roman" w:eastAsia="Times New Roman" w:hint="default"/>
                <w:sz w:val="18"/>
                <w:szCs w:val="18"/>
              </w:rPr>
            </w:pPr>
            <w:r>
              <w:rPr>
                <w:rFonts w:ascii="Times New Roman"/>
                <w:sz w:val="18"/>
              </w:rPr>
              <w:t>94.46</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80"/>
              <w:jc w:val="right"/>
              <w:rPr>
                <w:rFonts w:ascii="Times New Roman" w:hAnsi="Times New Roman" w:cs="Times New Roman" w:eastAsia="Times New Roman" w:hint="default"/>
                <w:sz w:val="18"/>
                <w:szCs w:val="18"/>
              </w:rPr>
            </w:pPr>
            <w:r>
              <w:rPr>
                <w:rFonts w:ascii="Times New Roman"/>
                <w:spacing w:val="-1"/>
                <w:sz w:val="18"/>
              </w:rPr>
              <w:t>931,753.41</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90.30</w:t>
            </w:r>
          </w:p>
        </w:tc>
      </w:tr>
      <w:tr>
        <w:trPr>
          <w:trHeight w:val="440"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0"/>
              <w:jc w:val="right"/>
              <w:rPr>
                <w:rFonts w:ascii="Times New Roman" w:hAnsi="Times New Roman" w:cs="Times New Roman" w:eastAsia="Times New Roman" w:hint="default"/>
                <w:sz w:val="18"/>
                <w:szCs w:val="18"/>
              </w:rPr>
            </w:pPr>
            <w:r>
              <w:rPr>
                <w:rFonts w:ascii="Times New Roman"/>
                <w:spacing w:val="-1"/>
                <w:sz w:val="18"/>
              </w:rPr>
              <w:t>329,713.86</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8"/>
              <w:jc w:val="right"/>
              <w:rPr>
                <w:rFonts w:ascii="Times New Roman" w:hAnsi="Times New Roman" w:cs="Times New Roman" w:eastAsia="Times New Roman" w:hint="default"/>
                <w:sz w:val="18"/>
                <w:szCs w:val="18"/>
              </w:rPr>
            </w:pPr>
            <w:r>
              <w:rPr>
                <w:rFonts w:ascii="Times New Roman"/>
                <w:spacing w:val="-1"/>
                <w:sz w:val="18"/>
              </w:rPr>
              <w:t>5.54</w:t>
            </w:r>
          </w:p>
        </w:tc>
        <w:tc>
          <w:tcPr>
            <w:tcW w:w="2220"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r>
      <w:tr>
        <w:trPr>
          <w:trHeight w:val="440"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28"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80"/>
              <w:jc w:val="right"/>
              <w:rPr>
                <w:rFonts w:ascii="Times New Roman" w:hAnsi="Times New Roman" w:cs="Times New Roman" w:eastAsia="Times New Roman" w:hint="default"/>
                <w:sz w:val="18"/>
                <w:szCs w:val="18"/>
              </w:rPr>
            </w:pPr>
            <w:r>
              <w:rPr>
                <w:rFonts w:ascii="Times New Roman"/>
                <w:spacing w:val="-1"/>
                <w:sz w:val="18"/>
              </w:rPr>
              <w:t>100,079.01</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
              <w:jc w:val="right"/>
              <w:rPr>
                <w:rFonts w:ascii="Times New Roman" w:hAnsi="Times New Roman" w:cs="Times New Roman" w:eastAsia="Times New Roman" w:hint="default"/>
                <w:sz w:val="18"/>
                <w:szCs w:val="18"/>
              </w:rPr>
            </w:pPr>
            <w:r>
              <w:rPr>
                <w:rFonts w:ascii="Times New Roman"/>
                <w:spacing w:val="-1"/>
                <w:sz w:val="18"/>
              </w:rPr>
              <w:t>9.70</w:t>
            </w:r>
          </w:p>
        </w:tc>
      </w:tr>
      <w:tr>
        <w:trPr>
          <w:trHeight w:val="415"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5,952,704.27</w:t>
            </w:r>
            <w:r>
              <w:rPr>
                <w:rFonts w:ascii="Times New Roman"/>
                <w:spacing w:val="-1"/>
                <w:sz w:val="18"/>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5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1,031,832.42</w:t>
            </w:r>
            <w:r>
              <w:rPr>
                <w:rFonts w:ascii="Times New Roman"/>
                <w:spacing w:val="-1"/>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2"/>
        <w:rPr>
          <w:rFonts w:ascii="宋体" w:hAnsi="宋体" w:cs="宋体" w:eastAsia="宋体" w:hint="default"/>
          <w:b/>
          <w:bCs/>
          <w:sz w:val="22"/>
          <w:szCs w:val="22"/>
        </w:rPr>
      </w:pPr>
    </w:p>
    <w:p>
      <w:pPr>
        <w:pStyle w:val="BodyText"/>
        <w:spacing w:line="240" w:lineRule="auto" w:before="44"/>
        <w:ind w:left="593" w:right="283"/>
        <w:jc w:val="left"/>
      </w:pPr>
      <w:r>
        <w:rPr/>
        <w:t>（</w:t>
      </w:r>
      <w:r>
        <w:rPr>
          <w:rFonts w:ascii="Times New Roman" w:hAnsi="Times New Roman" w:cs="Times New Roman" w:eastAsia="Times New Roman" w:hint="default"/>
        </w:rPr>
        <w:t>2</w:t>
      </w:r>
      <w:r>
        <w:rPr/>
        <w:t>）本报告期预收款项中无预收持有本公司</w:t>
      </w:r>
      <w:r>
        <w:rPr>
          <w:spacing w:val="-46"/>
        </w:rPr>
        <w:t> </w:t>
      </w:r>
      <w:r>
        <w:rPr>
          <w:rFonts w:ascii="Times New Roman" w:hAnsi="Times New Roman" w:cs="Times New Roman" w:eastAsia="Times New Roman" w:hint="default"/>
        </w:rPr>
        <w:t>5%</w:t>
      </w:r>
      <w:r>
        <w:rPr/>
        <w:t>（含</w:t>
      </w:r>
      <w:r>
        <w:rPr>
          <w:spacing w:val="-45"/>
        </w:rPr>
        <w:t> </w:t>
      </w:r>
      <w:r>
        <w:rPr>
          <w:rFonts w:ascii="Times New Roman" w:hAnsi="Times New Roman" w:cs="Times New Roman" w:eastAsia="Times New Roman" w:hint="default"/>
        </w:rPr>
        <w:t>5%</w:t>
      </w:r>
      <w:r>
        <w:rPr/>
        <w:t>）以上表决权股份的股东单位及其他关联方的款项。</w:t>
      </w:r>
    </w:p>
    <w:p>
      <w:pPr>
        <w:spacing w:line="240" w:lineRule="auto" w:before="8"/>
        <w:rPr>
          <w:rFonts w:ascii="宋体" w:hAnsi="宋体" w:cs="宋体" w:eastAsia="宋体" w:hint="default"/>
          <w:sz w:val="20"/>
          <w:szCs w:val="20"/>
        </w:rPr>
      </w:pPr>
    </w:p>
    <w:p>
      <w:pPr>
        <w:pStyle w:val="BodyText"/>
        <w:spacing w:line="345" w:lineRule="auto"/>
        <w:ind w:left="233" w:right="222" w:firstLine="343"/>
        <w:jc w:val="left"/>
      </w:pPr>
      <w:r>
        <w:rPr>
          <w:spacing w:val="-6"/>
        </w:rPr>
        <w:t>（</w:t>
      </w:r>
      <w:r>
        <w:rPr>
          <w:rFonts w:ascii="Times New Roman" w:hAnsi="Times New Roman" w:cs="Times New Roman" w:eastAsia="Times New Roman" w:hint="default"/>
          <w:spacing w:val="-6"/>
        </w:rPr>
        <w:t>3</w:t>
      </w:r>
      <w:r>
        <w:rPr>
          <w:spacing w:val="-6"/>
        </w:rPr>
        <w:t>）预收款项期末余额较期初余额增加</w:t>
      </w:r>
      <w:r>
        <w:rPr>
          <w:spacing w:val="-54"/>
        </w:rPr>
        <w:t> </w:t>
      </w:r>
      <w:r>
        <w:rPr>
          <w:rFonts w:ascii="Times New Roman" w:hAnsi="Times New Roman" w:cs="Times New Roman" w:eastAsia="Times New Roman" w:hint="default"/>
          <w:spacing w:val="-4"/>
        </w:rPr>
        <w:t>492.08 </w:t>
      </w:r>
      <w:r>
        <w:rPr>
          <w:spacing w:val="-8"/>
        </w:rPr>
        <w:t>万元，增长</w:t>
      </w:r>
      <w:r>
        <w:rPr>
          <w:spacing w:val="-55"/>
        </w:rPr>
        <w:t> </w:t>
      </w:r>
      <w:r>
        <w:rPr>
          <w:rFonts w:ascii="Times New Roman" w:hAnsi="Times New Roman" w:cs="Times New Roman" w:eastAsia="Times New Roman" w:hint="default"/>
          <w:spacing w:val="-3"/>
        </w:rPr>
        <w:t>4.77</w:t>
      </w:r>
      <w:r>
        <w:rPr>
          <w:rFonts w:ascii="Times New Roman" w:hAnsi="Times New Roman" w:cs="Times New Roman" w:eastAsia="Times New Roman" w:hint="default"/>
          <w:spacing w:val="-4"/>
        </w:rPr>
        <w:t> </w:t>
      </w:r>
      <w:r>
        <w:rPr>
          <w:spacing w:val="-4"/>
        </w:rPr>
        <w:t>倍，主要原因为本期预收拟出售的位于长沙市长沙县星沙</w:t>
      </w:r>
      <w:r>
        <w:rPr/>
        <w:t> 镇的闲置办公楼款项。</w:t>
      </w:r>
    </w:p>
    <w:p>
      <w:pPr>
        <w:spacing w:line="240" w:lineRule="auto" w:before="6"/>
        <w:rPr>
          <w:rFonts w:ascii="宋体" w:hAnsi="宋体" w:cs="宋体" w:eastAsia="宋体" w:hint="default"/>
          <w:sz w:val="19"/>
          <w:szCs w:val="19"/>
        </w:rPr>
      </w:pPr>
    </w:p>
    <w:p>
      <w:pPr>
        <w:pStyle w:val="Heading5"/>
        <w:spacing w:line="240" w:lineRule="auto"/>
        <w:ind w:left="233" w:right="283"/>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3236"/>
        <w:gridCol w:w="1951"/>
        <w:gridCol w:w="1564"/>
        <w:gridCol w:w="1631"/>
        <w:gridCol w:w="1475"/>
      </w:tblGrid>
      <w:tr>
        <w:trPr>
          <w:trHeight w:val="279" w:hRule="exact"/>
        </w:trPr>
        <w:tc>
          <w:tcPr>
            <w:tcW w:w="3236" w:type="dxa"/>
            <w:tcBorders>
              <w:top w:val="nil" w:sz="6" w:space="0" w:color="auto"/>
              <w:left w:val="nil" w:sz="6" w:space="0" w:color="auto"/>
              <w:bottom w:val="single" w:sz="8" w:space="0" w:color="000000"/>
              <w:right w:val="nil" w:sz="6" w:space="0" w:color="auto"/>
            </w:tcBorders>
          </w:tcPr>
          <w:p>
            <w:pPr>
              <w:pStyle w:val="TableParagraph"/>
              <w:spacing w:line="180" w:lineRule="exact"/>
              <w:ind w:left="99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51" w:type="dxa"/>
            <w:tcBorders>
              <w:top w:val="nil" w:sz="6" w:space="0" w:color="auto"/>
              <w:left w:val="nil" w:sz="6" w:space="0" w:color="auto"/>
              <w:bottom w:val="single" w:sz="8" w:space="0" w:color="000000"/>
              <w:right w:val="nil" w:sz="6" w:space="0" w:color="auto"/>
            </w:tcBorders>
          </w:tcPr>
          <w:p>
            <w:pPr>
              <w:pStyle w:val="TableParagraph"/>
              <w:spacing w:line="180" w:lineRule="exact"/>
              <w:ind w:left="78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64" w:type="dxa"/>
            <w:tcBorders>
              <w:top w:val="nil" w:sz="6" w:space="0" w:color="auto"/>
              <w:left w:val="nil" w:sz="6" w:space="0" w:color="auto"/>
              <w:bottom w:val="single" w:sz="8" w:space="0" w:color="000000"/>
              <w:right w:val="nil" w:sz="6" w:space="0" w:color="auto"/>
            </w:tcBorders>
          </w:tcPr>
          <w:p>
            <w:pPr>
              <w:pStyle w:val="TableParagraph"/>
              <w:spacing w:line="180" w:lineRule="exact"/>
              <w:ind w:left="40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31" w:type="dxa"/>
            <w:tcBorders>
              <w:top w:val="nil" w:sz="6" w:space="0" w:color="auto"/>
              <w:left w:val="nil" w:sz="6" w:space="0" w:color="auto"/>
              <w:bottom w:val="single" w:sz="8" w:space="0" w:color="000000"/>
              <w:right w:val="nil" w:sz="6" w:space="0" w:color="auto"/>
            </w:tcBorders>
          </w:tcPr>
          <w:p>
            <w:pPr>
              <w:pStyle w:val="TableParagraph"/>
              <w:spacing w:line="180" w:lineRule="exact"/>
              <w:ind w:left="400"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475" w:type="dxa"/>
            <w:tcBorders>
              <w:top w:val="nil" w:sz="6" w:space="0" w:color="auto"/>
              <w:left w:val="nil" w:sz="6" w:space="0" w:color="auto"/>
              <w:bottom w:val="single" w:sz="8"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6" w:hRule="exact"/>
        </w:trPr>
        <w:tc>
          <w:tcPr>
            <w:tcW w:w="3236"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951"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263"/>
              <w:jc w:val="right"/>
              <w:rPr>
                <w:rFonts w:ascii="Times New Roman" w:hAnsi="Times New Roman" w:cs="Times New Roman" w:eastAsia="Times New Roman" w:hint="default"/>
                <w:sz w:val="18"/>
                <w:szCs w:val="18"/>
              </w:rPr>
            </w:pPr>
            <w:r>
              <w:rPr>
                <w:rFonts w:ascii="Times New Roman"/>
                <w:spacing w:val="-1"/>
                <w:sz w:val="18"/>
              </w:rPr>
              <w:t>93,600.00</w:t>
            </w:r>
          </w:p>
        </w:tc>
        <w:tc>
          <w:tcPr>
            <w:tcW w:w="1564"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262"/>
              <w:jc w:val="right"/>
              <w:rPr>
                <w:rFonts w:ascii="Times New Roman" w:hAnsi="Times New Roman" w:cs="Times New Roman" w:eastAsia="Times New Roman" w:hint="default"/>
                <w:sz w:val="18"/>
                <w:szCs w:val="18"/>
              </w:rPr>
            </w:pPr>
            <w:r>
              <w:rPr>
                <w:rFonts w:ascii="Times New Roman"/>
                <w:spacing w:val="-1"/>
                <w:sz w:val="18"/>
              </w:rPr>
              <w:t>24,352,479.51</w:t>
            </w:r>
          </w:p>
        </w:tc>
        <w:tc>
          <w:tcPr>
            <w:tcW w:w="1631"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330"/>
              <w:jc w:val="right"/>
              <w:rPr>
                <w:rFonts w:ascii="Times New Roman" w:hAnsi="Times New Roman" w:cs="Times New Roman" w:eastAsia="Times New Roman" w:hint="default"/>
                <w:sz w:val="18"/>
                <w:szCs w:val="18"/>
              </w:rPr>
            </w:pPr>
            <w:r>
              <w:rPr>
                <w:rFonts w:ascii="Times New Roman"/>
                <w:spacing w:val="-1"/>
                <w:sz w:val="18"/>
              </w:rPr>
              <w:t>24,098,371.90</w:t>
            </w:r>
          </w:p>
        </w:tc>
        <w:tc>
          <w:tcPr>
            <w:tcW w:w="1475"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243"/>
              <w:jc w:val="right"/>
              <w:rPr>
                <w:rFonts w:ascii="Times New Roman" w:hAnsi="Times New Roman" w:cs="Times New Roman" w:eastAsia="Times New Roman" w:hint="default"/>
                <w:sz w:val="18"/>
                <w:szCs w:val="18"/>
              </w:rPr>
            </w:pPr>
            <w:r>
              <w:rPr>
                <w:rFonts w:ascii="Times New Roman"/>
                <w:spacing w:val="-1"/>
                <w:sz w:val="18"/>
              </w:rPr>
              <w:t>347,707.61</w:t>
            </w:r>
          </w:p>
        </w:tc>
      </w:tr>
      <w:tr>
        <w:trPr>
          <w:trHeight w:val="441"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pacing w:val="-1"/>
                <w:sz w:val="18"/>
              </w:rPr>
              <w:t>547,811.35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547,811.35</w:t>
            </w:r>
          </w:p>
        </w:tc>
        <w:tc>
          <w:tcPr>
            <w:tcW w:w="1475" w:type="dxa"/>
            <w:tcBorders>
              <w:top w:val="nil" w:sz="6" w:space="0" w:color="auto"/>
              <w:left w:val="nil" w:sz="6" w:space="0" w:color="auto"/>
              <w:bottom w:val="nil" w:sz="6" w:space="0" w:color="auto"/>
              <w:right w:val="nil" w:sz="6" w:space="0" w:color="auto"/>
            </w:tcBorders>
          </w:tcPr>
          <w:p>
            <w:pPr/>
          </w:p>
        </w:tc>
      </w:tr>
      <w:tr>
        <w:trPr>
          <w:trHeight w:val="441"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2,294,658.05</w:t>
            </w:r>
            <w:r>
              <w:rPr>
                <w:rFonts w:ascii="Times New Roman"/>
                <w:spacing w:val="-1"/>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2,291,555.91</w:t>
            </w:r>
            <w:r>
              <w:rPr>
                <w:rFonts w:ascii="Times New Roman"/>
                <w:spacing w:val="-1"/>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2"/>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single" w:color="000000"/>
              </w:rPr>
              <w:t>3,102.14</w:t>
            </w:r>
            <w:r>
              <w:rPr>
                <w:rFonts w:ascii="Times New Roman"/>
                <w:w w:val="95"/>
                <w:sz w:val="18"/>
              </w:rPr>
            </w:r>
          </w:p>
        </w:tc>
      </w:tr>
      <w:tr>
        <w:trPr>
          <w:trHeight w:val="43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pacing w:val="-1"/>
                <w:sz w:val="18"/>
              </w:rPr>
              <w:t>613,855.09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612,670.01</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2"/>
              <w:jc w:val="right"/>
              <w:rPr>
                <w:rFonts w:ascii="Times New Roman" w:hAnsi="Times New Roman" w:cs="Times New Roman" w:eastAsia="Times New Roman" w:hint="default"/>
                <w:sz w:val="18"/>
                <w:szCs w:val="18"/>
              </w:rPr>
            </w:pPr>
            <w:r>
              <w:rPr>
                <w:rFonts w:ascii="Times New Roman"/>
                <w:w w:val="95"/>
                <w:sz w:val="18"/>
              </w:rPr>
              <w:t>1,185.08</w:t>
            </w:r>
          </w:p>
        </w:tc>
      </w:tr>
      <w:tr>
        <w:trPr>
          <w:trHeight w:val="44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pacing w:val="-1"/>
                <w:sz w:val="18"/>
              </w:rPr>
              <w:t>1,451,971.09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1,450,531.88</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2"/>
              <w:jc w:val="right"/>
              <w:rPr>
                <w:rFonts w:ascii="Times New Roman" w:hAnsi="Times New Roman" w:cs="Times New Roman" w:eastAsia="Times New Roman" w:hint="default"/>
                <w:sz w:val="18"/>
                <w:szCs w:val="18"/>
              </w:rPr>
            </w:pPr>
            <w:r>
              <w:rPr>
                <w:rFonts w:ascii="Times New Roman"/>
                <w:w w:val="95"/>
                <w:sz w:val="18"/>
              </w:rPr>
              <w:t>1,439.21</w:t>
            </w:r>
          </w:p>
        </w:tc>
      </w:tr>
      <w:tr>
        <w:trPr>
          <w:trHeight w:val="44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43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pacing w:val="-1"/>
                <w:sz w:val="18"/>
              </w:rPr>
              <w:t>121,189.96</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120,896.93</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2"/>
              <w:jc w:val="right"/>
              <w:rPr>
                <w:rFonts w:ascii="Times New Roman" w:hAnsi="Times New Roman" w:cs="Times New Roman" w:eastAsia="Times New Roman" w:hint="default"/>
                <w:sz w:val="18"/>
                <w:szCs w:val="18"/>
              </w:rPr>
            </w:pPr>
            <w:r>
              <w:rPr>
                <w:rFonts w:ascii="Times New Roman"/>
                <w:spacing w:val="-1"/>
                <w:sz w:val="18"/>
              </w:rPr>
              <w:t>293.03</w:t>
            </w:r>
          </w:p>
        </w:tc>
      </w:tr>
      <w:tr>
        <w:trPr>
          <w:trHeight w:val="44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pacing w:val="-1"/>
                <w:sz w:val="18"/>
              </w:rPr>
              <w:t>57,469.42</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57,401.81</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2"/>
              <w:jc w:val="right"/>
              <w:rPr>
                <w:rFonts w:ascii="Times New Roman" w:hAnsi="Times New Roman" w:cs="Times New Roman" w:eastAsia="Times New Roman" w:hint="default"/>
                <w:sz w:val="18"/>
                <w:szCs w:val="18"/>
              </w:rPr>
            </w:pPr>
            <w:r>
              <w:rPr>
                <w:rFonts w:ascii="Times New Roman"/>
                <w:sz w:val="18"/>
              </w:rPr>
              <w:t>67.61</w:t>
            </w:r>
          </w:p>
        </w:tc>
      </w:tr>
      <w:tr>
        <w:trPr>
          <w:trHeight w:val="44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2"/>
              <w:jc w:val="right"/>
              <w:rPr>
                <w:rFonts w:ascii="Times New Roman" w:hAnsi="Times New Roman" w:cs="Times New Roman" w:eastAsia="Times New Roman" w:hint="default"/>
                <w:sz w:val="18"/>
                <w:szCs w:val="18"/>
              </w:rPr>
            </w:pPr>
            <w:r>
              <w:rPr>
                <w:rFonts w:ascii="Times New Roman"/>
                <w:spacing w:val="-1"/>
                <w:sz w:val="18"/>
              </w:rPr>
              <w:t>50,172.49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0"/>
              <w:jc w:val="right"/>
              <w:rPr>
                <w:rFonts w:ascii="Times New Roman" w:hAnsi="Times New Roman" w:cs="Times New Roman" w:eastAsia="Times New Roman" w:hint="default"/>
                <w:sz w:val="18"/>
                <w:szCs w:val="18"/>
              </w:rPr>
            </w:pPr>
            <w:r>
              <w:rPr>
                <w:rFonts w:ascii="Times New Roman"/>
                <w:spacing w:val="-1"/>
                <w:sz w:val="18"/>
              </w:rPr>
              <w:t>50,055.28</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2"/>
              <w:jc w:val="right"/>
              <w:rPr>
                <w:rFonts w:ascii="Times New Roman" w:hAnsi="Times New Roman" w:cs="Times New Roman" w:eastAsia="Times New Roman" w:hint="default"/>
                <w:sz w:val="18"/>
                <w:szCs w:val="18"/>
              </w:rPr>
            </w:pPr>
            <w:r>
              <w:rPr>
                <w:rFonts w:ascii="Times New Roman"/>
                <w:spacing w:val="-1"/>
                <w:sz w:val="18"/>
              </w:rPr>
              <w:t>117.21</w:t>
            </w:r>
          </w:p>
        </w:tc>
      </w:tr>
      <w:tr>
        <w:trPr>
          <w:trHeight w:val="43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3"/>
              <w:jc w:val="right"/>
              <w:rPr>
                <w:rFonts w:ascii="Times New Roman" w:hAnsi="Times New Roman" w:cs="Times New Roman" w:eastAsia="Times New Roman" w:hint="default"/>
                <w:sz w:val="18"/>
                <w:szCs w:val="18"/>
              </w:rPr>
            </w:pPr>
            <w:r>
              <w:rPr>
                <w:rFonts w:ascii="Times New Roman"/>
                <w:spacing w:val="-1"/>
                <w:sz w:val="18"/>
              </w:rPr>
              <w:t>583,761.00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583,761.00</w:t>
            </w:r>
          </w:p>
        </w:tc>
        <w:tc>
          <w:tcPr>
            <w:tcW w:w="1475" w:type="dxa"/>
            <w:tcBorders>
              <w:top w:val="nil" w:sz="6" w:space="0" w:color="auto"/>
              <w:left w:val="nil" w:sz="6" w:space="0" w:color="auto"/>
              <w:bottom w:val="nil" w:sz="6" w:space="0" w:color="auto"/>
              <w:right w:val="nil" w:sz="6" w:space="0" w:color="auto"/>
            </w:tcBorders>
          </w:tcPr>
          <w:p>
            <w:pPr/>
          </w:p>
        </w:tc>
      </w:tr>
      <w:tr>
        <w:trPr>
          <w:trHeight w:val="441"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3"/>
              <w:jc w:val="right"/>
              <w:rPr>
                <w:rFonts w:ascii="Times New Roman" w:hAnsi="Times New Roman" w:cs="Times New Roman" w:eastAsia="Times New Roman" w:hint="default"/>
                <w:sz w:val="18"/>
                <w:szCs w:val="18"/>
              </w:rPr>
            </w:pPr>
            <w:r>
              <w:rPr>
                <w:rFonts w:ascii="Times New Roman"/>
                <w:spacing w:val="-1"/>
                <w:sz w:val="18"/>
              </w:rPr>
              <w:t>34,039.27</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pacing w:val="-1"/>
                <w:sz w:val="18"/>
              </w:rPr>
              <w:t>512,469.53</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0"/>
              <w:jc w:val="right"/>
              <w:rPr>
                <w:rFonts w:ascii="Times New Roman" w:hAnsi="Times New Roman" w:cs="Times New Roman" w:eastAsia="Times New Roman" w:hint="default"/>
                <w:sz w:val="18"/>
                <w:szCs w:val="18"/>
              </w:rPr>
            </w:pPr>
            <w:r>
              <w:rPr>
                <w:rFonts w:ascii="Times New Roman"/>
                <w:spacing w:val="-1"/>
                <w:sz w:val="18"/>
              </w:rPr>
              <w:t>523,548.63</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2"/>
              <w:jc w:val="right"/>
              <w:rPr>
                <w:rFonts w:ascii="Times New Roman" w:hAnsi="Times New Roman" w:cs="Times New Roman" w:eastAsia="Times New Roman" w:hint="default"/>
                <w:sz w:val="18"/>
                <w:szCs w:val="18"/>
              </w:rPr>
            </w:pPr>
            <w:r>
              <w:rPr>
                <w:rFonts w:ascii="Times New Roman"/>
                <w:spacing w:val="-1"/>
                <w:sz w:val="18"/>
              </w:rPr>
              <w:t>22,960.17</w:t>
            </w:r>
          </w:p>
        </w:tc>
      </w:tr>
      <w:tr>
        <w:trPr>
          <w:trHeight w:val="435"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43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44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44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951"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1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127,639.27</w:t>
            </w:r>
            <w:r>
              <w:rPr>
                <w:rFonts w:ascii="Times New Roman"/>
                <w:spacing w:val="-1"/>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28,291,179.44</w:t>
            </w:r>
            <w:r>
              <w:rPr>
                <w:rFonts w:ascii="Times New Roman"/>
                <w:spacing w:val="-1"/>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28,045,048.79</w:t>
            </w:r>
            <w:r>
              <w:rPr>
                <w:rFonts w:ascii="Times New Roman"/>
                <w:spacing w:val="-1"/>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373,769.92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00" w:right="900"/>
        </w:sectPr>
      </w:pPr>
    </w:p>
    <w:p>
      <w:pPr>
        <w:spacing w:line="240" w:lineRule="auto" w:before="12"/>
        <w:rPr>
          <w:rFonts w:ascii="宋体" w:hAnsi="宋体" w:cs="宋体" w:eastAsia="宋体" w:hint="default"/>
          <w:b/>
          <w:bCs/>
          <w:sz w:val="26"/>
          <w:szCs w:val="26"/>
        </w:rPr>
      </w:pPr>
    </w:p>
    <w:p>
      <w:pPr>
        <w:pStyle w:val="BodyText"/>
        <w:spacing w:line="240" w:lineRule="auto" w:before="44"/>
        <w:ind w:left="573" w:right="0"/>
        <w:jc w:val="left"/>
      </w:pPr>
      <w:r>
        <w:rPr/>
        <w:t>注：应付职工薪酬中工资、奖金、津贴和补贴期末余额</w:t>
      </w:r>
      <w:r>
        <w:rPr>
          <w:spacing w:val="-46"/>
        </w:rPr>
        <w:t> </w:t>
      </w:r>
      <w:r>
        <w:rPr>
          <w:rFonts w:ascii="Times New Roman" w:hAnsi="Times New Roman" w:cs="Times New Roman" w:eastAsia="Times New Roman" w:hint="default"/>
        </w:rPr>
        <w:t>347,707.61 </w:t>
      </w:r>
      <w:r>
        <w:rPr/>
        <w:t>元在</w:t>
      </w:r>
      <w:r>
        <w:rPr>
          <w:spacing w:val="-47"/>
        </w:rPr>
        <w:t> </w:t>
      </w:r>
      <w:r>
        <w:rPr>
          <w:rFonts w:ascii="Times New Roman" w:hAnsi="Times New Roman" w:cs="Times New Roman" w:eastAsia="Times New Roman" w:hint="default"/>
        </w:rPr>
        <w:t>2013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月已发放完毕。</w:t>
      </w:r>
    </w:p>
    <w:p>
      <w:pPr>
        <w:spacing w:line="240" w:lineRule="auto" w:before="9"/>
        <w:rPr>
          <w:rFonts w:ascii="宋体" w:hAnsi="宋体" w:cs="宋体" w:eastAsia="宋体" w:hint="default"/>
          <w:sz w:val="24"/>
          <w:szCs w:val="24"/>
        </w:rPr>
      </w:pPr>
    </w:p>
    <w:p>
      <w:pPr>
        <w:pStyle w:val="Heading5"/>
        <w:spacing w:line="240" w:lineRule="auto"/>
        <w:ind w:left="213" w:right="0"/>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2848"/>
        <w:gridCol w:w="2023"/>
        <w:gridCol w:w="2612"/>
        <w:gridCol w:w="2373"/>
      </w:tblGrid>
      <w:tr>
        <w:trPr>
          <w:trHeight w:val="272" w:hRule="exact"/>
        </w:trPr>
        <w:tc>
          <w:tcPr>
            <w:tcW w:w="2848" w:type="dxa"/>
            <w:tcBorders>
              <w:top w:val="nil" w:sz="6" w:space="0" w:color="auto"/>
              <w:left w:val="nil" w:sz="6" w:space="0" w:color="auto"/>
              <w:bottom w:val="single" w:sz="4" w:space="0" w:color="000000"/>
              <w:right w:val="nil" w:sz="6" w:space="0" w:color="auto"/>
            </w:tcBorders>
          </w:tcPr>
          <w:p>
            <w:pPr>
              <w:pStyle w:val="TableParagraph"/>
              <w:spacing w:line="180" w:lineRule="exact"/>
              <w:ind w:left="25" w:right="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2023" w:type="dxa"/>
            <w:tcBorders>
              <w:top w:val="nil" w:sz="6" w:space="0" w:color="auto"/>
              <w:left w:val="nil" w:sz="6" w:space="0" w:color="auto"/>
              <w:bottom w:val="single" w:sz="4" w:space="0" w:color="000000"/>
              <w:right w:val="nil" w:sz="6" w:space="0" w:color="auto"/>
            </w:tcBorders>
          </w:tcPr>
          <w:p>
            <w:pPr>
              <w:pStyle w:val="TableParagraph"/>
              <w:spacing w:line="194" w:lineRule="exact"/>
              <w:ind w:right="414"/>
              <w:jc w:val="center"/>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85"/>
                <w:sz w:val="18"/>
                <w:szCs w:val="18"/>
              </w:rPr>
              <w:t> </w:t>
            </w:r>
            <w:r>
              <w:rPr>
                <w:rFonts w:ascii="宋体" w:hAnsi="宋体" w:cs="宋体" w:eastAsia="宋体" w:hint="default"/>
                <w:b/>
                <w:bCs/>
                <w:sz w:val="18"/>
                <w:szCs w:val="18"/>
              </w:rPr>
              <w:t>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12" w:type="dxa"/>
            <w:tcBorders>
              <w:top w:val="nil" w:sz="6" w:space="0" w:color="auto"/>
              <w:left w:val="nil" w:sz="6" w:space="0" w:color="auto"/>
              <w:bottom w:val="single" w:sz="4" w:space="0" w:color="000000"/>
              <w:right w:val="nil" w:sz="6" w:space="0" w:color="auto"/>
            </w:tcBorders>
          </w:tcPr>
          <w:p>
            <w:pPr>
              <w:pStyle w:val="TableParagraph"/>
              <w:spacing w:line="180" w:lineRule="exact"/>
              <w:ind w:left="67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73" w:type="dxa"/>
            <w:tcBorders>
              <w:top w:val="nil" w:sz="6" w:space="0" w:color="auto"/>
              <w:left w:val="nil" w:sz="6" w:space="0" w:color="auto"/>
              <w:bottom w:val="single" w:sz="4" w:space="0" w:color="000000"/>
              <w:right w:val="nil" w:sz="6" w:space="0" w:color="auto"/>
            </w:tcBorders>
          </w:tcPr>
          <w:p>
            <w:pPr>
              <w:pStyle w:val="TableParagraph"/>
              <w:spacing w:line="180" w:lineRule="exact"/>
              <w:ind w:left="5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1" w:hRule="exact"/>
        </w:trPr>
        <w:tc>
          <w:tcPr>
            <w:tcW w:w="284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2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10"/>
              <w:jc w:val="center"/>
              <w:rPr>
                <w:rFonts w:ascii="Times New Roman" w:hAnsi="Times New Roman" w:cs="Times New Roman" w:eastAsia="Times New Roman" w:hint="default"/>
                <w:sz w:val="18"/>
                <w:szCs w:val="18"/>
              </w:rPr>
            </w:pPr>
            <w:r>
              <w:rPr>
                <w:rFonts w:ascii="Times New Roman"/>
                <w:sz w:val="18"/>
              </w:rPr>
              <w:t>25</w:t>
            </w:r>
          </w:p>
        </w:tc>
        <w:tc>
          <w:tcPr>
            <w:tcW w:w="261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49"/>
              <w:jc w:val="right"/>
              <w:rPr>
                <w:rFonts w:ascii="Times New Roman" w:hAnsi="Times New Roman" w:cs="Times New Roman" w:eastAsia="Times New Roman" w:hint="default"/>
                <w:sz w:val="18"/>
                <w:szCs w:val="18"/>
              </w:rPr>
            </w:pPr>
            <w:r>
              <w:rPr>
                <w:rFonts w:ascii="Times New Roman"/>
                <w:spacing w:val="-1"/>
                <w:sz w:val="18"/>
              </w:rPr>
              <w:t>2,986,525.65</w:t>
            </w:r>
          </w:p>
        </w:tc>
        <w:tc>
          <w:tcPr>
            <w:tcW w:w="237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51"/>
              <w:jc w:val="right"/>
              <w:rPr>
                <w:rFonts w:ascii="Times New Roman" w:hAnsi="Times New Roman" w:cs="Times New Roman" w:eastAsia="Times New Roman" w:hint="default"/>
                <w:sz w:val="18"/>
                <w:szCs w:val="18"/>
              </w:rPr>
            </w:pPr>
            <w:r>
              <w:rPr>
                <w:rFonts w:ascii="Times New Roman"/>
                <w:spacing w:val="-1"/>
                <w:sz w:val="18"/>
              </w:rPr>
              <w:t>2,296,105.12</w:t>
            </w:r>
          </w:p>
        </w:tc>
      </w:tr>
      <w:tr>
        <w:trPr>
          <w:trHeight w:val="44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0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49"/>
              <w:jc w:val="right"/>
              <w:rPr>
                <w:rFonts w:ascii="Times New Roman" w:hAnsi="Times New Roman" w:cs="Times New Roman" w:eastAsia="Times New Roman" w:hint="default"/>
                <w:sz w:val="18"/>
                <w:szCs w:val="18"/>
              </w:rPr>
            </w:pPr>
            <w:r>
              <w:rPr>
                <w:rFonts w:ascii="Times New Roman"/>
                <w:spacing w:val="-1"/>
                <w:sz w:val="18"/>
              </w:rPr>
              <w:t>652,951.53</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1"/>
              <w:jc w:val="right"/>
              <w:rPr>
                <w:rFonts w:ascii="Times New Roman" w:hAnsi="Times New Roman" w:cs="Times New Roman" w:eastAsia="Times New Roman" w:hint="default"/>
                <w:sz w:val="18"/>
                <w:szCs w:val="18"/>
              </w:rPr>
            </w:pPr>
            <w:r>
              <w:rPr>
                <w:rFonts w:ascii="Times New Roman"/>
                <w:spacing w:val="-1"/>
                <w:sz w:val="18"/>
              </w:rPr>
              <w:t>1,027,838.83</w:t>
            </w:r>
          </w:p>
        </w:tc>
      </w:tr>
      <w:tr>
        <w:trPr>
          <w:trHeight w:val="44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1"/>
              <w:jc w:val="center"/>
              <w:rPr>
                <w:rFonts w:ascii="Times New Roman" w:hAnsi="Times New Roman" w:cs="Times New Roman" w:eastAsia="Times New Roman" w:hint="default"/>
                <w:sz w:val="18"/>
                <w:szCs w:val="18"/>
              </w:rPr>
            </w:pPr>
            <w:r>
              <w:rPr>
                <w:rFonts w:ascii="Times New Roman"/>
                <w:sz w:val="18"/>
              </w:rPr>
              <w:t>5</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8"/>
              <w:jc w:val="right"/>
              <w:rPr>
                <w:rFonts w:ascii="Times New Roman" w:hAnsi="Times New Roman" w:cs="Times New Roman" w:eastAsia="Times New Roman" w:hint="default"/>
                <w:sz w:val="18"/>
                <w:szCs w:val="18"/>
              </w:rPr>
            </w:pPr>
            <w:r>
              <w:rPr>
                <w:rFonts w:ascii="Times New Roman"/>
                <w:spacing w:val="-1"/>
                <w:sz w:val="18"/>
              </w:rPr>
              <w:t>95,495.26</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1"/>
              <w:jc w:val="right"/>
              <w:rPr>
                <w:rFonts w:ascii="Times New Roman" w:hAnsi="Times New Roman" w:cs="Times New Roman" w:eastAsia="Times New Roman" w:hint="default"/>
                <w:sz w:val="18"/>
                <w:szCs w:val="18"/>
              </w:rPr>
            </w:pPr>
            <w:r>
              <w:rPr>
                <w:rFonts w:ascii="Times New Roman"/>
                <w:spacing w:val="-1"/>
                <w:sz w:val="18"/>
              </w:rPr>
              <w:t>117,974.18</w:t>
            </w:r>
          </w:p>
        </w:tc>
      </w:tr>
      <w:tr>
        <w:trPr>
          <w:trHeight w:val="439"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5"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0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48"/>
              <w:jc w:val="right"/>
              <w:rPr>
                <w:rFonts w:ascii="Times New Roman" w:hAnsi="Times New Roman" w:cs="Times New Roman" w:eastAsia="Times New Roman" w:hint="default"/>
                <w:sz w:val="18"/>
                <w:szCs w:val="18"/>
              </w:rPr>
            </w:pPr>
            <w:r>
              <w:rPr>
                <w:rFonts w:ascii="Times New Roman"/>
                <w:spacing w:val="-1"/>
                <w:sz w:val="18"/>
              </w:rPr>
              <w:t>57,237.27</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1"/>
              <w:jc w:val="right"/>
              <w:rPr>
                <w:rFonts w:ascii="Times New Roman" w:hAnsi="Times New Roman" w:cs="Times New Roman" w:eastAsia="Times New Roman" w:hint="default"/>
                <w:sz w:val="18"/>
                <w:szCs w:val="18"/>
              </w:rPr>
            </w:pPr>
            <w:r>
              <w:rPr>
                <w:rFonts w:ascii="Times New Roman"/>
                <w:spacing w:val="-1"/>
                <w:sz w:val="18"/>
              </w:rPr>
              <w:t>154,646.71</w:t>
            </w:r>
          </w:p>
        </w:tc>
      </w:tr>
      <w:tr>
        <w:trPr>
          <w:trHeight w:val="441"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5"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1"/>
              <w:jc w:val="center"/>
              <w:rPr>
                <w:rFonts w:ascii="Times New Roman" w:hAnsi="Times New Roman" w:cs="Times New Roman" w:eastAsia="Times New Roman" w:hint="default"/>
                <w:sz w:val="18"/>
                <w:szCs w:val="18"/>
              </w:rPr>
            </w:pPr>
            <w:r>
              <w:rPr>
                <w:rFonts w:ascii="Times New Roman"/>
                <w:sz w:val="18"/>
              </w:rPr>
              <w:t>5</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48"/>
              <w:jc w:val="right"/>
              <w:rPr>
                <w:rFonts w:ascii="Times New Roman" w:hAnsi="Times New Roman" w:cs="Times New Roman" w:eastAsia="Times New Roman" w:hint="default"/>
                <w:sz w:val="18"/>
                <w:szCs w:val="18"/>
              </w:rPr>
            </w:pPr>
            <w:r>
              <w:rPr>
                <w:rFonts w:ascii="Times New Roman"/>
                <w:spacing w:val="-1"/>
                <w:sz w:val="18"/>
              </w:rPr>
              <w:t>43,468.16</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1"/>
              <w:jc w:val="right"/>
              <w:rPr>
                <w:rFonts w:ascii="Times New Roman" w:hAnsi="Times New Roman" w:cs="Times New Roman" w:eastAsia="Times New Roman" w:hint="default"/>
                <w:sz w:val="18"/>
                <w:szCs w:val="18"/>
              </w:rPr>
            </w:pPr>
            <w:r>
              <w:rPr>
                <w:rFonts w:ascii="Times New Roman"/>
                <w:spacing w:val="-1"/>
                <w:sz w:val="18"/>
              </w:rPr>
              <w:t>149,285.02</w:t>
            </w:r>
          </w:p>
        </w:tc>
      </w:tr>
      <w:tr>
        <w:trPr>
          <w:trHeight w:val="441"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023"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9"/>
              <w:jc w:val="right"/>
              <w:rPr>
                <w:rFonts w:ascii="Times New Roman" w:hAnsi="Times New Roman" w:cs="Times New Roman" w:eastAsia="Times New Roman" w:hint="default"/>
                <w:sz w:val="18"/>
                <w:szCs w:val="18"/>
              </w:rPr>
            </w:pPr>
            <w:r>
              <w:rPr>
                <w:rFonts w:ascii="Times New Roman"/>
                <w:spacing w:val="-1"/>
                <w:sz w:val="18"/>
              </w:rPr>
              <w:t>126,937.17</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51"/>
              <w:jc w:val="right"/>
              <w:rPr>
                <w:rFonts w:ascii="Times New Roman" w:hAnsi="Times New Roman" w:cs="Times New Roman" w:eastAsia="Times New Roman" w:hint="default"/>
                <w:sz w:val="18"/>
                <w:szCs w:val="18"/>
              </w:rPr>
            </w:pPr>
            <w:r>
              <w:rPr>
                <w:rFonts w:ascii="Times New Roman"/>
                <w:spacing w:val="-2"/>
                <w:sz w:val="18"/>
              </w:rPr>
              <w:t>111,585.55</w:t>
            </w:r>
          </w:p>
        </w:tc>
      </w:tr>
      <w:tr>
        <w:trPr>
          <w:trHeight w:val="439"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3"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49"/>
              <w:jc w:val="right"/>
              <w:rPr>
                <w:rFonts w:ascii="Times New Roman" w:hAnsi="Times New Roman" w:cs="Times New Roman" w:eastAsia="Times New Roman" w:hint="default"/>
                <w:sz w:val="18"/>
                <w:szCs w:val="18"/>
              </w:rPr>
            </w:pPr>
            <w:r>
              <w:rPr>
                <w:rFonts w:ascii="Times New Roman"/>
                <w:spacing w:val="-1"/>
                <w:sz w:val="18"/>
              </w:rPr>
              <w:t>230,781.20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0"/>
              <w:jc w:val="right"/>
              <w:rPr>
                <w:rFonts w:ascii="Times New Roman" w:hAnsi="Times New Roman" w:cs="Times New Roman" w:eastAsia="Times New Roman" w:hint="default"/>
                <w:sz w:val="18"/>
                <w:szCs w:val="18"/>
              </w:rPr>
            </w:pPr>
            <w:r>
              <w:rPr>
                <w:rFonts w:ascii="Times New Roman"/>
                <w:sz w:val="18"/>
              </w:rPr>
              <w:t>3,816.31</w:t>
            </w:r>
          </w:p>
        </w:tc>
      </w:tr>
      <w:tr>
        <w:trPr>
          <w:trHeight w:val="31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3"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4,193,396.24</w:t>
            </w:r>
            <w:r>
              <w:rPr>
                <w:rFonts w:ascii="Times New Roman"/>
                <w:spacing w:val="-1"/>
                <w:sz w:val="18"/>
              </w:rPr>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3,861,251.72</w:t>
            </w:r>
            <w:r>
              <w:rPr>
                <w:rFonts w:ascii="Times New Roman"/>
                <w:spacing w:val="-1"/>
                <w:sz w:val="18"/>
              </w:rPr>
            </w:r>
          </w:p>
        </w:tc>
      </w:tr>
    </w:tbl>
    <w:p>
      <w:pPr>
        <w:spacing w:line="240" w:lineRule="auto" w:before="4"/>
        <w:rPr>
          <w:rFonts w:ascii="宋体" w:hAnsi="宋体" w:cs="宋体" w:eastAsia="宋体" w:hint="default"/>
          <w:b/>
          <w:bCs/>
          <w:sz w:val="25"/>
          <w:szCs w:val="25"/>
        </w:rPr>
      </w:pPr>
    </w:p>
    <w:p>
      <w:pPr>
        <w:pStyle w:val="Heading5"/>
        <w:spacing w:line="240" w:lineRule="auto" w:before="36"/>
        <w:ind w:left="213" w:right="0"/>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10"/>
        <w:rPr>
          <w:rFonts w:ascii="宋体" w:hAnsi="宋体" w:cs="宋体" w:eastAsia="宋体" w:hint="default"/>
          <w:b/>
          <w:bCs/>
          <w:sz w:val="28"/>
          <w:szCs w:val="28"/>
        </w:rPr>
      </w:pPr>
    </w:p>
    <w:p>
      <w:pPr>
        <w:pStyle w:val="Heading6"/>
        <w:spacing w:line="240" w:lineRule="auto" w:before="0"/>
        <w:ind w:right="0"/>
        <w:jc w:val="left"/>
      </w:pPr>
      <w:r>
        <w:rPr/>
        <w:t>（</w:t>
      </w:r>
      <w:r>
        <w:rPr>
          <w:rFonts w:ascii="Times New Roman" w:hAnsi="Times New Roman" w:cs="Times New Roman" w:eastAsia="Times New Roman" w:hint="default"/>
        </w:rPr>
        <w:t>1</w:t>
      </w:r>
      <w:r>
        <w:rPr/>
        <w:t>）按账龄分析</w:t>
      </w:r>
    </w:p>
    <w:p>
      <w:pPr>
        <w:spacing w:line="240" w:lineRule="auto" w:before="6"/>
        <w:rPr>
          <w:rFonts w:ascii="宋体" w:hAnsi="宋体" w:cs="宋体" w:eastAsia="宋体" w:hint="default"/>
          <w:sz w:val="19"/>
          <w:szCs w:val="19"/>
        </w:rPr>
      </w:pPr>
    </w:p>
    <w:p>
      <w:pPr>
        <w:pStyle w:val="Heading8"/>
        <w:tabs>
          <w:tab w:pos="6127" w:val="left" w:leader="none"/>
        </w:tabs>
        <w:spacing w:line="228" w:lineRule="exact" w:before="44"/>
        <w:ind w:left="2421" w:right="0"/>
        <w:jc w:val="center"/>
        <w:rPr>
          <w:b w:val="0"/>
          <w:bCs w:val="0"/>
        </w:rPr>
      </w:pPr>
      <w:r>
        <w:rPr>
          <w:w w:val="95"/>
        </w:rPr>
        <w:t>期末余额</w:t>
        <w:tab/>
      </w:r>
      <w:r>
        <w:rPr/>
        <w:t>期初余额</w:t>
      </w:r>
      <w:r>
        <w:rPr>
          <w:b w:val="0"/>
          <w:bCs w:val="0"/>
        </w:rPr>
      </w:r>
    </w:p>
    <w:p>
      <w:pPr>
        <w:pStyle w:val="Heading8"/>
        <w:spacing w:line="221" w:lineRule="exact"/>
        <w:ind w:left="1053" w:right="0"/>
        <w:jc w:val="left"/>
        <w:rPr>
          <w:b w:val="0"/>
          <w:bCs w:val="0"/>
        </w:rPr>
      </w:pPr>
      <w:r>
        <w:rPr/>
        <w:t>账</w:t>
      </w:r>
      <w:r>
        <w:rPr>
          <w:spacing w:val="89"/>
        </w:rPr>
        <w:t> </w:t>
      </w:r>
      <w:r>
        <w:rPr/>
        <w:t>龄</w:t>
      </w:r>
      <w:r>
        <w:rPr>
          <w:b w:val="0"/>
          <w:bCs w:val="0"/>
        </w:rPr>
      </w:r>
    </w:p>
    <w:p>
      <w:pPr>
        <w:pStyle w:val="Heading8"/>
        <w:tabs>
          <w:tab w:pos="4270" w:val="left" w:leader="none"/>
          <w:tab w:pos="6212" w:val="left" w:leader="none"/>
          <w:tab w:pos="7976" w:val="left" w:leader="none"/>
        </w:tabs>
        <w:spacing w:line="242" w:lineRule="exact"/>
        <w:ind w:left="2508" w:right="0"/>
        <w:jc w:val="center"/>
        <w:rPr>
          <w:b w:val="0"/>
          <w:bCs w:val="0"/>
        </w:rPr>
      </w:pPr>
      <w:r>
        <w:rPr>
          <w:w w:val="95"/>
        </w:rPr>
        <w:t>账面余额</w:t>
        <w:tab/>
      </w:r>
      <w:r>
        <w:rPr>
          <w:spacing w:val="-1"/>
        </w:rPr>
        <w:t>比例（</w:t>
      </w:r>
      <w:r>
        <w:rPr>
          <w:rFonts w:ascii="Times New Roman" w:hAnsi="Times New Roman" w:cs="Times New Roman" w:eastAsia="Times New Roman" w:hint="default"/>
          <w:spacing w:val="-1"/>
        </w:rPr>
        <w:t>%</w:t>
      </w:r>
      <w:r>
        <w:rPr>
          <w:spacing w:val="-1"/>
        </w:rPr>
        <w:t>）</w:t>
        <w:tab/>
      </w:r>
      <w:r>
        <w:rPr>
          <w:w w:val="95"/>
        </w:rPr>
        <w:t>账面余额</w:t>
        <w:tab/>
      </w:r>
      <w:r>
        <w:rPr/>
        <w:t>比例（</w:t>
      </w:r>
      <w:r>
        <w:rPr>
          <w:rFonts w:ascii="Times New Roman" w:hAnsi="Times New Roman" w:cs="Times New Roman" w:eastAsia="Times New Roman" w:hint="default"/>
        </w:rPr>
        <w:t>%</w:t>
      </w:r>
      <w:r>
        <w:rPr/>
        <w:t>）</w:t>
      </w:r>
      <w:r>
        <w:rPr>
          <w:b w:val="0"/>
          <w:bCs w:val="0"/>
        </w:rPr>
      </w:r>
    </w:p>
    <w:p>
      <w:pPr>
        <w:spacing w:line="240" w:lineRule="auto" w:before="8"/>
        <w:rPr>
          <w:rFonts w:ascii="宋体" w:hAnsi="宋体" w:cs="宋体" w:eastAsia="宋体" w:hint="default"/>
          <w:b/>
          <w:bCs/>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93.35pt;height:.5pt;mso-position-horizontal-relative:char;mso-position-vertical-relative:line" coordorigin="0,0" coordsize="9867,10">
            <v:group style="position:absolute;left:5;top:5;width:2442;height:2" coordorigin="5,5" coordsize="2442,2">
              <v:shape style="position:absolute;left:5;top:5;width:2442;height:2" coordorigin="5,5" coordsize="2442,0" path="m5,5l2447,5e" filled="false" stroked="true" strokeweight=".47998pt" strokecolor="#000000">
                <v:path arrowok="t"/>
              </v:shape>
            </v:group>
            <v:group style="position:absolute;left:2447;top:5;width:10;height:2" coordorigin="2447,5" coordsize="10,2">
              <v:shape style="position:absolute;left:2447;top:5;width:10;height:2" coordorigin="2447,5" coordsize="10,0" path="m2447,5l2456,5e" filled="false" stroked="true" strokeweight=".47998pt" strokecolor="#000000">
                <v:path arrowok="t"/>
              </v:shape>
            </v:group>
            <v:group style="position:absolute;left:2456;top:5;width:1844;height:2" coordorigin="2456,5" coordsize="1844,2">
              <v:shape style="position:absolute;left:2456;top:5;width:1844;height:2" coordorigin="2456,5" coordsize="1844,0" path="m2456,5l4299,5e" filled="false" stroked="true" strokeweight=".47998pt" strokecolor="#000000">
                <v:path arrowok="t"/>
              </v:shape>
            </v:group>
            <v:group style="position:absolute;left:4299;top:5;width:10;height:2" coordorigin="4299,5" coordsize="10,2">
              <v:shape style="position:absolute;left:4299;top:5;width:10;height:2" coordorigin="4299,5" coordsize="10,0" path="m4299,5l4309,5e" filled="false" stroked="true" strokeweight=".47998pt" strokecolor="#000000">
                <v:path arrowok="t"/>
              </v:shape>
            </v:group>
            <v:group style="position:absolute;left:4309;top:5;width:1844;height:2" coordorigin="4309,5" coordsize="1844,2">
              <v:shape style="position:absolute;left:4309;top:5;width:1844;height:2" coordorigin="4309,5" coordsize="1844,0" path="m4309,5l6153,5e" filled="false" stroked="true" strokeweight=".47998pt" strokecolor="#000000">
                <v:path arrowok="t"/>
              </v:shape>
            </v:group>
            <v:group style="position:absolute;left:6153;top:5;width:10;height:2" coordorigin="6153,5" coordsize="10,2">
              <v:shape style="position:absolute;left:6153;top:5;width:10;height:2" coordorigin="6153,5" coordsize="10,0" path="m6153,5l6162,5e" filled="false" stroked="true" strokeweight=".47998pt" strokecolor="#000000">
                <v:path arrowok="t"/>
              </v:shape>
            </v:group>
            <v:group style="position:absolute;left:6162;top:5;width:1844;height:2" coordorigin="6162,5" coordsize="1844,2">
              <v:shape style="position:absolute;left:6162;top:5;width:1844;height:2" coordorigin="6162,5" coordsize="1844,0" path="m6162,5l8006,5e" filled="false" stroked="true" strokeweight=".47998pt" strokecolor="#000000">
                <v:path arrowok="t"/>
              </v:shape>
            </v:group>
            <v:group style="position:absolute;left:8006;top:5;width:10;height:2" coordorigin="8006,5" coordsize="10,2">
              <v:shape style="position:absolute;left:8006;top:5;width:10;height:2" coordorigin="8006,5" coordsize="10,0" path="m8006,5l8016,5e" filled="false" stroked="true" strokeweight=".47998pt" strokecolor="#000000">
                <v:path arrowok="t"/>
              </v:shape>
            </v:group>
            <v:group style="position:absolute;left:8016;top:5;width:1847;height:2" coordorigin="8016,5" coordsize="1847,2">
              <v:shape style="position:absolute;left:8016;top:5;width:1847;height:2" coordorigin="8016,5" coordsize="1847,0" path="m8016,5l9862,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tbl>
      <w:tblPr>
        <w:tblW w:w="0" w:type="auto"/>
        <w:jc w:val="left"/>
        <w:tblInd w:w="538" w:type="dxa"/>
        <w:tblLayout w:type="fixed"/>
        <w:tblCellMar>
          <w:top w:w="0" w:type="dxa"/>
          <w:left w:w="0" w:type="dxa"/>
          <w:bottom w:w="0" w:type="dxa"/>
          <w:right w:w="0" w:type="dxa"/>
        </w:tblCellMar>
        <w:tblLook w:val="01E0"/>
      </w:tblPr>
      <w:tblGrid>
        <w:gridCol w:w="1980"/>
        <w:gridCol w:w="2104"/>
        <w:gridCol w:w="1642"/>
        <w:gridCol w:w="2048"/>
        <w:gridCol w:w="992"/>
      </w:tblGrid>
      <w:tr>
        <w:trPr>
          <w:trHeight w:val="41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7"/>
              <w:jc w:val="right"/>
              <w:rPr>
                <w:rFonts w:ascii="Times New Roman" w:hAnsi="Times New Roman" w:cs="Times New Roman" w:eastAsia="Times New Roman" w:hint="default"/>
                <w:sz w:val="18"/>
                <w:szCs w:val="18"/>
              </w:rPr>
            </w:pPr>
            <w:r>
              <w:rPr>
                <w:rFonts w:ascii="Times New Roman"/>
                <w:spacing w:val="-1"/>
                <w:sz w:val="18"/>
              </w:rPr>
              <w:t>4,216,429.05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49" w:right="0"/>
              <w:jc w:val="left"/>
              <w:rPr>
                <w:rFonts w:ascii="Times New Roman" w:hAnsi="Times New Roman" w:cs="Times New Roman" w:eastAsia="Times New Roman" w:hint="default"/>
                <w:sz w:val="18"/>
                <w:szCs w:val="18"/>
              </w:rPr>
            </w:pPr>
            <w:r>
              <w:rPr>
                <w:rFonts w:ascii="Times New Roman"/>
                <w:sz w:val="18"/>
              </w:rPr>
              <w:t>94.91</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8"/>
              <w:jc w:val="right"/>
              <w:rPr>
                <w:rFonts w:ascii="Times New Roman" w:hAnsi="Times New Roman" w:cs="Times New Roman" w:eastAsia="Times New Roman" w:hint="default"/>
                <w:sz w:val="18"/>
                <w:szCs w:val="18"/>
              </w:rPr>
            </w:pPr>
            <w:r>
              <w:rPr>
                <w:rFonts w:ascii="Times New Roman"/>
                <w:spacing w:val="-1"/>
                <w:sz w:val="18"/>
              </w:rPr>
              <w:t>450,343.08</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70.54</w:t>
            </w:r>
          </w:p>
        </w:tc>
      </w:tr>
      <w:tr>
        <w:trPr>
          <w:trHeight w:val="44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pacing w:val="-1"/>
                <w:sz w:val="18"/>
              </w:rPr>
              <w:t>136,773.34</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95" w:right="0"/>
              <w:jc w:val="left"/>
              <w:rPr>
                <w:rFonts w:ascii="Times New Roman" w:hAnsi="Times New Roman" w:cs="Times New Roman" w:eastAsia="Times New Roman" w:hint="default"/>
                <w:sz w:val="18"/>
                <w:szCs w:val="18"/>
              </w:rPr>
            </w:pPr>
            <w:r>
              <w:rPr>
                <w:rFonts w:ascii="Times New Roman"/>
                <w:sz w:val="18"/>
              </w:rPr>
              <w:t>3.08</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8"/>
              <w:jc w:val="right"/>
              <w:rPr>
                <w:rFonts w:ascii="Times New Roman" w:hAnsi="Times New Roman" w:cs="Times New Roman" w:eastAsia="Times New Roman" w:hint="default"/>
                <w:sz w:val="18"/>
                <w:szCs w:val="18"/>
              </w:rPr>
            </w:pPr>
            <w:r>
              <w:rPr>
                <w:rFonts w:ascii="Times New Roman"/>
                <w:spacing w:val="-1"/>
                <w:sz w:val="18"/>
              </w:rPr>
              <w:t>101,047.16</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15.82</w:t>
            </w:r>
          </w:p>
        </w:tc>
      </w:tr>
      <w:tr>
        <w:trPr>
          <w:trHeight w:val="44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7"/>
              <w:jc w:val="right"/>
              <w:rPr>
                <w:rFonts w:ascii="Times New Roman" w:hAnsi="Times New Roman" w:cs="Times New Roman" w:eastAsia="Times New Roman" w:hint="default"/>
                <w:sz w:val="18"/>
                <w:szCs w:val="18"/>
              </w:rPr>
            </w:pPr>
            <w:r>
              <w:rPr>
                <w:rFonts w:ascii="Times New Roman"/>
                <w:w w:val="95"/>
                <w:sz w:val="18"/>
              </w:rPr>
              <w:t>2,322.96</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95" w:right="0"/>
              <w:jc w:val="left"/>
              <w:rPr>
                <w:rFonts w:ascii="Times New Roman" w:hAnsi="Times New Roman" w:cs="Times New Roman" w:eastAsia="Times New Roman" w:hint="default"/>
                <w:sz w:val="18"/>
                <w:szCs w:val="18"/>
              </w:rPr>
            </w:pPr>
            <w:r>
              <w:rPr>
                <w:rFonts w:ascii="Times New Roman"/>
                <w:sz w:val="18"/>
              </w:rPr>
              <w:t>0.05</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8"/>
              <w:jc w:val="right"/>
              <w:rPr>
                <w:rFonts w:ascii="Times New Roman" w:hAnsi="Times New Roman" w:cs="Times New Roman" w:eastAsia="Times New Roman" w:hint="default"/>
                <w:sz w:val="18"/>
                <w:szCs w:val="18"/>
              </w:rPr>
            </w:pPr>
            <w:r>
              <w:rPr>
                <w:rFonts w:ascii="Times New Roman"/>
                <w:spacing w:val="-1"/>
                <w:sz w:val="18"/>
              </w:rPr>
              <w:t>20,177.63</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
              <w:jc w:val="right"/>
              <w:rPr>
                <w:rFonts w:ascii="Times New Roman" w:hAnsi="Times New Roman" w:cs="Times New Roman" w:eastAsia="Times New Roman" w:hint="default"/>
                <w:sz w:val="18"/>
                <w:szCs w:val="18"/>
              </w:rPr>
            </w:pPr>
            <w:r>
              <w:rPr>
                <w:rFonts w:ascii="Times New Roman"/>
                <w:spacing w:val="-1"/>
                <w:sz w:val="18"/>
              </w:rPr>
              <w:t>3.16</w:t>
            </w:r>
          </w:p>
        </w:tc>
      </w:tr>
      <w:tr>
        <w:trPr>
          <w:trHeight w:val="439"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pacing w:val="-1"/>
                <w:sz w:val="18"/>
              </w:rPr>
              <w:t>87,060.81</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95" w:right="0"/>
              <w:jc w:val="left"/>
              <w:rPr>
                <w:rFonts w:ascii="Times New Roman" w:hAnsi="Times New Roman" w:cs="Times New Roman" w:eastAsia="Times New Roman" w:hint="default"/>
                <w:sz w:val="18"/>
                <w:szCs w:val="18"/>
              </w:rPr>
            </w:pPr>
            <w:r>
              <w:rPr>
                <w:rFonts w:ascii="Times New Roman"/>
                <w:sz w:val="18"/>
              </w:rPr>
              <w:t>1.96</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8"/>
              <w:jc w:val="right"/>
              <w:rPr>
                <w:rFonts w:ascii="Times New Roman" w:hAnsi="Times New Roman" w:cs="Times New Roman" w:eastAsia="Times New Roman" w:hint="default"/>
                <w:sz w:val="18"/>
                <w:szCs w:val="18"/>
              </w:rPr>
            </w:pPr>
            <w:r>
              <w:rPr>
                <w:rFonts w:ascii="Times New Roman"/>
                <w:spacing w:val="-1"/>
                <w:sz w:val="18"/>
              </w:rPr>
              <w:t>66,883.18</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10.48</w:t>
            </w:r>
          </w:p>
        </w:tc>
      </w:tr>
      <w:tr>
        <w:trPr>
          <w:trHeight w:val="41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4,442,586.16</w:t>
            </w:r>
            <w:r>
              <w:rPr>
                <w:rFonts w:ascii="Times New Roman"/>
                <w:spacing w:val="-1"/>
                <w:sz w:val="18"/>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1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638,451.05</w:t>
            </w:r>
            <w:r>
              <w:rPr>
                <w:rFonts w:ascii="Times New Roman"/>
                <w:spacing w:val="-1"/>
                <w:sz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4"/>
        <w:rPr>
          <w:rFonts w:ascii="宋体" w:hAnsi="宋体" w:cs="宋体" w:eastAsia="宋体" w:hint="default"/>
          <w:b/>
          <w:bCs/>
          <w:sz w:val="22"/>
          <w:szCs w:val="22"/>
        </w:rPr>
      </w:pPr>
    </w:p>
    <w:p>
      <w:pPr>
        <w:pStyle w:val="BodyText"/>
        <w:spacing w:line="240" w:lineRule="auto" w:before="44"/>
        <w:ind w:left="573" w:right="0"/>
        <w:jc w:val="left"/>
      </w:pPr>
      <w:r>
        <w:rPr/>
        <w:t>（</w:t>
      </w:r>
      <w:r>
        <w:rPr>
          <w:rFonts w:ascii="Times New Roman" w:hAnsi="Times New Roman" w:cs="Times New Roman" w:eastAsia="Times New Roman" w:hint="default"/>
        </w:rPr>
        <w:t>2</w:t>
      </w:r>
      <w:r>
        <w:rPr/>
        <w:t>）本报告期其他应付款中无应付持有本公司</w:t>
      </w:r>
      <w:r>
        <w:rPr>
          <w:spacing w:val="-45"/>
        </w:rPr>
        <w:t> </w:t>
      </w:r>
      <w:r>
        <w:rPr>
          <w:rFonts w:ascii="Times New Roman" w:hAnsi="Times New Roman" w:cs="Times New Roman" w:eastAsia="Times New Roman" w:hint="default"/>
        </w:rPr>
        <w:t>5%</w:t>
      </w:r>
      <w:r>
        <w:rPr/>
        <w:t>（含</w:t>
      </w:r>
      <w:r>
        <w:rPr>
          <w:spacing w:val="-45"/>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18"/>
          <w:szCs w:val="18"/>
        </w:rPr>
      </w:pPr>
    </w:p>
    <w:p>
      <w:pPr>
        <w:pStyle w:val="BodyText"/>
        <w:spacing w:line="240" w:lineRule="auto" w:before="153"/>
        <w:ind w:left="573" w:right="0"/>
        <w:jc w:val="left"/>
      </w:pPr>
      <w:r>
        <w:rPr/>
        <w:t>（</w:t>
      </w:r>
      <w:r>
        <w:rPr>
          <w:rFonts w:ascii="Times New Roman" w:hAnsi="Times New Roman" w:cs="Times New Roman" w:eastAsia="Times New Roman" w:hint="default"/>
        </w:rPr>
        <w:t>3</w:t>
      </w:r>
      <w:r>
        <w:rPr/>
        <w:t>）应付关联方款项情况</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735"/>
        <w:gridCol w:w="2837"/>
        <w:gridCol w:w="3284"/>
      </w:tblGrid>
      <w:tr>
        <w:trPr>
          <w:trHeight w:val="277" w:hRule="exact"/>
        </w:trPr>
        <w:tc>
          <w:tcPr>
            <w:tcW w:w="3735" w:type="dxa"/>
            <w:tcBorders>
              <w:top w:val="nil" w:sz="6" w:space="0" w:color="auto"/>
              <w:left w:val="nil" w:sz="6" w:space="0" w:color="auto"/>
              <w:bottom w:val="single" w:sz="8" w:space="0" w:color="000000"/>
              <w:right w:val="nil" w:sz="6" w:space="0" w:color="auto"/>
            </w:tcBorders>
          </w:tcPr>
          <w:p>
            <w:pPr>
              <w:pStyle w:val="TableParagraph"/>
              <w:spacing w:line="180" w:lineRule="exact"/>
              <w:ind w:right="453"/>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837" w:type="dxa"/>
            <w:tcBorders>
              <w:top w:val="nil" w:sz="6" w:space="0" w:color="auto"/>
              <w:left w:val="nil" w:sz="6" w:space="0" w:color="auto"/>
              <w:bottom w:val="single" w:sz="8" w:space="0" w:color="000000"/>
              <w:right w:val="nil" w:sz="6" w:space="0" w:color="auto"/>
            </w:tcBorders>
          </w:tcPr>
          <w:p>
            <w:pPr>
              <w:pStyle w:val="TableParagraph"/>
              <w:spacing w:line="180" w:lineRule="exact"/>
              <w:ind w:left="8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84" w:type="dxa"/>
            <w:tcBorders>
              <w:top w:val="nil" w:sz="6" w:space="0" w:color="auto"/>
              <w:left w:val="nil" w:sz="6" w:space="0" w:color="auto"/>
              <w:bottom w:val="single" w:sz="8"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8" w:hRule="exact"/>
        </w:trPr>
        <w:tc>
          <w:tcPr>
            <w:tcW w:w="373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449"/>
              <w:jc w:val="center"/>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83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835" w:right="0"/>
              <w:jc w:val="left"/>
              <w:rPr>
                <w:rFonts w:ascii="Times New Roman" w:hAnsi="Times New Roman" w:cs="Times New Roman" w:eastAsia="Times New Roman" w:hint="default"/>
                <w:sz w:val="18"/>
                <w:szCs w:val="18"/>
              </w:rPr>
            </w:pPr>
            <w:r>
              <w:rPr>
                <w:rFonts w:ascii="Times New Roman"/>
                <w:sz w:val="18"/>
              </w:rPr>
              <w:t>375,712.64</w:t>
            </w:r>
          </w:p>
        </w:tc>
        <w:tc>
          <w:tcPr>
            <w:tcW w:w="3284" w:type="dxa"/>
            <w:tcBorders>
              <w:top w:val="single" w:sz="8" w:space="0" w:color="000000"/>
              <w:left w:val="nil" w:sz="6" w:space="0" w:color="auto"/>
              <w:bottom w:val="nil" w:sz="6" w:space="0" w:color="auto"/>
              <w:right w:val="nil" w:sz="6" w:space="0" w:color="auto"/>
            </w:tcBorders>
          </w:tcPr>
          <w:p>
            <w:pPr/>
          </w:p>
        </w:tc>
      </w:tr>
      <w:tr>
        <w:trPr>
          <w:trHeight w:val="315"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9"/>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375,712.64</w:t>
            </w:r>
            <w:r>
              <w:rPr>
                <w:rFonts w:ascii="Times New Roman"/>
                <w:sz w:val="18"/>
              </w:rPr>
            </w:r>
          </w:p>
        </w:tc>
        <w:tc>
          <w:tcPr>
            <w:tcW w:w="328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8" w:right="0"/>
        <w:jc w:val="left"/>
      </w:pPr>
      <w:r>
        <w:rPr/>
        <w:t>（</w:t>
      </w:r>
      <w:r>
        <w:rPr>
          <w:rFonts w:ascii="Times New Roman" w:hAnsi="Times New Roman" w:cs="Times New Roman" w:eastAsia="Times New Roman" w:hint="default"/>
        </w:rPr>
        <w:t>4</w:t>
      </w:r>
      <w:r>
        <w:rPr/>
        <w:t>）其他应付款期末余额较期初余额增加</w:t>
      </w:r>
      <w:r>
        <w:rPr>
          <w:spacing w:val="-46"/>
        </w:rPr>
        <w:t> </w:t>
      </w:r>
      <w:r>
        <w:rPr>
          <w:rFonts w:ascii="Times New Roman" w:hAnsi="Times New Roman" w:cs="Times New Roman" w:eastAsia="Times New Roman" w:hint="default"/>
        </w:rPr>
        <w:t>380.41 </w:t>
      </w:r>
      <w:r>
        <w:rPr/>
        <w:t>万元，增加</w:t>
      </w:r>
      <w:r>
        <w:rPr>
          <w:spacing w:val="-49"/>
        </w:rPr>
        <w:t> </w:t>
      </w:r>
      <w:r>
        <w:rPr>
          <w:rFonts w:ascii="Times New Roman" w:hAnsi="Times New Roman" w:cs="Times New Roman" w:eastAsia="Times New Roman" w:hint="default"/>
        </w:rPr>
        <w:t>5.96 </w:t>
      </w:r>
      <w:r>
        <w:rPr/>
        <w:t>倍，主要原因是收到的销售代理保证金增加。</w:t>
      </w:r>
    </w:p>
    <w:p>
      <w:pPr>
        <w:spacing w:after="0" w:line="240" w:lineRule="auto"/>
        <w:jc w:val="left"/>
        <w:sectPr>
          <w:pgSz w:w="11910" w:h="16840"/>
          <w:pgMar w:header="918" w:footer="999" w:top="1100" w:bottom="1180" w:left="920" w:right="900"/>
        </w:sectPr>
      </w:pPr>
    </w:p>
    <w:p>
      <w:pPr>
        <w:spacing w:line="240" w:lineRule="auto" w:before="11"/>
        <w:rPr>
          <w:rFonts w:ascii="宋体" w:hAnsi="宋体" w:cs="宋体" w:eastAsia="宋体" w:hint="default"/>
          <w:sz w:val="20"/>
          <w:szCs w:val="20"/>
        </w:rPr>
      </w:pPr>
    </w:p>
    <w:p>
      <w:pPr>
        <w:pStyle w:val="Heading5"/>
        <w:spacing w:line="240" w:lineRule="auto" w:before="36"/>
        <w:ind w:left="213" w:right="109"/>
        <w:jc w:val="left"/>
        <w:rPr>
          <w:b w:val="0"/>
          <w:bCs w:val="0"/>
        </w:rPr>
      </w:pPr>
      <w:r>
        <w:rPr>
          <w:rFonts w:ascii="Times New Roman" w:hAnsi="Times New Roman" w:cs="Times New Roman" w:eastAsia="Times New Roman" w:hint="default"/>
        </w:rPr>
        <w:t>20</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tbl>
      <w:tblPr>
        <w:tblW w:w="0" w:type="auto"/>
        <w:jc w:val="left"/>
        <w:tblInd w:w="104" w:type="dxa"/>
        <w:tblLayout w:type="fixed"/>
        <w:tblCellMar>
          <w:top w:w="0" w:type="dxa"/>
          <w:left w:w="0" w:type="dxa"/>
          <w:bottom w:w="0" w:type="dxa"/>
          <w:right w:w="0" w:type="dxa"/>
        </w:tblCellMar>
        <w:tblLook w:val="01E0"/>
      </w:tblPr>
      <w:tblGrid>
        <w:gridCol w:w="1936"/>
        <w:gridCol w:w="1244"/>
        <w:gridCol w:w="624"/>
        <w:gridCol w:w="631"/>
        <w:gridCol w:w="1147"/>
        <w:gridCol w:w="1080"/>
        <w:gridCol w:w="1079"/>
        <w:gridCol w:w="1153"/>
      </w:tblGrid>
      <w:tr>
        <w:trPr>
          <w:trHeight w:val="189" w:hRule="exact"/>
        </w:trPr>
        <w:tc>
          <w:tcPr>
            <w:tcW w:w="8894" w:type="dxa"/>
            <w:gridSpan w:val="8"/>
            <w:tcBorders>
              <w:top w:val="nil" w:sz="6" w:space="0" w:color="auto"/>
              <w:left w:val="nil" w:sz="6" w:space="0" w:color="auto"/>
              <w:bottom w:val="nil" w:sz="6" w:space="0" w:color="auto"/>
              <w:right w:val="nil" w:sz="6" w:space="0" w:color="auto"/>
            </w:tcBorders>
          </w:tcPr>
          <w:p>
            <w:pPr>
              <w:pStyle w:val="TableParagraph"/>
              <w:spacing w:line="162" w:lineRule="exact"/>
              <w:ind w:left="4662" w:right="0"/>
              <w:jc w:val="left"/>
              <w:rPr>
                <w:rFonts w:ascii="宋体" w:hAnsi="宋体" w:cs="宋体" w:eastAsia="宋体" w:hint="default"/>
                <w:sz w:val="15"/>
                <w:szCs w:val="15"/>
              </w:rPr>
            </w:pPr>
            <w:r>
              <w:rPr>
                <w:rFonts w:ascii="宋体" w:hAnsi="宋体" w:cs="宋体" w:eastAsia="宋体" w:hint="default"/>
                <w:b/>
                <w:bCs/>
                <w:sz w:val="15"/>
                <w:szCs w:val="15"/>
              </w:rPr>
              <w:t>本期增减变动（</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16"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spacing w:val="73"/>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tc>
        <w:tc>
          <w:tcPr>
            <w:tcW w:w="1244" w:type="dxa"/>
            <w:vMerge w:val="restart"/>
            <w:tcBorders>
              <w:top w:val="nil" w:sz="6" w:space="0" w:color="auto"/>
              <w:left w:val="nil" w:sz="6" w:space="0" w:color="auto"/>
              <w:right w:val="nil" w:sz="6" w:space="0" w:color="auto"/>
            </w:tcBorders>
          </w:tcPr>
          <w:p>
            <w:pPr>
              <w:pStyle w:val="TableParagraph"/>
              <w:spacing w:line="180" w:lineRule="exact"/>
              <w:ind w:right="43"/>
              <w:jc w:val="center"/>
              <w:rPr>
                <w:rFonts w:ascii="宋体" w:hAnsi="宋体" w:cs="宋体" w:eastAsia="宋体" w:hint="default"/>
                <w:sz w:val="15"/>
                <w:szCs w:val="15"/>
              </w:rPr>
            </w:pPr>
            <w:r>
              <w:rPr>
                <w:rFonts w:ascii="宋体" w:hAnsi="宋体" w:cs="宋体" w:eastAsia="宋体" w:hint="default"/>
                <w:b/>
                <w:bCs/>
                <w:sz w:val="15"/>
                <w:szCs w:val="15"/>
              </w:rPr>
              <w:t>期初账面</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2"/>
              <w:jc w:val="center"/>
              <w:rPr>
                <w:rFonts w:ascii="宋体" w:hAnsi="宋体" w:cs="宋体" w:eastAsia="宋体" w:hint="default"/>
                <w:sz w:val="15"/>
                <w:szCs w:val="15"/>
              </w:rPr>
            </w:pPr>
            <w:r>
              <w:rPr>
                <w:rFonts w:ascii="宋体" w:hAnsi="宋体" w:cs="宋体" w:eastAsia="宋体" w:hint="default"/>
                <w:b/>
                <w:bCs/>
                <w:sz w:val="15"/>
                <w:szCs w:val="15"/>
              </w:rPr>
              <w:t>余额</w:t>
            </w:r>
            <w:r>
              <w:rPr>
                <w:rFonts w:ascii="宋体" w:hAnsi="宋体" w:cs="宋体" w:eastAsia="宋体" w:hint="default"/>
                <w:sz w:val="15"/>
                <w:szCs w:val="15"/>
              </w:rPr>
            </w:r>
          </w:p>
        </w:tc>
        <w:tc>
          <w:tcPr>
            <w:tcW w:w="624" w:type="dxa"/>
            <w:vMerge w:val="restart"/>
            <w:tcBorders>
              <w:top w:val="nil" w:sz="6" w:space="0" w:color="auto"/>
              <w:left w:val="nil" w:sz="6" w:space="0" w:color="auto"/>
              <w:right w:val="nil" w:sz="6" w:space="0" w:color="auto"/>
            </w:tcBorders>
          </w:tcPr>
          <w:p>
            <w:pPr>
              <w:pStyle w:val="TableParagraph"/>
              <w:spacing w:line="400" w:lineRule="atLeast" w:before="1"/>
              <w:ind w:left="147" w:right="173"/>
              <w:jc w:val="left"/>
              <w:rPr>
                <w:rFonts w:ascii="宋体" w:hAnsi="宋体" w:cs="宋体" w:eastAsia="宋体" w:hint="default"/>
                <w:sz w:val="15"/>
                <w:szCs w:val="15"/>
              </w:rPr>
            </w:pPr>
            <w:r>
              <w:rPr>
                <w:rFonts w:ascii="宋体" w:hAnsi="宋体" w:cs="宋体" w:eastAsia="宋体" w:hint="default"/>
                <w:b/>
                <w:bCs/>
                <w:sz w:val="15"/>
                <w:szCs w:val="15"/>
              </w:rPr>
              <w:t>发行</w:t>
            </w:r>
            <w:r>
              <w:rPr>
                <w:rFonts w:ascii="宋体" w:hAnsi="宋体" w:cs="宋体" w:eastAsia="宋体" w:hint="default"/>
                <w:b/>
                <w:bCs/>
                <w:w w:val="100"/>
                <w:sz w:val="15"/>
                <w:szCs w:val="15"/>
              </w:rPr>
              <w:t> </w:t>
            </w:r>
            <w:r>
              <w:rPr>
                <w:rFonts w:ascii="宋体" w:hAnsi="宋体" w:cs="宋体" w:eastAsia="宋体" w:hint="default"/>
                <w:b/>
                <w:bCs/>
                <w:sz w:val="15"/>
                <w:szCs w:val="15"/>
              </w:rPr>
              <w:t>新股</w:t>
            </w:r>
            <w:r>
              <w:rPr>
                <w:rFonts w:ascii="宋体" w:hAnsi="宋体" w:cs="宋体" w:eastAsia="宋体" w:hint="default"/>
                <w:sz w:val="15"/>
                <w:szCs w:val="15"/>
              </w:rPr>
            </w: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vMerge w:val="restart"/>
            <w:tcBorders>
              <w:top w:val="nil" w:sz="6" w:space="0" w:color="auto"/>
              <w:left w:val="nil" w:sz="6" w:space="0" w:color="auto"/>
              <w:right w:val="nil" w:sz="6" w:space="0" w:color="auto"/>
            </w:tcBorders>
          </w:tcPr>
          <w:p>
            <w:pPr>
              <w:pStyle w:val="TableParagraph"/>
              <w:spacing w:line="180" w:lineRule="exact"/>
              <w:ind w:right="64"/>
              <w:jc w:val="center"/>
              <w:rPr>
                <w:rFonts w:ascii="宋体" w:hAnsi="宋体" w:cs="宋体" w:eastAsia="宋体" w:hint="default"/>
                <w:sz w:val="15"/>
                <w:szCs w:val="15"/>
              </w:rPr>
            </w:pPr>
            <w:r>
              <w:rPr>
                <w:rFonts w:ascii="宋体" w:hAnsi="宋体" w:cs="宋体" w:eastAsia="宋体" w:hint="default"/>
                <w:b/>
                <w:bCs/>
                <w:sz w:val="15"/>
                <w:szCs w:val="15"/>
              </w:rPr>
              <w:t>期末账面</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64"/>
              <w:jc w:val="center"/>
              <w:rPr>
                <w:rFonts w:ascii="宋体" w:hAnsi="宋体" w:cs="宋体" w:eastAsia="宋体" w:hint="default"/>
                <w:sz w:val="15"/>
                <w:szCs w:val="15"/>
              </w:rPr>
            </w:pPr>
            <w:r>
              <w:rPr>
                <w:rFonts w:ascii="宋体" w:hAnsi="宋体" w:cs="宋体" w:eastAsia="宋体" w:hint="default"/>
                <w:b/>
                <w:bCs/>
                <w:sz w:val="15"/>
                <w:szCs w:val="15"/>
              </w:rPr>
              <w:t>余额</w:t>
            </w:r>
            <w:r>
              <w:rPr>
                <w:rFonts w:ascii="宋体" w:hAnsi="宋体" w:cs="宋体" w:eastAsia="宋体" w:hint="default"/>
                <w:sz w:val="15"/>
                <w:szCs w:val="15"/>
              </w:rPr>
            </w:r>
          </w:p>
        </w:tc>
      </w:tr>
      <w:tr>
        <w:trPr>
          <w:trHeight w:val="483" w:hRule="exact"/>
        </w:trPr>
        <w:tc>
          <w:tcPr>
            <w:tcW w:w="1936" w:type="dxa"/>
            <w:tcBorders>
              <w:top w:val="nil" w:sz="6" w:space="0" w:color="auto"/>
              <w:left w:val="nil" w:sz="6" w:space="0" w:color="auto"/>
              <w:bottom w:val="single" w:sz="4" w:space="0" w:color="000000"/>
              <w:right w:val="nil" w:sz="6" w:space="0" w:color="auto"/>
            </w:tcBorders>
          </w:tcPr>
          <w:p>
            <w:pPr/>
          </w:p>
        </w:tc>
        <w:tc>
          <w:tcPr>
            <w:tcW w:w="1244" w:type="dxa"/>
            <w:vMerge/>
            <w:tcBorders>
              <w:left w:val="nil" w:sz="6" w:space="0" w:color="auto"/>
              <w:bottom w:val="single" w:sz="4" w:space="0" w:color="000000"/>
              <w:right w:val="nil" w:sz="6" w:space="0" w:color="auto"/>
            </w:tcBorders>
          </w:tcPr>
          <w:p>
            <w:pPr/>
          </w:p>
        </w:tc>
        <w:tc>
          <w:tcPr>
            <w:tcW w:w="624" w:type="dxa"/>
            <w:vMerge/>
            <w:tcBorders>
              <w:left w:val="nil" w:sz="6" w:space="0" w:color="auto"/>
              <w:bottom w:val="single" w:sz="4" w:space="0" w:color="000000"/>
              <w:right w:val="nil" w:sz="6" w:space="0" w:color="auto"/>
            </w:tcBorders>
          </w:tcPr>
          <w:p>
            <w:pPr/>
          </w:p>
        </w:tc>
        <w:tc>
          <w:tcPr>
            <w:tcW w:w="631" w:type="dxa"/>
            <w:tcBorders>
              <w:top w:val="nil" w:sz="6" w:space="0" w:color="auto"/>
              <w:left w:val="nil" w:sz="6" w:space="0" w:color="auto"/>
              <w:bottom w:val="single" w:sz="4" w:space="0" w:color="000000"/>
              <w:right w:val="nil" w:sz="6" w:space="0" w:color="auto"/>
            </w:tcBorders>
          </w:tcPr>
          <w:p>
            <w:pPr>
              <w:pStyle w:val="TableParagraph"/>
              <w:spacing w:line="185" w:lineRule="exact"/>
              <w:ind w:left="173"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1147" w:type="dxa"/>
            <w:tcBorders>
              <w:top w:val="nil" w:sz="6" w:space="0" w:color="auto"/>
              <w:left w:val="nil" w:sz="6" w:space="0" w:color="auto"/>
              <w:bottom w:val="single" w:sz="4" w:space="0" w:color="000000"/>
              <w:right w:val="nil" w:sz="6" w:space="0" w:color="auto"/>
            </w:tcBorders>
          </w:tcPr>
          <w:p>
            <w:pPr>
              <w:pStyle w:val="TableParagraph"/>
              <w:spacing w:line="185" w:lineRule="exact"/>
              <w:ind w:left="154" w:right="0"/>
              <w:jc w:val="left"/>
              <w:rPr>
                <w:rFonts w:ascii="宋体" w:hAnsi="宋体" w:cs="宋体" w:eastAsia="宋体" w:hint="default"/>
                <w:sz w:val="15"/>
                <w:szCs w:val="15"/>
              </w:rPr>
            </w:pPr>
            <w:r>
              <w:rPr>
                <w:rFonts w:ascii="宋体" w:hAnsi="宋体" w:cs="宋体" w:eastAsia="宋体" w:hint="default"/>
                <w:b/>
                <w:bCs/>
                <w:sz w:val="15"/>
                <w:szCs w:val="15"/>
              </w:rPr>
              <w:t>公积金转股</w:t>
            </w:r>
            <w:r>
              <w:rPr>
                <w:rFonts w:ascii="宋体" w:hAnsi="宋体" w:cs="宋体" w:eastAsia="宋体" w:hint="default"/>
                <w:sz w:val="15"/>
                <w:szCs w:val="15"/>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185" w:lineRule="exact"/>
              <w:ind w:right="90"/>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079" w:type="dxa"/>
            <w:tcBorders>
              <w:top w:val="nil" w:sz="6" w:space="0" w:color="auto"/>
              <w:left w:val="nil" w:sz="6" w:space="0" w:color="auto"/>
              <w:bottom w:val="single" w:sz="4" w:space="0" w:color="000000"/>
              <w:right w:val="nil" w:sz="6" w:space="0" w:color="auto"/>
            </w:tcBorders>
          </w:tcPr>
          <w:p>
            <w:pPr>
              <w:pStyle w:val="TableParagraph"/>
              <w:spacing w:line="185" w:lineRule="exact"/>
              <w:ind w:left="357"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53" w:type="dxa"/>
            <w:vMerge/>
            <w:tcBorders>
              <w:left w:val="nil" w:sz="6" w:space="0" w:color="auto"/>
              <w:bottom w:val="single" w:sz="4" w:space="0" w:color="000000"/>
              <w:right w:val="nil" w:sz="6" w:space="0" w:color="auto"/>
            </w:tcBorders>
          </w:tcPr>
          <w:p>
            <w:pPr/>
          </w:p>
        </w:tc>
      </w:tr>
      <w:tr>
        <w:trPr>
          <w:trHeight w:val="501" w:hRule="exact"/>
        </w:trPr>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b/>
                <w:bCs/>
                <w:sz w:val="15"/>
                <w:szCs w:val="15"/>
              </w:rPr>
              <w:t>一、有限售条件股份</w:t>
            </w:r>
            <w:r>
              <w:rPr>
                <w:rFonts w:ascii="宋体" w:hAnsi="宋体" w:cs="宋体" w:eastAsia="宋体" w:hint="default"/>
                <w:sz w:val="15"/>
                <w:szCs w:val="15"/>
              </w:rPr>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65,032,500.00</w:t>
            </w:r>
            <w:r>
              <w:rPr>
                <w:rFonts w:ascii="Times New Roman"/>
                <w:spacing w:val="-1"/>
                <w:sz w:val="15"/>
              </w:rPr>
            </w:r>
          </w:p>
        </w:tc>
        <w:tc>
          <w:tcPr>
            <w:tcW w:w="624" w:type="dxa"/>
            <w:tcBorders>
              <w:top w:val="single" w:sz="4" w:space="0" w:color="000000"/>
              <w:left w:val="nil" w:sz="6" w:space="0" w:color="auto"/>
              <w:bottom w:val="nil" w:sz="6" w:space="0" w:color="auto"/>
              <w:right w:val="nil" w:sz="6" w:space="0" w:color="auto"/>
            </w:tcBorders>
          </w:tcPr>
          <w:p>
            <w:pPr/>
          </w:p>
        </w:tc>
        <w:tc>
          <w:tcPr>
            <w:tcW w:w="631"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5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19,476,175.00</w:t>
            </w:r>
            <w:r>
              <w:rPr>
                <w:rFonts w:ascii="Times New Roman"/>
                <w:sz w:val="15"/>
              </w:rPr>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-1,032,750.00</w:t>
            </w:r>
            <w:r>
              <w:rPr>
                <w:rFonts w:ascii="Times New Roman"/>
                <w:sz w:val="15"/>
              </w:rPr>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18,443,425.00</w:t>
            </w:r>
            <w:r>
              <w:rPr>
                <w:rFonts w:ascii="Times New Roman"/>
                <w:spacing w:val="-1"/>
                <w:sz w:val="15"/>
              </w:rPr>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83,475,925.00</w:t>
            </w:r>
            <w:r>
              <w:rPr>
                <w:rFonts w:ascii="Times New Roman"/>
                <w:spacing w:val="-1"/>
                <w:sz w:val="15"/>
              </w:rPr>
            </w:r>
          </w:p>
        </w:tc>
      </w:tr>
      <w:tr>
        <w:trPr>
          <w:trHeight w:val="44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4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39"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65,032,500.00</w:t>
            </w: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52" w:right="0"/>
              <w:jc w:val="left"/>
              <w:rPr>
                <w:rFonts w:ascii="Times New Roman" w:hAnsi="Times New Roman" w:cs="Times New Roman" w:eastAsia="Times New Roman" w:hint="default"/>
                <w:sz w:val="15"/>
                <w:szCs w:val="15"/>
              </w:rPr>
            </w:pPr>
            <w:r>
              <w:rPr>
                <w:rFonts w:ascii="Times New Roman"/>
                <w:sz w:val="15"/>
              </w:rPr>
              <w:t>19,476,175.00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sz w:val="15"/>
              </w:rPr>
              <w:t>-1,032,750.00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18,443,425.00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83,475,925.00</w:t>
            </w:r>
          </w:p>
        </w:tc>
      </w:tr>
      <w:tr>
        <w:trPr>
          <w:trHeight w:val="44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4"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63,544,000.00</w:t>
            </w: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52" w:right="0"/>
              <w:jc w:val="left"/>
              <w:rPr>
                <w:rFonts w:ascii="Times New Roman" w:hAnsi="Times New Roman" w:cs="Times New Roman" w:eastAsia="Times New Roman" w:hint="default"/>
                <w:sz w:val="15"/>
                <w:szCs w:val="15"/>
              </w:rPr>
            </w:pPr>
            <w:r>
              <w:rPr>
                <w:rFonts w:ascii="Times New Roman"/>
                <w:sz w:val="15"/>
              </w:rPr>
              <w:t>19,063,200.00</w:t>
            </w: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19,063,200.00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82,607,200.00</w:t>
            </w:r>
          </w:p>
        </w:tc>
      </w:tr>
      <w:tr>
        <w:trPr>
          <w:trHeight w:val="44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646"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1,488,500.00</w:t>
            </w: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412,975.00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sz w:val="15"/>
              </w:rPr>
              <w:t>-1,032,750.00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-619,775.00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868,725.00</w:t>
            </w:r>
          </w:p>
        </w:tc>
      </w:tr>
      <w:tr>
        <w:trPr>
          <w:trHeight w:val="439"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境外持股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36"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4"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4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69"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43"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3" w:right="0"/>
              <w:jc w:val="left"/>
              <w:rPr>
                <w:rFonts w:ascii="宋体" w:hAnsi="宋体" w:cs="宋体" w:eastAsia="宋体" w:hint="default"/>
                <w:sz w:val="15"/>
                <w:szCs w:val="15"/>
              </w:rPr>
            </w:pPr>
            <w:r>
              <w:rPr>
                <w:rFonts w:ascii="宋体" w:hAnsi="宋体" w:cs="宋体" w:eastAsia="宋体" w:hint="default"/>
                <w:b/>
                <w:bCs/>
                <w:sz w:val="15"/>
                <w:szCs w:val="15"/>
              </w:rPr>
              <w:t>二、无限售条件流通股份</w:t>
            </w:r>
            <w:r>
              <w:rPr>
                <w:rFonts w:ascii="宋体" w:hAnsi="宋体" w:cs="宋体" w:eastAsia="宋体" w:hint="default"/>
                <w:sz w:val="15"/>
                <w:szCs w:val="15"/>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32,467,500.00</w:t>
            </w:r>
            <w:r>
              <w:rPr>
                <w:rFonts w:ascii="Times New Roman"/>
                <w:spacing w:val="-1"/>
                <w:sz w:val="15"/>
              </w:rPr>
            </w: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9,773,825.00</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1,032,750.00</w:t>
            </w:r>
            <w:r>
              <w:rPr>
                <w:rFonts w:ascii="Times New Roman"/>
                <w:sz w:val="15"/>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10,806,575.00</w:t>
            </w:r>
            <w:r>
              <w:rPr>
                <w:rFonts w:ascii="Times New Roman"/>
                <w:spacing w:val="-1"/>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43,274,075.00</w:t>
            </w:r>
            <w:r>
              <w:rPr>
                <w:rFonts w:ascii="Times New Roman"/>
                <w:spacing w:val="-1"/>
                <w:sz w:val="15"/>
              </w:rPr>
            </w:r>
          </w:p>
        </w:tc>
      </w:tr>
      <w:tr>
        <w:trPr>
          <w:trHeight w:val="44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32,467,500.00</w:t>
            </w: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9,773,825.00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1,032,750.00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10,806,575.00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43,274,075.00</w:t>
            </w:r>
          </w:p>
        </w:tc>
      </w:tr>
      <w:tr>
        <w:trPr>
          <w:trHeight w:val="44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境内上市外资股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39"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境外上市外资股</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4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4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30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97,500,000.00</w:t>
            </w:r>
            <w:r>
              <w:rPr>
                <w:rFonts w:ascii="Times New Roman"/>
                <w:spacing w:val="-1"/>
                <w:sz w:val="15"/>
              </w:rPr>
            </w:r>
          </w:p>
        </w:tc>
        <w:tc>
          <w:tcPr>
            <w:tcW w:w="624"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left="15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29,250,000.00</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29,250,000.00</w:t>
            </w:r>
            <w:r>
              <w:rPr>
                <w:rFonts w:ascii="Times New Roman"/>
                <w:spacing w:val="-1"/>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126,750,000.00</w:t>
            </w:r>
            <w:r>
              <w:rPr>
                <w:rFonts w:ascii="Times New Roman"/>
                <w:spacing w:val="-1"/>
                <w:sz w:val="15"/>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pStyle w:val="BodyText"/>
        <w:spacing w:line="240" w:lineRule="auto"/>
        <w:ind w:left="573" w:right="93"/>
        <w:jc w:val="left"/>
      </w:pPr>
      <w:r>
        <w:rPr/>
        <w:t>注</w:t>
      </w:r>
      <w:r>
        <w:rPr>
          <w:spacing w:val="-17"/>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17"/>
        </w:rPr>
        <w:t>，</w:t>
      </w:r>
      <w:r>
        <w:rPr/>
        <w:t>本</w:t>
      </w:r>
      <w:r>
        <w:rPr>
          <w:spacing w:val="-3"/>
        </w:rPr>
        <w:t>公</w:t>
      </w:r>
      <w:r>
        <w:rPr/>
        <w:t>司</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年度股东大会审议并</w:t>
      </w:r>
      <w:r>
        <w:rPr>
          <w:spacing w:val="-3"/>
        </w:rPr>
        <w:t>通</w:t>
      </w:r>
      <w:r>
        <w:rPr>
          <w:spacing w:val="-17"/>
        </w:rPr>
        <w:t>过</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年度利润分配及资</w:t>
      </w:r>
      <w:r>
        <w:rPr>
          <w:spacing w:val="-3"/>
        </w:rPr>
        <w:t>本</w:t>
      </w:r>
      <w:r>
        <w:rPr/>
        <w:t>公积金转增股本的预案</w:t>
      </w:r>
      <w:r>
        <w:rPr>
          <w:spacing w:val="-92"/>
        </w:rPr>
        <w:t>》</w:t>
      </w:r>
      <w:r>
        <w:rPr>
          <w:spacing w:val="-17"/>
        </w:rPr>
        <w:t>，</w:t>
      </w:r>
      <w:r>
        <w:rPr/>
        <w:t>公</w:t>
      </w:r>
    </w:p>
    <w:p>
      <w:pPr>
        <w:pStyle w:val="BodyText"/>
        <w:spacing w:line="345" w:lineRule="auto" w:before="113"/>
        <w:ind w:left="213" w:right="109"/>
        <w:jc w:val="left"/>
      </w:pPr>
      <w:r>
        <w:rPr/>
        <w:t>司以</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日的总股本</w:t>
      </w:r>
      <w:r>
        <w:rPr>
          <w:spacing w:val="-47"/>
        </w:rPr>
        <w:t> </w:t>
      </w:r>
      <w:r>
        <w:rPr>
          <w:rFonts w:ascii="Times New Roman" w:hAnsi="Times New Roman" w:cs="Times New Roman" w:eastAsia="Times New Roman" w:hint="default"/>
        </w:rPr>
        <w:t>9,750.00</w:t>
      </w:r>
      <w:r>
        <w:rPr>
          <w:rFonts w:ascii="Times New Roman" w:hAnsi="Times New Roman" w:cs="Times New Roman" w:eastAsia="Times New Roman" w:hint="default"/>
          <w:spacing w:val="-1"/>
        </w:rPr>
        <w:t> </w:t>
      </w:r>
      <w:r>
        <w:rPr/>
        <w:t>万股为基数，以资本公积向全体股东每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4"/>
        </w:rPr>
        <w:t>日，天职</w:t>
      </w:r>
      <w:r>
        <w:rPr/>
        <w:t> 国际会计师事务所有限公司对公司新增股本情况进行了审验，并出具了天职湘</w:t>
      </w:r>
      <w:r>
        <w:rPr>
          <w:spacing w:val="-47"/>
        </w:rPr>
        <w:t> </w:t>
      </w:r>
      <w:r>
        <w:rPr>
          <w:rFonts w:ascii="Times New Roman" w:hAnsi="Times New Roman" w:cs="Times New Roman" w:eastAsia="Times New Roman" w:hint="default"/>
        </w:rPr>
        <w:t>QJ[2012]633</w:t>
      </w:r>
      <w:r>
        <w:rPr>
          <w:rFonts w:ascii="Times New Roman" w:hAnsi="Times New Roman" w:cs="Times New Roman" w:eastAsia="Times New Roman" w:hint="default"/>
          <w:spacing w:val="-1"/>
        </w:rPr>
        <w:t> </w:t>
      </w:r>
      <w:r>
        <w:rPr/>
        <w:t>号验资报告。</w:t>
      </w:r>
    </w:p>
    <w:p>
      <w:pPr>
        <w:spacing w:line="240" w:lineRule="auto" w:before="10"/>
        <w:rPr>
          <w:rFonts w:ascii="宋体" w:hAnsi="宋体" w:cs="宋体" w:eastAsia="宋体" w:hint="default"/>
          <w:sz w:val="17"/>
          <w:szCs w:val="17"/>
        </w:rPr>
      </w:pPr>
    </w:p>
    <w:p>
      <w:pPr>
        <w:pStyle w:val="Heading5"/>
        <w:spacing w:line="240" w:lineRule="auto"/>
        <w:ind w:left="213" w:right="109"/>
        <w:jc w:val="left"/>
        <w:rPr>
          <w:b w:val="0"/>
          <w:bCs w:val="0"/>
        </w:rPr>
      </w:pPr>
      <w:r>
        <w:rPr>
          <w:rFonts w:ascii="Times New Roman" w:hAnsi="Times New Roman" w:cs="Times New Roman" w:eastAsia="Times New Roman" w:hint="default"/>
        </w:rPr>
        <w:t>21</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213" w:type="dxa"/>
        <w:tblLayout w:type="fixed"/>
        <w:tblCellMar>
          <w:top w:w="0" w:type="dxa"/>
          <w:left w:w="0" w:type="dxa"/>
          <w:bottom w:w="0" w:type="dxa"/>
          <w:right w:w="0" w:type="dxa"/>
        </w:tblCellMar>
        <w:tblLook w:val="01E0"/>
      </w:tblPr>
      <w:tblGrid>
        <w:gridCol w:w="1815"/>
        <w:gridCol w:w="2175"/>
        <w:gridCol w:w="1910"/>
        <w:gridCol w:w="1914"/>
        <w:gridCol w:w="1827"/>
      </w:tblGrid>
      <w:tr>
        <w:trPr>
          <w:trHeight w:val="275" w:hRule="exact"/>
        </w:trPr>
        <w:tc>
          <w:tcPr>
            <w:tcW w:w="1815" w:type="dxa"/>
            <w:tcBorders>
              <w:top w:val="nil" w:sz="6" w:space="0" w:color="auto"/>
              <w:left w:val="nil" w:sz="6" w:space="0" w:color="auto"/>
              <w:bottom w:val="single" w:sz="4" w:space="0" w:color="000000"/>
              <w:right w:val="nil" w:sz="6" w:space="0" w:color="auto"/>
            </w:tcBorders>
          </w:tcPr>
          <w:p>
            <w:pPr>
              <w:pStyle w:val="TableParagraph"/>
              <w:spacing w:line="180" w:lineRule="exact"/>
              <w:ind w:right="579"/>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75" w:type="dxa"/>
            <w:tcBorders>
              <w:top w:val="nil" w:sz="6" w:space="0" w:color="auto"/>
              <w:left w:val="nil" w:sz="6" w:space="0" w:color="auto"/>
              <w:bottom w:val="single" w:sz="4" w:space="0" w:color="000000"/>
              <w:right w:val="nil" w:sz="6" w:space="0" w:color="auto"/>
            </w:tcBorders>
          </w:tcPr>
          <w:p>
            <w:pPr>
              <w:pStyle w:val="TableParagraph"/>
              <w:spacing w:line="180"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0" w:type="dxa"/>
            <w:tcBorders>
              <w:top w:val="nil" w:sz="6" w:space="0" w:color="auto"/>
              <w:left w:val="nil" w:sz="6" w:space="0" w:color="auto"/>
              <w:bottom w:val="single" w:sz="4" w:space="0" w:color="000000"/>
              <w:right w:val="nil" w:sz="6" w:space="0" w:color="auto"/>
            </w:tcBorders>
          </w:tcPr>
          <w:p>
            <w:pPr>
              <w:pStyle w:val="TableParagraph"/>
              <w:spacing w:line="180"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2" w:hRule="exact"/>
        </w:trPr>
        <w:tc>
          <w:tcPr>
            <w:tcW w:w="181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94" w:right="0"/>
              <w:jc w:val="left"/>
              <w:rPr>
                <w:rFonts w:ascii="宋体" w:hAnsi="宋体" w:cs="宋体" w:eastAsia="宋体" w:hint="default"/>
                <w:sz w:val="18"/>
                <w:szCs w:val="18"/>
              </w:rPr>
            </w:pPr>
            <w:r>
              <w:rPr>
                <w:rFonts w:ascii="宋体" w:hAnsi="宋体" w:cs="宋体" w:eastAsia="宋体" w:hint="default"/>
                <w:sz w:val="18"/>
                <w:szCs w:val="18"/>
              </w:rPr>
              <w:t>资本溢价</w:t>
            </w:r>
          </w:p>
        </w:tc>
        <w:tc>
          <w:tcPr>
            <w:tcW w:w="217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66"/>
              <w:jc w:val="right"/>
              <w:rPr>
                <w:rFonts w:ascii="Times New Roman" w:hAnsi="Times New Roman" w:cs="Times New Roman" w:eastAsia="Times New Roman" w:hint="default"/>
                <w:sz w:val="18"/>
                <w:szCs w:val="18"/>
              </w:rPr>
            </w:pPr>
            <w:r>
              <w:rPr>
                <w:rFonts w:ascii="Times New Roman"/>
                <w:spacing w:val="-1"/>
                <w:sz w:val="18"/>
              </w:rPr>
              <w:t>342,656,951.04</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45"/>
              <w:jc w:val="right"/>
              <w:rPr>
                <w:rFonts w:ascii="Times New Roman" w:hAnsi="Times New Roman" w:cs="Times New Roman" w:eastAsia="Times New Roman" w:hint="default"/>
                <w:sz w:val="18"/>
                <w:szCs w:val="18"/>
              </w:rPr>
            </w:pPr>
            <w:r>
              <w:rPr>
                <w:rFonts w:ascii="Times New Roman"/>
                <w:spacing w:val="-1"/>
                <w:sz w:val="18"/>
              </w:rPr>
              <w:t>180,964.25</w:t>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447" w:right="0"/>
              <w:jc w:val="left"/>
              <w:rPr>
                <w:rFonts w:ascii="Times New Roman" w:hAnsi="Times New Roman" w:cs="Times New Roman" w:eastAsia="Times New Roman" w:hint="default"/>
                <w:sz w:val="18"/>
                <w:szCs w:val="18"/>
              </w:rPr>
            </w:pPr>
            <w:r>
              <w:rPr>
                <w:rFonts w:ascii="Times New Roman"/>
                <w:sz w:val="18"/>
              </w:rPr>
              <w:t>29,250,000.00</w:t>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432" w:right="0"/>
              <w:jc w:val="left"/>
              <w:rPr>
                <w:rFonts w:ascii="Times New Roman" w:hAnsi="Times New Roman" w:cs="Times New Roman" w:eastAsia="Times New Roman" w:hint="default"/>
                <w:sz w:val="18"/>
                <w:szCs w:val="18"/>
              </w:rPr>
            </w:pPr>
            <w:r>
              <w:rPr>
                <w:rFonts w:ascii="Times New Roman"/>
                <w:sz w:val="18"/>
              </w:rPr>
              <w:t>313,587,915.29</w:t>
            </w:r>
          </w:p>
        </w:tc>
      </w:tr>
      <w:tr>
        <w:trPr>
          <w:trHeight w:val="434"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75"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
        </w:tc>
      </w:tr>
      <w:tr>
        <w:trPr>
          <w:trHeight w:val="319"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7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342,656,951.04</w:t>
            </w:r>
            <w:r>
              <w:rPr>
                <w:rFonts w:ascii="Times New Roman"/>
                <w:spacing w:val="-1"/>
                <w:sz w:val="18"/>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180,964.25</w:t>
            </w:r>
            <w:r>
              <w:rPr>
                <w:rFonts w:ascii="Times New Roman"/>
                <w:spacing w:val="-1"/>
                <w:sz w:val="18"/>
              </w:rPr>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4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29,250,000.00</w:t>
            </w:r>
            <w:r>
              <w:rPr>
                <w:rFonts w:ascii="Times New Roman"/>
                <w:sz w:val="18"/>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2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313,587,915.29</w:t>
            </w:r>
            <w:r>
              <w:rPr>
                <w:rFonts w:ascii="Times New Roman"/>
                <w:sz w:val="18"/>
              </w:rPr>
            </w:r>
          </w:p>
        </w:tc>
      </w:tr>
    </w:tbl>
    <w:p>
      <w:pPr>
        <w:spacing w:line="240" w:lineRule="auto" w:before="12"/>
        <w:rPr>
          <w:rFonts w:ascii="宋体" w:hAnsi="宋体" w:cs="宋体" w:eastAsia="宋体" w:hint="default"/>
          <w:b/>
          <w:bCs/>
          <w:sz w:val="29"/>
          <w:szCs w:val="29"/>
        </w:rPr>
      </w:pPr>
    </w:p>
    <w:p>
      <w:pPr>
        <w:pStyle w:val="BodyText"/>
        <w:spacing w:line="345" w:lineRule="auto" w:before="44"/>
        <w:ind w:left="213" w:right="107" w:firstLine="360"/>
        <w:jc w:val="both"/>
      </w:pPr>
      <w:r>
        <w:rPr/>
        <w:t>注</w:t>
      </w:r>
      <w:r>
        <w:rPr>
          <w:spacing w:val="-43"/>
        </w:rPr>
        <w:t>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1"/>
        </w:rPr>
        <w:t>日，本公司</w:t>
      </w:r>
      <w:r>
        <w:rPr>
          <w:spacing w:val="-42"/>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spacing w:val="-1"/>
        </w:rPr>
        <w:t>年度股东大会审议并通过《</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4"/>
        </w:rPr>
        <w:t> </w:t>
      </w:r>
      <w:r>
        <w:rPr>
          <w:spacing w:val="-5"/>
        </w:rPr>
        <w:t>年度利润分配及资本公积金转增股本的预案》，</w:t>
      </w:r>
      <w:r>
        <w:rPr/>
        <w:t> 公司以</w:t>
      </w:r>
      <w:r>
        <w:rPr>
          <w:spacing w:val="-6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63"/>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7"/>
        </w:rPr>
        <w:t> </w:t>
      </w:r>
      <w:r>
        <w:rPr>
          <w:spacing w:val="-1"/>
        </w:rPr>
        <w:t>日的总股本</w:t>
      </w:r>
      <w:r>
        <w:rPr>
          <w:spacing w:val="-63"/>
        </w:rPr>
        <w:t> </w:t>
      </w:r>
      <w:r>
        <w:rPr>
          <w:rFonts w:ascii="Times New Roman" w:hAnsi="Times New Roman" w:cs="Times New Roman" w:eastAsia="Times New Roman" w:hint="default"/>
          <w:spacing w:val="-1"/>
        </w:rPr>
        <w:t>9,750.00</w:t>
      </w:r>
      <w:r>
        <w:rPr>
          <w:rFonts w:ascii="Times New Roman" w:hAnsi="Times New Roman" w:cs="Times New Roman" w:eastAsia="Times New Roman" w:hint="default"/>
          <w:spacing w:val="-16"/>
        </w:rPr>
        <w:t> </w:t>
      </w:r>
      <w:r>
        <w:rPr>
          <w:spacing w:val="-6"/>
        </w:rPr>
        <w:t>万股为基数，以资本公积向全体股东每</w:t>
      </w:r>
      <w:r>
        <w:rPr>
          <w:spacing w:val="-6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7"/>
        </w:rPr>
        <w:t> </w:t>
      </w:r>
      <w:r>
        <w:rPr/>
        <w:t>股转增</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12"/>
        </w:rPr>
        <w:t>股，减少资本公积</w:t>
      </w:r>
      <w:r>
        <w:rPr>
          <w:spacing w:val="-63"/>
        </w:rPr>
        <w:t> </w:t>
      </w:r>
      <w:r>
        <w:rPr>
          <w:rFonts w:ascii="Times New Roman" w:hAnsi="Times New Roman" w:cs="Times New Roman" w:eastAsia="Times New Roman" w:hint="default"/>
          <w:spacing w:val="-1"/>
        </w:rPr>
        <w:t>29,250,000.00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w:t>
      </w:r>
    </w:p>
    <w:p>
      <w:pPr>
        <w:spacing w:after="0" w:line="345" w:lineRule="auto"/>
        <w:jc w:val="both"/>
        <w:sectPr>
          <w:pgSz w:w="11910" w:h="16840"/>
          <w:pgMar w:header="918" w:footer="999" w:top="1100" w:bottom="1180" w:left="920" w:right="1000"/>
        </w:sectPr>
      </w:pPr>
    </w:p>
    <w:p>
      <w:pPr>
        <w:spacing w:line="240" w:lineRule="auto" w:before="2"/>
        <w:rPr>
          <w:rFonts w:ascii="宋体" w:hAnsi="宋体" w:cs="宋体" w:eastAsia="宋体" w:hint="default"/>
          <w:sz w:val="27"/>
          <w:szCs w:val="27"/>
        </w:rPr>
      </w:pPr>
    </w:p>
    <w:p>
      <w:pPr>
        <w:pStyle w:val="BodyText"/>
        <w:spacing w:line="348" w:lineRule="auto" w:before="44"/>
        <w:ind w:left="213" w:right="193" w:firstLine="424"/>
        <w:jc w:val="left"/>
      </w:pPr>
      <w:r>
        <w:rPr/>
        <w:t>注</w:t>
      </w:r>
      <w:r>
        <w:rPr>
          <w:spacing w:val="-72"/>
        </w:rPr>
        <w:t> </w:t>
      </w:r>
      <w:r>
        <w:rPr>
          <w:rFonts w:ascii="Times New Roman" w:hAnsi="Times New Roman" w:cs="Times New Roman" w:eastAsia="Times New Roman" w:hint="default"/>
        </w:rPr>
        <w:t>2</w:t>
      </w:r>
      <w:r>
        <w:rPr/>
        <w:t>：本期收购子公司怀化天舟教育有限责任公司</w:t>
      </w:r>
      <w:r>
        <w:rPr>
          <w:spacing w:val="-72"/>
        </w:rPr>
        <w:t> </w:t>
      </w:r>
      <w:r>
        <w:rPr>
          <w:rFonts w:ascii="宋体" w:hAnsi="宋体" w:cs="宋体" w:eastAsia="宋体" w:hint="default"/>
        </w:rPr>
        <w:t>49%</w:t>
      </w:r>
      <w:r>
        <w:rPr/>
        <w:t>的少数股权，投资成本与按照新增持股比例计算应享有子公司自 购买日开始持续计算的净资产份额之间的差额</w:t>
      </w:r>
      <w:r>
        <w:rPr>
          <w:spacing w:val="-49"/>
        </w:rPr>
        <w:t> </w:t>
      </w:r>
      <w:r>
        <w:rPr>
          <w:rFonts w:ascii="Times New Roman" w:hAnsi="Times New Roman" w:cs="Times New Roman" w:eastAsia="Times New Roman" w:hint="default"/>
        </w:rPr>
        <w:t>180,964.25</w:t>
      </w:r>
      <w:r>
        <w:rPr>
          <w:rFonts w:ascii="Times New Roman" w:hAnsi="Times New Roman" w:cs="Times New Roman" w:eastAsia="Times New Roman" w:hint="default"/>
          <w:spacing w:val="-2"/>
        </w:rPr>
        <w:t> </w:t>
      </w:r>
      <w:r>
        <w:rPr/>
        <w:t>元调整增加资本公积。</w:t>
      </w:r>
    </w:p>
    <w:p>
      <w:pPr>
        <w:spacing w:line="240" w:lineRule="auto" w:before="8"/>
        <w:rPr>
          <w:rFonts w:ascii="宋体" w:hAnsi="宋体" w:cs="宋体" w:eastAsia="宋体" w:hint="default"/>
          <w:sz w:val="17"/>
          <w:szCs w:val="17"/>
        </w:rPr>
      </w:pPr>
    </w:p>
    <w:p>
      <w:pPr>
        <w:pStyle w:val="Heading5"/>
        <w:spacing w:line="240" w:lineRule="auto"/>
        <w:ind w:left="213" w:right="5558"/>
        <w:jc w:val="left"/>
        <w:rPr>
          <w:b w:val="0"/>
          <w:bCs w:val="0"/>
        </w:rPr>
      </w:pPr>
      <w:r>
        <w:rPr>
          <w:rFonts w:ascii="Times New Roman" w:hAnsi="Times New Roman" w:cs="Times New Roman" w:eastAsia="Times New Roman" w:hint="default"/>
        </w:rPr>
        <w:t>22</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397" w:type="dxa"/>
        <w:tblLayout w:type="fixed"/>
        <w:tblCellMar>
          <w:top w:w="0" w:type="dxa"/>
          <w:left w:w="0" w:type="dxa"/>
          <w:bottom w:w="0" w:type="dxa"/>
          <w:right w:w="0" w:type="dxa"/>
        </w:tblCellMar>
        <w:tblLook w:val="01E0"/>
      </w:tblPr>
      <w:tblGrid>
        <w:gridCol w:w="1913"/>
        <w:gridCol w:w="1839"/>
        <w:gridCol w:w="1887"/>
        <w:gridCol w:w="1781"/>
        <w:gridCol w:w="2006"/>
      </w:tblGrid>
      <w:tr>
        <w:trPr>
          <w:trHeight w:val="310"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180" w:lineRule="exact"/>
              <w:ind w:right="25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39" w:type="dxa"/>
            <w:tcBorders>
              <w:top w:val="nil" w:sz="6" w:space="0" w:color="auto"/>
              <w:left w:val="nil" w:sz="6" w:space="0" w:color="auto"/>
              <w:bottom w:val="nil" w:sz="6" w:space="0" w:color="auto"/>
              <w:right w:val="nil" w:sz="6" w:space="0" w:color="auto"/>
            </w:tcBorders>
          </w:tcPr>
          <w:p>
            <w:pPr>
              <w:pStyle w:val="TableParagraph"/>
              <w:spacing w:line="180" w:lineRule="exact"/>
              <w:ind w:left="5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180"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81" w:type="dxa"/>
            <w:tcBorders>
              <w:top w:val="nil" w:sz="6" w:space="0" w:color="auto"/>
              <w:left w:val="nil" w:sz="6" w:space="0" w:color="auto"/>
              <w:bottom w:val="nil" w:sz="6" w:space="0" w:color="auto"/>
              <w:right w:val="nil" w:sz="6" w:space="0" w:color="auto"/>
            </w:tcBorders>
          </w:tcPr>
          <w:p>
            <w:pPr>
              <w:pStyle w:val="TableParagraph"/>
              <w:spacing w:line="180"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006" w:type="dxa"/>
            <w:tcBorders>
              <w:top w:val="nil" w:sz="6" w:space="0" w:color="auto"/>
              <w:left w:val="nil" w:sz="6" w:space="0" w:color="auto"/>
              <w:bottom w:val="nil" w:sz="6" w:space="0" w:color="auto"/>
              <w:right w:val="nil" w:sz="6" w:space="0" w:color="auto"/>
            </w:tcBorders>
          </w:tcPr>
          <w:p>
            <w:pPr>
              <w:pStyle w:val="TableParagraph"/>
              <w:spacing w:line="180" w:lineRule="exact"/>
              <w:ind w:left="6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4"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0"/>
              <w:jc w:val="center"/>
              <w:rPr>
                <w:rFonts w:ascii="宋体" w:hAnsi="宋体" w:cs="宋体" w:eastAsia="宋体" w:hint="default"/>
                <w:sz w:val="18"/>
                <w:szCs w:val="18"/>
              </w:rPr>
            </w:pPr>
            <w:r>
              <w:rPr>
                <w:rFonts w:ascii="宋体" w:hAnsi="宋体" w:cs="宋体" w:eastAsia="宋体" w:hint="default"/>
                <w:sz w:val="18"/>
                <w:szCs w:val="18"/>
              </w:rPr>
              <w:t>法定盈余公积金</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52" w:right="0"/>
              <w:jc w:val="left"/>
              <w:rPr>
                <w:rFonts w:ascii="Times New Roman" w:hAnsi="Times New Roman" w:cs="Times New Roman" w:eastAsia="Times New Roman" w:hint="default"/>
                <w:sz w:val="18"/>
                <w:szCs w:val="18"/>
              </w:rPr>
            </w:pPr>
            <w:r>
              <w:rPr>
                <w:rFonts w:ascii="Times New Roman"/>
                <w:sz w:val="18"/>
              </w:rPr>
              <w:t>8,989,821.58</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16"/>
              <w:jc w:val="right"/>
              <w:rPr>
                <w:rFonts w:ascii="Times New Roman" w:hAnsi="Times New Roman" w:cs="Times New Roman" w:eastAsia="Times New Roman" w:hint="default"/>
                <w:sz w:val="18"/>
                <w:szCs w:val="18"/>
              </w:rPr>
            </w:pPr>
            <w:r>
              <w:rPr>
                <w:rFonts w:ascii="Times New Roman"/>
                <w:spacing w:val="-1"/>
                <w:sz w:val="18"/>
              </w:rPr>
              <w:t>2,400,584.50</w:t>
            </w:r>
          </w:p>
        </w:tc>
        <w:tc>
          <w:tcPr>
            <w:tcW w:w="1781"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8"/>
              <w:jc w:val="right"/>
              <w:rPr>
                <w:rFonts w:ascii="Times New Roman" w:hAnsi="Times New Roman" w:cs="Times New Roman" w:eastAsia="Times New Roman" w:hint="default"/>
                <w:sz w:val="18"/>
                <w:szCs w:val="18"/>
              </w:rPr>
            </w:pPr>
            <w:r>
              <w:rPr>
                <w:rFonts w:ascii="Times New Roman"/>
                <w:spacing w:val="-1"/>
                <w:sz w:val="18"/>
              </w:rPr>
              <w:t>11,390,406.08</w:t>
            </w:r>
          </w:p>
        </w:tc>
      </w:tr>
      <w:tr>
        <w:trPr>
          <w:trHeight w:val="315"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5"/>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5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8,989,821.58</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2,400,584.50</w:t>
            </w:r>
            <w:r>
              <w:rPr>
                <w:rFonts w:ascii="Times New Roman"/>
                <w:spacing w:val="-1"/>
                <w:sz w:val="18"/>
              </w:rPr>
            </w:r>
          </w:p>
        </w:tc>
        <w:tc>
          <w:tcPr>
            <w:tcW w:w="1781"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11,390,406.08</w:t>
            </w:r>
            <w:r>
              <w:rPr>
                <w:rFonts w:ascii="Times New Roman"/>
                <w:spacing w:val="-1"/>
                <w:sz w:val="18"/>
              </w:rPr>
            </w:r>
          </w:p>
        </w:tc>
      </w:tr>
    </w:tbl>
    <w:p>
      <w:pPr>
        <w:spacing w:line="240" w:lineRule="auto" w:before="12"/>
        <w:rPr>
          <w:rFonts w:ascii="宋体" w:hAnsi="宋体" w:cs="宋体" w:eastAsia="宋体" w:hint="default"/>
          <w:b/>
          <w:bCs/>
          <w:sz w:val="29"/>
          <w:szCs w:val="29"/>
        </w:rPr>
      </w:pPr>
    </w:p>
    <w:p>
      <w:pPr>
        <w:pStyle w:val="BodyText"/>
        <w:spacing w:line="240" w:lineRule="auto" w:before="44"/>
        <w:ind w:left="573" w:right="115"/>
        <w:jc w:val="left"/>
      </w:pPr>
      <w:r>
        <w:rPr/>
        <w:t>注：盈余公积期末余额增加</w:t>
      </w:r>
      <w:r>
        <w:rPr>
          <w:spacing w:val="-47"/>
        </w:rPr>
        <w:t> </w:t>
      </w:r>
      <w:r>
        <w:rPr>
          <w:rFonts w:ascii="Times New Roman" w:hAnsi="Times New Roman" w:cs="Times New Roman" w:eastAsia="Times New Roman" w:hint="default"/>
        </w:rPr>
        <w:t>240.06</w:t>
      </w:r>
      <w:r>
        <w:rPr>
          <w:rFonts w:ascii="Times New Roman" w:hAnsi="Times New Roman" w:cs="Times New Roman" w:eastAsia="Times New Roman" w:hint="default"/>
          <w:spacing w:val="-1"/>
        </w:rPr>
        <w:t> </w:t>
      </w:r>
      <w:r>
        <w:rPr/>
        <w:t>万元，系根据利润分配政策计提的法定盈余公积金。</w:t>
      </w:r>
    </w:p>
    <w:p>
      <w:pPr>
        <w:spacing w:line="240" w:lineRule="auto" w:before="7"/>
        <w:rPr>
          <w:rFonts w:ascii="宋体" w:hAnsi="宋体" w:cs="宋体" w:eastAsia="宋体" w:hint="default"/>
          <w:sz w:val="24"/>
          <w:szCs w:val="24"/>
        </w:rPr>
      </w:pPr>
    </w:p>
    <w:p>
      <w:pPr>
        <w:pStyle w:val="Heading5"/>
        <w:spacing w:line="240" w:lineRule="auto"/>
        <w:ind w:left="213" w:right="5558"/>
        <w:jc w:val="left"/>
        <w:rPr>
          <w:b w:val="0"/>
          <w:bCs w:val="0"/>
        </w:rPr>
      </w:pPr>
      <w:r>
        <w:rPr>
          <w:rFonts w:ascii="Times New Roman" w:hAnsi="Times New Roman" w:cs="Times New Roman" w:eastAsia="Times New Roman" w:hint="default"/>
        </w:rPr>
        <w:t>23</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4709"/>
        <w:gridCol w:w="2774"/>
        <w:gridCol w:w="2374"/>
      </w:tblGrid>
      <w:tr>
        <w:trPr>
          <w:trHeight w:val="272" w:hRule="exact"/>
        </w:trPr>
        <w:tc>
          <w:tcPr>
            <w:tcW w:w="4709" w:type="dxa"/>
            <w:tcBorders>
              <w:top w:val="nil" w:sz="6" w:space="0" w:color="auto"/>
              <w:left w:val="nil" w:sz="6" w:space="0" w:color="auto"/>
              <w:bottom w:val="single" w:sz="4" w:space="0" w:color="000000"/>
              <w:right w:val="nil" w:sz="6" w:space="0" w:color="auto"/>
            </w:tcBorders>
          </w:tcPr>
          <w:p>
            <w:pPr>
              <w:pStyle w:val="TableParagraph"/>
              <w:spacing w:line="180" w:lineRule="exact"/>
              <w:ind w:left="24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774"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74" w:type="dxa"/>
            <w:tcBorders>
              <w:top w:val="nil" w:sz="6" w:space="0" w:color="auto"/>
              <w:left w:val="nil" w:sz="6" w:space="0" w:color="auto"/>
              <w:bottom w:val="single" w:sz="4" w:space="0" w:color="000000"/>
              <w:right w:val="nil" w:sz="6" w:space="0" w:color="auto"/>
            </w:tcBorders>
          </w:tcPr>
          <w:p>
            <w:pPr>
              <w:pStyle w:val="TableParagraph"/>
              <w:spacing w:line="180" w:lineRule="exact"/>
              <w:ind w:left="75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2" w:hRule="exact"/>
        </w:trPr>
        <w:tc>
          <w:tcPr>
            <w:tcW w:w="47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77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37"/>
              <w:jc w:val="right"/>
              <w:rPr>
                <w:rFonts w:ascii="Times New Roman" w:hAnsi="Times New Roman" w:cs="Times New Roman" w:eastAsia="Times New Roman" w:hint="default"/>
                <w:sz w:val="18"/>
                <w:szCs w:val="18"/>
              </w:rPr>
            </w:pPr>
            <w:r>
              <w:rPr>
                <w:rFonts w:ascii="Times New Roman"/>
                <w:spacing w:val="-1"/>
                <w:sz w:val="18"/>
              </w:rPr>
              <w:t>72,777,996.08</w:t>
            </w:r>
          </w:p>
        </w:tc>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98"/>
              <w:jc w:val="right"/>
              <w:rPr>
                <w:rFonts w:ascii="Times New Roman" w:hAnsi="Times New Roman" w:cs="Times New Roman" w:eastAsia="Times New Roman" w:hint="default"/>
                <w:sz w:val="18"/>
                <w:szCs w:val="18"/>
              </w:rPr>
            </w:pPr>
            <w:r>
              <w:rPr>
                <w:rFonts w:ascii="Times New Roman"/>
                <w:spacing w:val="-1"/>
                <w:sz w:val="18"/>
              </w:rPr>
              <w:t>54,141,340.13</w:t>
            </w:r>
          </w:p>
        </w:tc>
      </w:tr>
      <w:tr>
        <w:trPr>
          <w:trHeight w:val="43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77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439"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其中：会计政策变更</w:t>
            </w:r>
          </w:p>
        </w:tc>
        <w:tc>
          <w:tcPr>
            <w:tcW w:w="277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440"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重大会计差错</w:t>
            </w:r>
          </w:p>
        </w:tc>
        <w:tc>
          <w:tcPr>
            <w:tcW w:w="277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4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37"/>
              <w:jc w:val="right"/>
              <w:rPr>
                <w:rFonts w:ascii="Times New Roman" w:hAnsi="Times New Roman" w:cs="Times New Roman" w:eastAsia="Times New Roman" w:hint="default"/>
                <w:sz w:val="18"/>
                <w:szCs w:val="18"/>
              </w:rPr>
            </w:pPr>
            <w:r>
              <w:rPr>
                <w:rFonts w:ascii="Times New Roman"/>
                <w:spacing w:val="-1"/>
                <w:sz w:val="18"/>
              </w:rPr>
              <w:t>72,777,996.08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98"/>
              <w:jc w:val="right"/>
              <w:rPr>
                <w:rFonts w:ascii="Times New Roman" w:hAnsi="Times New Roman" w:cs="Times New Roman" w:eastAsia="Times New Roman" w:hint="default"/>
                <w:sz w:val="18"/>
                <w:szCs w:val="18"/>
              </w:rPr>
            </w:pPr>
            <w:r>
              <w:rPr>
                <w:rFonts w:ascii="Times New Roman"/>
                <w:spacing w:val="-1"/>
                <w:sz w:val="18"/>
              </w:rPr>
              <w:t>54,141,340.13</w:t>
            </w:r>
          </w:p>
        </w:tc>
      </w:tr>
      <w:tr>
        <w:trPr>
          <w:trHeight w:val="439"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19,000,989.88</w:t>
            </w:r>
            <w:r>
              <w:rPr>
                <w:rFonts w:ascii="Times New Roman"/>
                <w:spacing w:val="-1"/>
                <w:sz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33,182,234.30</w:t>
            </w:r>
            <w:r>
              <w:rPr>
                <w:rFonts w:ascii="Times New Roman"/>
                <w:spacing w:val="-1"/>
                <w:sz w:val="18"/>
              </w:rPr>
            </w:r>
          </w:p>
        </w:tc>
      </w:tr>
      <w:tr>
        <w:trPr>
          <w:trHeight w:val="441"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其中：本期归属于母公司所有者的净利润转入</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7"/>
              <w:jc w:val="right"/>
              <w:rPr>
                <w:rFonts w:ascii="Times New Roman" w:hAnsi="Times New Roman" w:cs="Times New Roman" w:eastAsia="Times New Roman" w:hint="default"/>
                <w:sz w:val="18"/>
                <w:szCs w:val="18"/>
              </w:rPr>
            </w:pPr>
            <w:r>
              <w:rPr>
                <w:rFonts w:ascii="Times New Roman"/>
                <w:spacing w:val="-1"/>
                <w:sz w:val="18"/>
              </w:rPr>
              <w:t>19,000,989.88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8"/>
              <w:jc w:val="right"/>
              <w:rPr>
                <w:rFonts w:ascii="Times New Roman" w:hAnsi="Times New Roman" w:cs="Times New Roman" w:eastAsia="Times New Roman" w:hint="default"/>
                <w:sz w:val="18"/>
                <w:szCs w:val="18"/>
              </w:rPr>
            </w:pPr>
            <w:r>
              <w:rPr>
                <w:rFonts w:ascii="Times New Roman"/>
                <w:spacing w:val="-1"/>
                <w:sz w:val="18"/>
              </w:rPr>
              <w:t>33,182,234.30</w:t>
            </w:r>
          </w:p>
        </w:tc>
      </w:tr>
      <w:tr>
        <w:trPr>
          <w:trHeight w:val="43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277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444"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17,025,584.50</w:t>
            </w:r>
            <w:r>
              <w:rPr>
                <w:rFonts w:ascii="Times New Roman"/>
                <w:spacing w:val="-1"/>
                <w:sz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14,545,578.35</w:t>
            </w:r>
            <w:r>
              <w:rPr>
                <w:rFonts w:ascii="Times New Roman"/>
                <w:spacing w:val="-1"/>
                <w:sz w:val="18"/>
              </w:rPr>
            </w:r>
          </w:p>
        </w:tc>
      </w:tr>
      <w:tr>
        <w:trPr>
          <w:trHeight w:val="440"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其中：本期提取盈余公积数</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7"/>
              <w:jc w:val="right"/>
              <w:rPr>
                <w:rFonts w:ascii="Times New Roman" w:hAnsi="Times New Roman" w:cs="Times New Roman" w:eastAsia="Times New Roman" w:hint="default"/>
                <w:sz w:val="18"/>
                <w:szCs w:val="18"/>
              </w:rPr>
            </w:pPr>
            <w:r>
              <w:rPr>
                <w:rFonts w:ascii="Times New Roman"/>
                <w:spacing w:val="-1"/>
                <w:sz w:val="18"/>
              </w:rPr>
              <w:t>2,400,584.50</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8"/>
              <w:jc w:val="right"/>
              <w:rPr>
                <w:rFonts w:ascii="Times New Roman" w:hAnsi="Times New Roman" w:cs="Times New Roman" w:eastAsia="Times New Roman" w:hint="default"/>
                <w:sz w:val="18"/>
                <w:szCs w:val="18"/>
              </w:rPr>
            </w:pPr>
            <w:r>
              <w:rPr>
                <w:rFonts w:ascii="Times New Roman"/>
                <w:spacing w:val="-1"/>
                <w:sz w:val="18"/>
              </w:rPr>
              <w:t>3,295,578.35</w:t>
            </w:r>
          </w:p>
        </w:tc>
      </w:tr>
      <w:tr>
        <w:trPr>
          <w:trHeight w:val="440"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本期分配现金股利数</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37"/>
              <w:jc w:val="right"/>
              <w:rPr>
                <w:rFonts w:ascii="Times New Roman" w:hAnsi="Times New Roman" w:cs="Times New Roman" w:eastAsia="Times New Roman" w:hint="default"/>
                <w:sz w:val="18"/>
                <w:szCs w:val="18"/>
              </w:rPr>
            </w:pPr>
            <w:r>
              <w:rPr>
                <w:rFonts w:ascii="Times New Roman"/>
                <w:spacing w:val="-1"/>
                <w:sz w:val="18"/>
              </w:rPr>
              <w:t>14,625,000.00</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98"/>
              <w:jc w:val="right"/>
              <w:rPr>
                <w:rFonts w:ascii="Times New Roman" w:hAnsi="Times New Roman" w:cs="Times New Roman" w:eastAsia="Times New Roman" w:hint="default"/>
                <w:sz w:val="18"/>
                <w:szCs w:val="18"/>
              </w:rPr>
            </w:pPr>
            <w:r>
              <w:rPr>
                <w:rFonts w:ascii="Times New Roman"/>
                <w:spacing w:val="-1"/>
                <w:sz w:val="18"/>
              </w:rPr>
              <w:t>11,250,000.00</w:t>
            </w:r>
          </w:p>
        </w:tc>
      </w:tr>
      <w:tr>
        <w:trPr>
          <w:trHeight w:val="434"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本期分配股票股利数</w:t>
            </w:r>
          </w:p>
        </w:tc>
        <w:tc>
          <w:tcPr>
            <w:tcW w:w="277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440"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77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321"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本年期末余额</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74,753,401.46</w:t>
            </w:r>
            <w:r>
              <w:rPr>
                <w:rFonts w:ascii="Times New Roman"/>
                <w:spacing w:val="-1"/>
                <w:sz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72,777,996.08</w:t>
            </w:r>
            <w:r>
              <w:rPr>
                <w:rFonts w:ascii="Times New Roman"/>
                <w:spacing w:val="-1"/>
                <w:sz w:val="18"/>
              </w:rPr>
            </w:r>
          </w:p>
        </w:tc>
      </w:tr>
    </w:tbl>
    <w:p>
      <w:pPr>
        <w:spacing w:line="240" w:lineRule="auto" w:before="10"/>
        <w:rPr>
          <w:rFonts w:ascii="宋体" w:hAnsi="宋体" w:cs="宋体" w:eastAsia="宋体" w:hint="default"/>
          <w:b/>
          <w:bCs/>
          <w:sz w:val="29"/>
          <w:szCs w:val="29"/>
        </w:rPr>
      </w:pPr>
    </w:p>
    <w:p>
      <w:pPr>
        <w:pStyle w:val="BodyText"/>
        <w:spacing w:line="240" w:lineRule="auto" w:before="44"/>
        <w:ind w:left="573" w:right="115"/>
        <w:jc w:val="left"/>
      </w:pPr>
      <w:r>
        <w:rPr/>
        <w:t>注</w:t>
      </w:r>
      <w:r>
        <w:rPr>
          <w:spacing w:val="-45"/>
        </w:rPr>
        <w:t> </w:t>
      </w:r>
      <w:r>
        <w:rPr>
          <w:rFonts w:ascii="Times New Roman" w:hAnsi="Times New Roman" w:cs="Times New Roman" w:eastAsia="Times New Roman" w:hint="default"/>
          <w:spacing w:val="1"/>
        </w:rPr>
        <w:t>1</w:t>
      </w:r>
      <w:r>
        <w:rPr>
          <w:spacing w:val="-10"/>
        </w:rPr>
        <w:t>：</w:t>
      </w:r>
      <w:r>
        <w:rPr/>
        <w:t>根据</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w:t>
      </w:r>
      <w:r>
        <w:rPr/>
        <w:t>公司股东大会审议并通过</w:t>
      </w:r>
      <w:r>
        <w:rPr>
          <w:spacing w:val="-10"/>
        </w:rPr>
        <w:t>的</w:t>
      </w:r>
      <w:r>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  </w:t>
      </w:r>
      <w:r>
        <w:rPr/>
        <w:t>年度利润分配及资本公</w:t>
      </w:r>
      <w:r>
        <w:rPr>
          <w:spacing w:val="-3"/>
        </w:rPr>
        <w:t>积</w:t>
      </w:r>
      <w:r>
        <w:rPr/>
        <w:t>金转增股本的预案</w:t>
      </w:r>
      <w:r>
        <w:rPr>
          <w:spacing w:val="-92"/>
        </w:rPr>
        <w:t>》</w:t>
      </w:r>
      <w:r>
        <w:rPr>
          <w:spacing w:val="-10"/>
        </w:rPr>
        <w:t>，</w:t>
      </w:r>
      <w:r>
        <w:rPr/>
        <w:t>公司以</w:t>
      </w:r>
    </w:p>
    <w:p>
      <w:pPr>
        <w:pStyle w:val="BodyText"/>
        <w:spacing w:line="240" w:lineRule="auto" w:before="113"/>
        <w:ind w:left="213" w:right="115"/>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日的总</w:t>
      </w:r>
      <w:r>
        <w:rPr>
          <w:spacing w:val="-3"/>
        </w:rPr>
        <w:t>股</w:t>
      </w:r>
      <w:r>
        <w:rPr/>
        <w:t>本</w:t>
      </w:r>
      <w:r>
        <w:rPr>
          <w:spacing w:val="-47"/>
        </w:rPr>
        <w:t> </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万股为基数</w:t>
      </w:r>
      <w:r>
        <w:rPr>
          <w:spacing w:val="-92"/>
        </w:rPr>
        <w:t>，</w:t>
      </w:r>
      <w:r>
        <w:rPr/>
        <w:t>向全体股东每</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元人民币现</w:t>
      </w:r>
      <w:r>
        <w:rPr>
          <w:spacing w:val="-92"/>
        </w:rPr>
        <w:t>金</w:t>
      </w:r>
      <w:r>
        <w:rPr>
          <w:spacing w:val="-3"/>
        </w:rPr>
        <w:t>（</w:t>
      </w:r>
      <w:r>
        <w:rPr/>
        <w:t>含税</w:t>
      </w:r>
      <w:r>
        <w:rPr>
          <w:spacing w:val="-92"/>
        </w:rPr>
        <w:t>），</w:t>
      </w:r>
      <w:r>
        <w:rPr/>
        <w:t>共计分配现金股利</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46</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p>
    <w:p>
      <w:pPr>
        <w:pStyle w:val="BodyText"/>
        <w:spacing w:line="240" w:lineRule="auto" w:before="111"/>
        <w:ind w:left="213" w:right="5558"/>
        <w:jc w:val="left"/>
      </w:pPr>
      <w:r>
        <w:rPr/>
        <w:t>万元。</w:t>
      </w:r>
    </w:p>
    <w:p>
      <w:pPr>
        <w:spacing w:line="240" w:lineRule="auto" w:before="3"/>
        <w:rPr>
          <w:rFonts w:ascii="宋体" w:hAnsi="宋体" w:cs="宋体" w:eastAsia="宋体" w:hint="default"/>
          <w:sz w:val="21"/>
          <w:szCs w:val="21"/>
        </w:rPr>
      </w:pPr>
    </w:p>
    <w:p>
      <w:pPr>
        <w:pStyle w:val="BodyText"/>
        <w:spacing w:line="240" w:lineRule="auto"/>
        <w:ind w:left="578" w:right="115"/>
        <w:jc w:val="left"/>
      </w:pPr>
      <w:r>
        <w:rPr/>
        <w:t>注</w:t>
      </w:r>
      <w:r>
        <w:rPr>
          <w:spacing w:val="-47"/>
        </w:rPr>
        <w:t> </w:t>
      </w:r>
      <w:r>
        <w:rPr>
          <w:rFonts w:ascii="Times New Roman" w:hAnsi="Times New Roman" w:cs="Times New Roman" w:eastAsia="Times New Roman" w:hint="default"/>
        </w:rPr>
        <w:t>2</w:t>
      </w:r>
      <w:r>
        <w:rPr/>
        <w:t>：未分配利润期末余额中包含子公司计提的盈余公积</w:t>
      </w:r>
      <w:r>
        <w:rPr>
          <w:spacing w:val="-46"/>
        </w:rPr>
        <w:t> </w:t>
      </w:r>
      <w:r>
        <w:rPr>
          <w:rFonts w:ascii="Times New Roman" w:hAnsi="Times New Roman" w:cs="Times New Roman" w:eastAsia="Times New Roman" w:hint="default"/>
        </w:rPr>
        <w:t>2,238,454.57</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18" w:footer="999" w:top="1100" w:bottom="1180" w:left="920" w:right="920"/>
        </w:sectPr>
      </w:pPr>
    </w:p>
    <w:p>
      <w:pPr>
        <w:spacing w:line="240" w:lineRule="auto" w:before="11"/>
        <w:rPr>
          <w:rFonts w:ascii="宋体" w:hAnsi="宋体" w:cs="宋体" w:eastAsia="宋体" w:hint="default"/>
          <w:sz w:val="20"/>
          <w:szCs w:val="20"/>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24</w:t>
      </w:r>
      <w:r>
        <w:rPr/>
        <w:t>、营业收入和营业成本</w:t>
      </w:r>
      <w:r>
        <w:rPr>
          <w:b w:val="0"/>
          <w:bCs w:val="0"/>
        </w:rPr>
      </w:r>
    </w:p>
    <w:p>
      <w:pPr>
        <w:spacing w:line="240" w:lineRule="auto" w:before="9"/>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）营业收入和营业成本</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999"/>
        <w:gridCol w:w="2465"/>
        <w:gridCol w:w="1597"/>
        <w:gridCol w:w="1938"/>
        <w:gridCol w:w="1857"/>
      </w:tblGrid>
      <w:tr>
        <w:trPr>
          <w:trHeight w:val="310" w:hRule="exact"/>
        </w:trPr>
        <w:tc>
          <w:tcPr>
            <w:tcW w:w="1999"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180" w:lineRule="exact"/>
              <w:ind w:left="37"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180" w:lineRule="exact"/>
              <w:ind w:right="90"/>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597" w:type="dxa"/>
            <w:tcBorders>
              <w:top w:val="nil" w:sz="6" w:space="0" w:color="auto"/>
              <w:left w:val="nil" w:sz="6" w:space="0" w:color="auto"/>
              <w:bottom w:val="nil" w:sz="6" w:space="0" w:color="auto"/>
              <w:right w:val="nil" w:sz="6" w:space="0" w:color="auto"/>
            </w:tcBorders>
          </w:tcPr>
          <w:p>
            <w:pPr/>
          </w:p>
        </w:tc>
        <w:tc>
          <w:tcPr>
            <w:tcW w:w="379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74"/>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1999" w:type="dxa"/>
            <w:tcBorders>
              <w:top w:val="nil" w:sz="6" w:space="0" w:color="auto"/>
              <w:left w:val="nil" w:sz="6" w:space="0" w:color="auto"/>
              <w:bottom w:val="single" w:sz="4" w:space="0" w:color="000000"/>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769"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75"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193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90"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91"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92" w:hRule="exact"/>
        </w:trPr>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2"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18" w:right="0"/>
              <w:jc w:val="left"/>
              <w:rPr>
                <w:rFonts w:ascii="Times New Roman" w:hAnsi="Times New Roman" w:cs="Times New Roman" w:eastAsia="Times New Roman" w:hint="default"/>
                <w:sz w:val="18"/>
                <w:szCs w:val="18"/>
              </w:rPr>
            </w:pPr>
            <w:r>
              <w:rPr>
                <w:rFonts w:ascii="Times New Roman"/>
                <w:sz w:val="18"/>
              </w:rPr>
              <w:t>279,773,171.20</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77"/>
              <w:jc w:val="right"/>
              <w:rPr>
                <w:rFonts w:ascii="Times New Roman" w:hAnsi="Times New Roman" w:cs="Times New Roman" w:eastAsia="Times New Roman" w:hint="default"/>
                <w:sz w:val="18"/>
                <w:szCs w:val="18"/>
              </w:rPr>
            </w:pPr>
            <w:r>
              <w:rPr>
                <w:rFonts w:ascii="Times New Roman"/>
                <w:spacing w:val="-1"/>
                <w:sz w:val="18"/>
              </w:rPr>
              <w:t>277,541,693.49</w:t>
            </w: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79" w:right="0"/>
              <w:jc w:val="left"/>
              <w:rPr>
                <w:rFonts w:ascii="Times New Roman" w:hAnsi="Times New Roman" w:cs="Times New Roman" w:eastAsia="Times New Roman" w:hint="default"/>
                <w:sz w:val="18"/>
                <w:szCs w:val="18"/>
              </w:rPr>
            </w:pPr>
            <w:r>
              <w:rPr>
                <w:rFonts w:ascii="Times New Roman"/>
                <w:sz w:val="18"/>
              </w:rPr>
              <w:t>192,761,706.66</w:t>
            </w:r>
          </w:p>
        </w:tc>
        <w:tc>
          <w:tcPr>
            <w:tcW w:w="185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96"/>
              <w:jc w:val="right"/>
              <w:rPr>
                <w:rFonts w:ascii="Times New Roman" w:hAnsi="Times New Roman" w:cs="Times New Roman" w:eastAsia="Times New Roman" w:hint="default"/>
                <w:sz w:val="18"/>
                <w:szCs w:val="18"/>
              </w:rPr>
            </w:pPr>
            <w:r>
              <w:rPr>
                <w:rFonts w:ascii="Times New Roman"/>
                <w:spacing w:val="-1"/>
                <w:sz w:val="18"/>
              </w:rPr>
              <w:t>199,221,643.01</w:t>
            </w:r>
          </w:p>
        </w:tc>
      </w:tr>
      <w:tr>
        <w:trPr>
          <w:trHeight w:val="440"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32" w:right="0"/>
              <w:jc w:val="left"/>
              <w:rPr>
                <w:rFonts w:ascii="Times New Roman" w:hAnsi="Times New Roman" w:cs="Times New Roman" w:eastAsia="Times New Roman" w:hint="default"/>
                <w:sz w:val="18"/>
                <w:szCs w:val="18"/>
              </w:rPr>
            </w:pPr>
            <w:r>
              <w:rPr>
                <w:rFonts w:ascii="Times New Roman"/>
                <w:sz w:val="18"/>
              </w:rPr>
              <w:t>134,614.30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6"/>
              <w:jc w:val="right"/>
              <w:rPr>
                <w:rFonts w:ascii="Times New Roman" w:hAnsi="Times New Roman" w:cs="Times New Roman" w:eastAsia="Times New Roman" w:hint="default"/>
                <w:sz w:val="18"/>
                <w:szCs w:val="18"/>
              </w:rPr>
            </w:pPr>
            <w:r>
              <w:rPr>
                <w:rFonts w:ascii="Times New Roman"/>
                <w:spacing w:val="-1"/>
                <w:sz w:val="18"/>
              </w:rPr>
              <w:t>59,836.00</w:t>
            </w:r>
          </w:p>
        </w:tc>
        <w:tc>
          <w:tcPr>
            <w:tcW w:w="1938"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
        </w:tc>
      </w:tr>
      <w:tr>
        <w:trPr>
          <w:trHeight w:val="315" w:hRule="exact"/>
        </w:trPr>
        <w:tc>
          <w:tcPr>
            <w:tcW w:w="1999" w:type="dxa"/>
            <w:tcBorders>
              <w:top w:val="nil" w:sz="6" w:space="0" w:color="auto"/>
              <w:left w:val="nil" w:sz="6" w:space="0" w:color="auto"/>
              <w:bottom w:val="nil" w:sz="6" w:space="0" w:color="auto"/>
              <w:right w:val="nil" w:sz="6" w:space="0" w:color="auto"/>
            </w:tcBorders>
          </w:tcPr>
          <w:p>
            <w:pPr>
              <w:pStyle w:val="TableParagraph"/>
              <w:tabs>
                <w:tab w:pos="461" w:val="left" w:leader="none"/>
              </w:tabs>
              <w:spacing w:line="240" w:lineRule="auto" w:before="69"/>
              <w:ind w:left="4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1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279,907,785.50</w:t>
            </w:r>
            <w:r>
              <w:rPr>
                <w:rFonts w:ascii="Times New Roman"/>
                <w:sz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277,601,529.49</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7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192,761,706.66</w:t>
            </w:r>
            <w:r>
              <w:rPr>
                <w:rFonts w:ascii="Times New Roman"/>
                <w:sz w:val="18"/>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199,221,643.01</w:t>
            </w:r>
            <w:r>
              <w:rPr>
                <w:rFonts w:ascii="Times New Roman"/>
                <w:spacing w:val="-1"/>
                <w:sz w:val="18"/>
              </w:rPr>
            </w:r>
          </w:p>
        </w:tc>
      </w:tr>
    </w:tbl>
    <w:p>
      <w:pPr>
        <w:spacing w:line="240" w:lineRule="auto" w:before="9"/>
        <w:rPr>
          <w:rFonts w:ascii="宋体" w:hAnsi="宋体" w:cs="宋体" w:eastAsia="宋体" w:hint="default"/>
          <w:sz w:val="27"/>
          <w:szCs w:val="27"/>
        </w:rPr>
      </w:pPr>
    </w:p>
    <w:p>
      <w:pPr>
        <w:pStyle w:val="Heading6"/>
        <w:spacing w:line="240" w:lineRule="auto"/>
        <w:ind w:right="5558"/>
        <w:jc w:val="left"/>
      </w:pPr>
      <w:r>
        <w:rPr/>
        <w:t>（</w:t>
      </w:r>
      <w:r>
        <w:rPr>
          <w:rFonts w:ascii="Times New Roman" w:hAnsi="Times New Roman" w:cs="Times New Roman" w:eastAsia="Times New Roman" w:hint="default"/>
        </w:rPr>
        <w:t>2</w:t>
      </w:r>
      <w:r>
        <w:rPr/>
        <w:t>）主营业务（分行业）</w:t>
      </w:r>
    </w:p>
    <w:p>
      <w:pPr>
        <w:spacing w:line="240" w:lineRule="auto" w:before="9"/>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1978"/>
        <w:gridCol w:w="2465"/>
        <w:gridCol w:w="1637"/>
        <w:gridCol w:w="2276"/>
        <w:gridCol w:w="1501"/>
      </w:tblGrid>
      <w:tr>
        <w:trPr>
          <w:trHeight w:val="814" w:hRule="exact"/>
        </w:trPr>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53"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4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5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91" w:hRule="exact"/>
        </w:trPr>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34"/>
              <w:jc w:val="right"/>
              <w:rPr>
                <w:rFonts w:ascii="Times New Roman" w:hAnsi="Times New Roman" w:cs="Times New Roman" w:eastAsia="Times New Roman" w:hint="default"/>
                <w:sz w:val="18"/>
                <w:szCs w:val="18"/>
              </w:rPr>
            </w:pPr>
            <w:r>
              <w:rPr>
                <w:rFonts w:ascii="Times New Roman"/>
                <w:spacing w:val="-1"/>
                <w:sz w:val="18"/>
              </w:rPr>
              <w:t>276,950,120.97</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96" w:right="0"/>
              <w:jc w:val="left"/>
              <w:rPr>
                <w:rFonts w:ascii="Times New Roman" w:hAnsi="Times New Roman" w:cs="Times New Roman" w:eastAsia="Times New Roman" w:hint="default"/>
                <w:sz w:val="18"/>
                <w:szCs w:val="18"/>
              </w:rPr>
            </w:pPr>
            <w:r>
              <w:rPr>
                <w:rFonts w:ascii="Times New Roman"/>
                <w:sz w:val="18"/>
              </w:rPr>
              <w:t>191,126,107.12</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15" w:right="0"/>
              <w:jc w:val="left"/>
              <w:rPr>
                <w:rFonts w:ascii="Times New Roman" w:hAnsi="Times New Roman" w:cs="Times New Roman" w:eastAsia="Times New Roman" w:hint="default"/>
                <w:sz w:val="18"/>
                <w:szCs w:val="18"/>
              </w:rPr>
            </w:pPr>
            <w:r>
              <w:rPr>
                <w:rFonts w:ascii="Times New Roman"/>
                <w:sz w:val="18"/>
              </w:rPr>
              <w:t>277,541,693.49</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96" w:right="0"/>
              <w:jc w:val="left"/>
              <w:rPr>
                <w:rFonts w:ascii="Times New Roman" w:hAnsi="Times New Roman" w:cs="Times New Roman" w:eastAsia="Times New Roman" w:hint="default"/>
                <w:sz w:val="18"/>
                <w:szCs w:val="18"/>
              </w:rPr>
            </w:pPr>
            <w:r>
              <w:rPr>
                <w:rFonts w:ascii="Times New Roman"/>
                <w:sz w:val="18"/>
              </w:rPr>
              <w:t>199,221,643.01</w:t>
            </w:r>
          </w:p>
        </w:tc>
      </w:tr>
      <w:tr>
        <w:trPr>
          <w:trHeight w:val="44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4"/>
              <w:jc w:val="right"/>
              <w:rPr>
                <w:rFonts w:ascii="Times New Roman" w:hAnsi="Times New Roman" w:cs="Times New Roman" w:eastAsia="Times New Roman" w:hint="default"/>
                <w:sz w:val="18"/>
                <w:szCs w:val="18"/>
              </w:rPr>
            </w:pPr>
            <w:r>
              <w:rPr>
                <w:rFonts w:ascii="Times New Roman"/>
                <w:spacing w:val="-1"/>
                <w:sz w:val="18"/>
              </w:rPr>
              <w:t>2,823,050.23</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76" w:right="0"/>
              <w:jc w:val="left"/>
              <w:rPr>
                <w:rFonts w:ascii="Times New Roman" w:hAnsi="Times New Roman" w:cs="Times New Roman" w:eastAsia="Times New Roman" w:hint="default"/>
                <w:sz w:val="18"/>
                <w:szCs w:val="18"/>
              </w:rPr>
            </w:pPr>
            <w:r>
              <w:rPr>
                <w:rFonts w:ascii="Times New Roman"/>
                <w:sz w:val="18"/>
              </w:rPr>
              <w:t>1,635,599.54</w:t>
            </w:r>
          </w:p>
        </w:tc>
        <w:tc>
          <w:tcPr>
            <w:tcW w:w="227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r>
      <w:tr>
        <w:trPr>
          <w:trHeight w:val="416"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279,773,171.20</w:t>
            </w:r>
            <w:r>
              <w:rPr>
                <w:rFonts w:ascii="Times New Roman"/>
                <w:spacing w:val="-1"/>
                <w:sz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192,761,706.66</w:t>
            </w:r>
            <w:r>
              <w:rPr>
                <w:rFonts w:ascii="Times New Roman"/>
                <w:sz w:val="18"/>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277,541,693.49</w:t>
            </w:r>
            <w:r>
              <w:rPr>
                <w:rFonts w:ascii="Times New Roman"/>
                <w:sz w:val="18"/>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199,221,643.01</w:t>
            </w:r>
            <w:r>
              <w:rPr>
                <w:rFonts w:ascii="Times New Roman"/>
                <w:sz w:val="18"/>
              </w:rPr>
            </w:r>
          </w:p>
        </w:tc>
      </w:tr>
    </w:tbl>
    <w:p>
      <w:pPr>
        <w:spacing w:line="240" w:lineRule="auto" w:before="1"/>
        <w:rPr>
          <w:rFonts w:ascii="宋体" w:hAnsi="宋体" w:cs="宋体" w:eastAsia="宋体" w:hint="default"/>
          <w:sz w:val="20"/>
          <w:szCs w:val="20"/>
        </w:rPr>
      </w:pPr>
    </w:p>
    <w:p>
      <w:pPr>
        <w:pStyle w:val="Heading6"/>
        <w:spacing w:line="240" w:lineRule="auto"/>
        <w:ind w:right="5558"/>
        <w:jc w:val="left"/>
      </w:pPr>
      <w:r>
        <w:rPr/>
        <w:t>（</w:t>
      </w:r>
      <w:r>
        <w:rPr>
          <w:rFonts w:ascii="Times New Roman" w:hAnsi="Times New Roman" w:cs="Times New Roman" w:eastAsia="Times New Roman" w:hint="default"/>
        </w:rPr>
        <w:t>3</w:t>
      </w:r>
      <w:r>
        <w:rPr/>
        <w:t>）主营业务（分产品）</w:t>
      </w:r>
    </w:p>
    <w:p>
      <w:pPr>
        <w:spacing w:line="240" w:lineRule="auto" w:before="3"/>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997"/>
        <w:gridCol w:w="2487"/>
        <w:gridCol w:w="1600"/>
        <w:gridCol w:w="1948"/>
        <w:gridCol w:w="1825"/>
      </w:tblGrid>
      <w:tr>
        <w:trPr>
          <w:trHeight w:val="310"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180" w:lineRule="exact"/>
              <w:ind w:left="67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487" w:type="dxa"/>
            <w:tcBorders>
              <w:top w:val="nil" w:sz="6" w:space="0" w:color="auto"/>
              <w:left w:val="nil" w:sz="6" w:space="0" w:color="auto"/>
              <w:bottom w:val="nil" w:sz="6" w:space="0" w:color="auto"/>
              <w:right w:val="nil" w:sz="6" w:space="0" w:color="auto"/>
            </w:tcBorders>
          </w:tcPr>
          <w:p>
            <w:pPr>
              <w:pStyle w:val="TableParagraph"/>
              <w:spacing w:line="180" w:lineRule="exact"/>
              <w:ind w:right="60"/>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600" w:type="dxa"/>
            <w:tcBorders>
              <w:top w:val="nil" w:sz="6" w:space="0" w:color="auto"/>
              <w:left w:val="nil" w:sz="6" w:space="0" w:color="auto"/>
              <w:bottom w:val="nil" w:sz="6" w:space="0" w:color="auto"/>
              <w:right w:val="nil" w:sz="6" w:space="0" w:color="auto"/>
            </w:tcBorders>
          </w:tcPr>
          <w:p>
            <w:pPr/>
          </w:p>
        </w:tc>
        <w:tc>
          <w:tcPr>
            <w:tcW w:w="3773"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2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7" w:hRule="exact"/>
        </w:trPr>
        <w:tc>
          <w:tcPr>
            <w:tcW w:w="1997" w:type="dxa"/>
            <w:tcBorders>
              <w:top w:val="nil" w:sz="6" w:space="0" w:color="auto"/>
              <w:left w:val="nil" w:sz="6" w:space="0" w:color="auto"/>
              <w:bottom w:val="single" w:sz="8" w:space="0" w:color="000000"/>
              <w:right w:val="nil" w:sz="6" w:space="0" w:color="auto"/>
            </w:tcBorders>
          </w:tcPr>
          <w:p>
            <w:pPr/>
          </w:p>
        </w:tc>
        <w:tc>
          <w:tcPr>
            <w:tcW w:w="2487"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72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00"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8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48"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5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25"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5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98" w:hRule="exact"/>
        </w:trPr>
        <w:tc>
          <w:tcPr>
            <w:tcW w:w="1997"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248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602" w:right="0"/>
              <w:jc w:val="left"/>
              <w:rPr>
                <w:rFonts w:ascii="Times New Roman" w:hAnsi="Times New Roman" w:cs="Times New Roman" w:eastAsia="Times New Roman" w:hint="default"/>
                <w:sz w:val="18"/>
                <w:szCs w:val="18"/>
              </w:rPr>
            </w:pPr>
            <w:r>
              <w:rPr>
                <w:rFonts w:ascii="Times New Roman"/>
                <w:sz w:val="18"/>
              </w:rPr>
              <w:t>205,376,784.36</w:t>
            </w:r>
          </w:p>
        </w:tc>
        <w:tc>
          <w:tcPr>
            <w:tcW w:w="1600"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62" w:right="0"/>
              <w:jc w:val="left"/>
              <w:rPr>
                <w:rFonts w:ascii="Times New Roman" w:hAnsi="Times New Roman" w:cs="Times New Roman" w:eastAsia="Times New Roman" w:hint="default"/>
                <w:sz w:val="18"/>
                <w:szCs w:val="18"/>
              </w:rPr>
            </w:pPr>
            <w:r>
              <w:rPr>
                <w:rFonts w:ascii="Times New Roman"/>
                <w:sz w:val="18"/>
              </w:rPr>
              <w:t>136,926,514.17</w:t>
            </w:r>
          </w:p>
        </w:tc>
        <w:tc>
          <w:tcPr>
            <w:tcW w:w="1948"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08"/>
              <w:jc w:val="right"/>
              <w:rPr>
                <w:rFonts w:ascii="Times New Roman" w:hAnsi="Times New Roman" w:cs="Times New Roman" w:eastAsia="Times New Roman" w:hint="default"/>
                <w:sz w:val="18"/>
                <w:szCs w:val="18"/>
              </w:rPr>
            </w:pPr>
            <w:r>
              <w:rPr>
                <w:rFonts w:ascii="Times New Roman"/>
                <w:spacing w:val="-1"/>
                <w:sz w:val="18"/>
              </w:rPr>
              <w:t>199,727,039.97</w:t>
            </w:r>
          </w:p>
        </w:tc>
        <w:tc>
          <w:tcPr>
            <w:tcW w:w="1825"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286"/>
              <w:jc w:val="right"/>
              <w:rPr>
                <w:rFonts w:ascii="Times New Roman" w:hAnsi="Times New Roman" w:cs="Times New Roman" w:eastAsia="Times New Roman" w:hint="default"/>
                <w:sz w:val="18"/>
                <w:szCs w:val="18"/>
              </w:rPr>
            </w:pPr>
            <w:r>
              <w:rPr>
                <w:rFonts w:ascii="Times New Roman"/>
                <w:spacing w:val="-1"/>
                <w:sz w:val="18"/>
              </w:rPr>
              <w:t>145,655,002.61</w:t>
            </w:r>
          </w:p>
        </w:tc>
      </w:tr>
      <w:tr>
        <w:trPr>
          <w:trHeight w:val="439"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93" w:right="0"/>
              <w:jc w:val="left"/>
              <w:rPr>
                <w:rFonts w:ascii="Times New Roman" w:hAnsi="Times New Roman" w:cs="Times New Roman" w:eastAsia="Times New Roman" w:hint="default"/>
                <w:sz w:val="18"/>
                <w:szCs w:val="18"/>
              </w:rPr>
            </w:pPr>
            <w:r>
              <w:rPr>
                <w:rFonts w:ascii="Times New Roman"/>
                <w:sz w:val="18"/>
              </w:rPr>
              <w:t>62,083,895.77</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9"/>
              <w:jc w:val="right"/>
              <w:rPr>
                <w:rFonts w:ascii="Times New Roman" w:hAnsi="Times New Roman" w:cs="Times New Roman" w:eastAsia="Times New Roman" w:hint="default"/>
                <w:sz w:val="18"/>
                <w:szCs w:val="18"/>
              </w:rPr>
            </w:pPr>
            <w:r>
              <w:rPr>
                <w:rFonts w:ascii="Times New Roman"/>
                <w:spacing w:val="-1"/>
                <w:sz w:val="18"/>
              </w:rPr>
              <w:t>48,620,054.97</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8"/>
              <w:jc w:val="right"/>
              <w:rPr>
                <w:rFonts w:ascii="Times New Roman" w:hAnsi="Times New Roman" w:cs="Times New Roman" w:eastAsia="Times New Roman" w:hint="default"/>
                <w:sz w:val="18"/>
                <w:szCs w:val="18"/>
              </w:rPr>
            </w:pPr>
            <w:r>
              <w:rPr>
                <w:rFonts w:ascii="Times New Roman"/>
                <w:spacing w:val="-1"/>
                <w:sz w:val="18"/>
              </w:rPr>
              <w:t>69,083,294.81</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6"/>
              <w:jc w:val="right"/>
              <w:rPr>
                <w:rFonts w:ascii="Times New Roman" w:hAnsi="Times New Roman" w:cs="Times New Roman" w:eastAsia="Times New Roman" w:hint="default"/>
                <w:sz w:val="18"/>
                <w:szCs w:val="18"/>
              </w:rPr>
            </w:pPr>
            <w:r>
              <w:rPr>
                <w:rFonts w:ascii="Times New Roman"/>
                <w:spacing w:val="-1"/>
                <w:sz w:val="18"/>
              </w:rPr>
              <w:t>50,272,174.80</w:t>
            </w:r>
          </w:p>
        </w:tc>
      </w:tr>
      <w:tr>
        <w:trPr>
          <w:trHeight w:val="440"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版税</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2" w:right="0"/>
              <w:jc w:val="left"/>
              <w:rPr>
                <w:rFonts w:ascii="Times New Roman" w:hAnsi="Times New Roman" w:cs="Times New Roman" w:eastAsia="Times New Roman" w:hint="default"/>
                <w:sz w:val="18"/>
                <w:szCs w:val="18"/>
              </w:rPr>
            </w:pPr>
            <w:r>
              <w:rPr>
                <w:rFonts w:ascii="Times New Roman"/>
                <w:sz w:val="18"/>
              </w:rPr>
              <w:t>9,489,440.84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9"/>
              <w:jc w:val="right"/>
              <w:rPr>
                <w:rFonts w:ascii="Times New Roman" w:hAnsi="Times New Roman" w:cs="Times New Roman" w:eastAsia="Times New Roman" w:hint="default"/>
                <w:sz w:val="18"/>
                <w:szCs w:val="18"/>
              </w:rPr>
            </w:pPr>
            <w:r>
              <w:rPr>
                <w:rFonts w:ascii="Times New Roman"/>
                <w:spacing w:val="-1"/>
                <w:sz w:val="18"/>
              </w:rPr>
              <w:t>5,579,537.98</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8"/>
              <w:jc w:val="right"/>
              <w:rPr>
                <w:rFonts w:ascii="Times New Roman" w:hAnsi="Times New Roman" w:cs="Times New Roman" w:eastAsia="Times New Roman" w:hint="default"/>
                <w:sz w:val="18"/>
                <w:szCs w:val="18"/>
              </w:rPr>
            </w:pPr>
            <w:r>
              <w:rPr>
                <w:rFonts w:ascii="Times New Roman"/>
                <w:spacing w:val="-1"/>
                <w:sz w:val="18"/>
              </w:rPr>
              <w:t>8,731,358.71</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6"/>
              <w:jc w:val="right"/>
              <w:rPr>
                <w:rFonts w:ascii="Times New Roman" w:hAnsi="Times New Roman" w:cs="Times New Roman" w:eastAsia="Times New Roman" w:hint="default"/>
                <w:sz w:val="18"/>
                <w:szCs w:val="18"/>
              </w:rPr>
            </w:pPr>
            <w:r>
              <w:rPr>
                <w:rFonts w:ascii="Times New Roman"/>
                <w:spacing w:val="-1"/>
                <w:sz w:val="18"/>
              </w:rPr>
              <w:t>3,294,465.60</w:t>
            </w:r>
          </w:p>
        </w:tc>
      </w:tr>
      <w:tr>
        <w:trPr>
          <w:trHeight w:val="440"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2" w:right="0"/>
              <w:jc w:val="left"/>
              <w:rPr>
                <w:rFonts w:ascii="Times New Roman" w:hAnsi="Times New Roman" w:cs="Times New Roman" w:eastAsia="Times New Roman" w:hint="default"/>
                <w:sz w:val="18"/>
                <w:szCs w:val="18"/>
              </w:rPr>
            </w:pPr>
            <w:r>
              <w:rPr>
                <w:rFonts w:ascii="Times New Roman"/>
                <w:sz w:val="18"/>
              </w:rPr>
              <w:t>2,823,050.23</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9"/>
              <w:jc w:val="right"/>
              <w:rPr>
                <w:rFonts w:ascii="Times New Roman" w:hAnsi="Times New Roman" w:cs="Times New Roman" w:eastAsia="Times New Roman" w:hint="default"/>
                <w:sz w:val="18"/>
                <w:szCs w:val="18"/>
              </w:rPr>
            </w:pPr>
            <w:r>
              <w:rPr>
                <w:rFonts w:ascii="Times New Roman"/>
                <w:spacing w:val="-1"/>
                <w:sz w:val="18"/>
              </w:rPr>
              <w:t>1,635,599.54</w:t>
            </w:r>
          </w:p>
        </w:tc>
        <w:tc>
          <w:tcPr>
            <w:tcW w:w="1948"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15"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279,773,171.20</w:t>
            </w:r>
            <w:r>
              <w:rPr>
                <w:rFonts w:ascii="Times New Roman"/>
                <w:sz w:val="18"/>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192,761,706.66</w:t>
            </w:r>
            <w:r>
              <w:rPr>
                <w:rFonts w:ascii="Times New Roman"/>
                <w:sz w:val="18"/>
              </w:rPr>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277,541,693.49</w:t>
            </w:r>
            <w:r>
              <w:rPr>
                <w:rFonts w:ascii="Times New Roman"/>
                <w:spacing w:val="-1"/>
                <w:sz w:val="18"/>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199,221,643.01</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5558"/>
        <w:jc w:val="left"/>
      </w:pPr>
      <w:r>
        <w:rPr/>
        <w:t>（</w:t>
      </w:r>
      <w:r>
        <w:rPr>
          <w:rFonts w:ascii="Times New Roman" w:hAnsi="Times New Roman" w:cs="Times New Roman" w:eastAsia="Times New Roman" w:hint="default"/>
        </w:rPr>
        <w:t>4</w:t>
      </w:r>
      <w:r>
        <w:rPr/>
        <w:t>）主营业务（分地区）</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896"/>
        <w:gridCol w:w="2509"/>
        <w:gridCol w:w="1620"/>
        <w:gridCol w:w="1962"/>
        <w:gridCol w:w="1869"/>
      </w:tblGrid>
      <w:tr>
        <w:trPr>
          <w:trHeight w:val="205" w:hRule="exact"/>
        </w:trPr>
        <w:tc>
          <w:tcPr>
            <w:tcW w:w="1896"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620" w:type="dxa"/>
            <w:tcBorders>
              <w:top w:val="nil" w:sz="6" w:space="0" w:color="auto"/>
              <w:left w:val="nil" w:sz="6" w:space="0" w:color="auto"/>
              <w:bottom w:val="nil" w:sz="6" w:space="0" w:color="auto"/>
              <w:right w:val="nil" w:sz="6" w:space="0" w:color="auto"/>
            </w:tcBorders>
          </w:tcPr>
          <w:p>
            <w:pPr/>
          </w:p>
        </w:tc>
        <w:tc>
          <w:tcPr>
            <w:tcW w:w="383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96"/>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30"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509"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r>
      <w:tr>
        <w:trPr>
          <w:trHeight w:val="302" w:hRule="exact"/>
        </w:trPr>
        <w:tc>
          <w:tcPr>
            <w:tcW w:w="1896" w:type="dxa"/>
            <w:tcBorders>
              <w:top w:val="nil" w:sz="6" w:space="0" w:color="auto"/>
              <w:left w:val="nil" w:sz="6" w:space="0" w:color="auto"/>
              <w:bottom w:val="single" w:sz="8" w:space="0" w:color="000000"/>
              <w:right w:val="nil" w:sz="6" w:space="0" w:color="auto"/>
            </w:tcBorders>
          </w:tcPr>
          <w:p>
            <w:pPr/>
          </w:p>
        </w:tc>
        <w:tc>
          <w:tcPr>
            <w:tcW w:w="2509" w:type="dxa"/>
            <w:tcBorders>
              <w:top w:val="nil" w:sz="6" w:space="0" w:color="auto"/>
              <w:left w:val="nil" w:sz="6" w:space="0" w:color="auto"/>
              <w:bottom w:val="single" w:sz="8" w:space="0" w:color="000000"/>
              <w:right w:val="nil" w:sz="6" w:space="0" w:color="auto"/>
            </w:tcBorders>
          </w:tcPr>
          <w:p>
            <w:pPr>
              <w:pStyle w:val="TableParagraph"/>
              <w:spacing w:line="205" w:lineRule="exact"/>
              <w:ind w:left="72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20" w:type="dxa"/>
            <w:tcBorders>
              <w:top w:val="nil" w:sz="6" w:space="0" w:color="auto"/>
              <w:left w:val="nil" w:sz="6" w:space="0" w:color="auto"/>
              <w:bottom w:val="single" w:sz="8" w:space="0" w:color="000000"/>
              <w:right w:val="nil" w:sz="6" w:space="0" w:color="auto"/>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62" w:type="dxa"/>
            <w:tcBorders>
              <w:top w:val="nil" w:sz="6" w:space="0" w:color="auto"/>
              <w:left w:val="nil" w:sz="6" w:space="0" w:color="auto"/>
              <w:bottom w:val="single" w:sz="8" w:space="0" w:color="000000"/>
              <w:right w:val="nil" w:sz="6" w:space="0" w:color="auto"/>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9" w:type="dxa"/>
            <w:tcBorders>
              <w:top w:val="nil" w:sz="6" w:space="0" w:color="auto"/>
              <w:left w:val="nil" w:sz="6" w:space="0" w:color="auto"/>
              <w:bottom w:val="single" w:sz="8" w:space="0" w:color="000000"/>
              <w:right w:val="nil" w:sz="6" w:space="0" w:color="auto"/>
            </w:tcBorders>
          </w:tcPr>
          <w:p>
            <w:pPr>
              <w:pStyle w:val="TableParagraph"/>
              <w:spacing w:line="205"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97" w:hRule="exact"/>
        </w:trPr>
        <w:tc>
          <w:tcPr>
            <w:tcW w:w="1896"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湖南省内销售</w:t>
            </w:r>
          </w:p>
        </w:tc>
        <w:tc>
          <w:tcPr>
            <w:tcW w:w="2509"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623" w:right="0"/>
              <w:jc w:val="left"/>
              <w:rPr>
                <w:rFonts w:ascii="Times New Roman" w:hAnsi="Times New Roman" w:cs="Times New Roman" w:eastAsia="Times New Roman" w:hint="default"/>
                <w:sz w:val="18"/>
                <w:szCs w:val="18"/>
              </w:rPr>
            </w:pPr>
            <w:r>
              <w:rPr>
                <w:rFonts w:ascii="Times New Roman"/>
                <w:sz w:val="18"/>
              </w:rPr>
              <w:t>177,151,153.19</w:t>
            </w:r>
          </w:p>
        </w:tc>
        <w:tc>
          <w:tcPr>
            <w:tcW w:w="1620"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84" w:right="0"/>
              <w:jc w:val="left"/>
              <w:rPr>
                <w:rFonts w:ascii="Times New Roman" w:hAnsi="Times New Roman" w:cs="Times New Roman" w:eastAsia="Times New Roman" w:hint="default"/>
                <w:sz w:val="18"/>
                <w:szCs w:val="18"/>
              </w:rPr>
            </w:pPr>
            <w:r>
              <w:rPr>
                <w:rFonts w:ascii="Times New Roman"/>
                <w:sz w:val="18"/>
              </w:rPr>
              <w:t>119,557,392.37</w:t>
            </w:r>
          </w:p>
        </w:tc>
        <w:tc>
          <w:tcPr>
            <w:tcW w:w="1962"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417"/>
              <w:jc w:val="right"/>
              <w:rPr>
                <w:rFonts w:ascii="Times New Roman" w:hAnsi="Times New Roman" w:cs="Times New Roman" w:eastAsia="Times New Roman" w:hint="default"/>
                <w:sz w:val="18"/>
                <w:szCs w:val="18"/>
              </w:rPr>
            </w:pPr>
            <w:r>
              <w:rPr>
                <w:rFonts w:ascii="Times New Roman"/>
                <w:spacing w:val="-1"/>
                <w:sz w:val="18"/>
              </w:rPr>
              <w:t>198,989,322.18</w:t>
            </w:r>
          </w:p>
        </w:tc>
        <w:tc>
          <w:tcPr>
            <w:tcW w:w="1869"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322"/>
              <w:jc w:val="right"/>
              <w:rPr>
                <w:rFonts w:ascii="Times New Roman" w:hAnsi="Times New Roman" w:cs="Times New Roman" w:eastAsia="Times New Roman" w:hint="default"/>
                <w:sz w:val="18"/>
                <w:szCs w:val="18"/>
              </w:rPr>
            </w:pPr>
            <w:r>
              <w:rPr>
                <w:rFonts w:ascii="Times New Roman"/>
                <w:spacing w:val="-1"/>
                <w:sz w:val="18"/>
              </w:rPr>
              <w:t>134,577,823.91</w:t>
            </w:r>
          </w:p>
        </w:tc>
      </w:tr>
      <w:tr>
        <w:trPr>
          <w:trHeight w:val="440"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湖南省外销售</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23" w:right="0"/>
              <w:jc w:val="left"/>
              <w:rPr>
                <w:rFonts w:ascii="Times New Roman" w:hAnsi="Times New Roman" w:cs="Times New Roman" w:eastAsia="Times New Roman" w:hint="default"/>
                <w:sz w:val="18"/>
                <w:szCs w:val="18"/>
              </w:rPr>
            </w:pPr>
            <w:r>
              <w:rPr>
                <w:rFonts w:ascii="Times New Roman"/>
                <w:sz w:val="18"/>
              </w:rPr>
              <w:t>102,622,018.01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8" w:right="0"/>
              <w:jc w:val="left"/>
              <w:rPr>
                <w:rFonts w:ascii="Times New Roman" w:hAnsi="Times New Roman" w:cs="Times New Roman" w:eastAsia="Times New Roman" w:hint="default"/>
                <w:sz w:val="18"/>
                <w:szCs w:val="18"/>
              </w:rPr>
            </w:pPr>
            <w:r>
              <w:rPr>
                <w:rFonts w:ascii="Times New Roman"/>
                <w:sz w:val="18"/>
              </w:rPr>
              <w:t>73,204,314.29</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7"/>
              <w:jc w:val="right"/>
              <w:rPr>
                <w:rFonts w:ascii="Times New Roman" w:hAnsi="Times New Roman" w:cs="Times New Roman" w:eastAsia="Times New Roman" w:hint="default"/>
                <w:sz w:val="18"/>
                <w:szCs w:val="18"/>
              </w:rPr>
            </w:pPr>
            <w:r>
              <w:rPr>
                <w:rFonts w:ascii="Times New Roman"/>
                <w:spacing w:val="-1"/>
                <w:sz w:val="18"/>
              </w:rPr>
              <w:t>78,552,371.31</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2"/>
              <w:jc w:val="right"/>
              <w:rPr>
                <w:rFonts w:ascii="Times New Roman" w:hAnsi="Times New Roman" w:cs="Times New Roman" w:eastAsia="Times New Roman" w:hint="default"/>
                <w:sz w:val="18"/>
                <w:szCs w:val="18"/>
              </w:rPr>
            </w:pPr>
            <w:r>
              <w:rPr>
                <w:rFonts w:ascii="Times New Roman"/>
                <w:spacing w:val="-1"/>
                <w:sz w:val="18"/>
              </w:rPr>
              <w:t>64,643,819.10</w:t>
            </w:r>
          </w:p>
        </w:tc>
      </w:tr>
      <w:tr>
        <w:trPr>
          <w:trHeight w:val="315"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279,773,171.20</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192,761,706.66</w:t>
            </w:r>
            <w:r>
              <w:rPr>
                <w:rFonts w:ascii="Times New Roman"/>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277,541,693.49</w:t>
            </w:r>
            <w:r>
              <w:rPr>
                <w:rFonts w:ascii="Times New Roman"/>
                <w:spacing w:val="-1"/>
                <w:sz w:val="18"/>
              </w:rPr>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199,221,643.01</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5558"/>
        <w:jc w:val="left"/>
      </w:pPr>
      <w:r>
        <w:rPr/>
        <w:t>（</w:t>
      </w:r>
      <w:r>
        <w:rPr>
          <w:rFonts w:ascii="Times New Roman" w:hAnsi="Times New Roman" w:cs="Times New Roman" w:eastAsia="Times New Roman" w:hint="default"/>
        </w:rPr>
        <w:t>5</w:t>
      </w:r>
      <w:r>
        <w:rPr/>
        <w:t>）公司前五名客户的营业收入情况</w:t>
      </w:r>
    </w:p>
    <w:p>
      <w:pPr>
        <w:spacing w:after="0" w:line="240" w:lineRule="auto"/>
        <w:jc w:val="left"/>
        <w:sectPr>
          <w:pgSz w:w="11910" w:h="16840"/>
          <w:pgMar w:header="918" w:footer="999" w:top="1100" w:bottom="1180" w:left="92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509"/>
        <w:gridCol w:w="2788"/>
        <w:gridCol w:w="3560"/>
      </w:tblGrid>
      <w:tr>
        <w:trPr>
          <w:trHeight w:val="277" w:hRule="exact"/>
        </w:trPr>
        <w:tc>
          <w:tcPr>
            <w:tcW w:w="3509" w:type="dxa"/>
            <w:tcBorders>
              <w:top w:val="nil" w:sz="6" w:space="0" w:color="auto"/>
              <w:left w:val="nil" w:sz="6" w:space="0" w:color="auto"/>
              <w:bottom w:val="single" w:sz="8" w:space="0" w:color="000000"/>
              <w:right w:val="nil" w:sz="6" w:space="0" w:color="auto"/>
            </w:tcBorders>
          </w:tcPr>
          <w:p>
            <w:pPr>
              <w:pStyle w:val="TableParagraph"/>
              <w:spacing w:line="180" w:lineRule="exact"/>
              <w:ind w:right="162"/>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788" w:type="dxa"/>
            <w:tcBorders>
              <w:top w:val="nil" w:sz="6" w:space="0" w:color="auto"/>
              <w:left w:val="nil" w:sz="6" w:space="0" w:color="auto"/>
              <w:bottom w:val="single" w:sz="8" w:space="0" w:color="000000"/>
              <w:right w:val="nil" w:sz="6" w:space="0" w:color="auto"/>
            </w:tcBorders>
          </w:tcPr>
          <w:p>
            <w:pPr>
              <w:pStyle w:val="TableParagraph"/>
              <w:spacing w:line="180" w:lineRule="exact"/>
              <w:ind w:left="53"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560" w:type="dxa"/>
            <w:tcBorders>
              <w:top w:val="nil" w:sz="6" w:space="0" w:color="auto"/>
              <w:left w:val="nil" w:sz="6" w:space="0" w:color="auto"/>
              <w:bottom w:val="single" w:sz="8" w:space="0" w:color="000000"/>
              <w:right w:val="nil" w:sz="6" w:space="0" w:color="auto"/>
            </w:tcBorders>
          </w:tcPr>
          <w:p>
            <w:pPr>
              <w:pStyle w:val="TableParagraph"/>
              <w:spacing w:line="194"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8" w:hRule="exact"/>
        </w:trPr>
        <w:tc>
          <w:tcPr>
            <w:tcW w:w="350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2788"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531"/>
              <w:jc w:val="right"/>
              <w:rPr>
                <w:rFonts w:ascii="Times New Roman" w:hAnsi="Times New Roman" w:cs="Times New Roman" w:eastAsia="Times New Roman" w:hint="default"/>
                <w:sz w:val="18"/>
                <w:szCs w:val="18"/>
              </w:rPr>
            </w:pPr>
            <w:r>
              <w:rPr>
                <w:rFonts w:ascii="Times New Roman"/>
                <w:spacing w:val="-1"/>
                <w:sz w:val="18"/>
              </w:rPr>
              <w:t>87,735,113.40</w:t>
            </w:r>
          </w:p>
        </w:tc>
        <w:tc>
          <w:tcPr>
            <w:tcW w:w="3560"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2172" w:right="0"/>
              <w:jc w:val="left"/>
              <w:rPr>
                <w:rFonts w:ascii="Times New Roman" w:hAnsi="Times New Roman" w:cs="Times New Roman" w:eastAsia="Times New Roman" w:hint="default"/>
                <w:sz w:val="18"/>
                <w:szCs w:val="18"/>
              </w:rPr>
            </w:pPr>
            <w:r>
              <w:rPr>
                <w:rFonts w:ascii="Times New Roman"/>
                <w:sz w:val="18"/>
              </w:rPr>
              <w:t>31.34</w:t>
            </w:r>
          </w:p>
        </w:tc>
      </w:tr>
      <w:tr>
        <w:trPr>
          <w:trHeight w:val="439"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湖南省新闻出版局</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1"/>
              <w:jc w:val="right"/>
              <w:rPr>
                <w:rFonts w:ascii="Times New Roman" w:hAnsi="Times New Roman" w:cs="Times New Roman" w:eastAsia="Times New Roman" w:hint="default"/>
                <w:sz w:val="18"/>
                <w:szCs w:val="18"/>
              </w:rPr>
            </w:pPr>
            <w:r>
              <w:rPr>
                <w:rFonts w:ascii="Times New Roman"/>
                <w:spacing w:val="-1"/>
                <w:sz w:val="18"/>
              </w:rPr>
              <w:t>35,228,318.58</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72" w:right="0"/>
              <w:jc w:val="left"/>
              <w:rPr>
                <w:rFonts w:ascii="Times New Roman" w:hAnsi="Times New Roman" w:cs="Times New Roman" w:eastAsia="Times New Roman" w:hint="default"/>
                <w:sz w:val="18"/>
                <w:szCs w:val="18"/>
              </w:rPr>
            </w:pPr>
            <w:r>
              <w:rPr>
                <w:rFonts w:ascii="Times New Roman"/>
                <w:sz w:val="18"/>
              </w:rPr>
              <w:t>12.59</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河北省新华书店有限责任公司</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1"/>
              <w:jc w:val="right"/>
              <w:rPr>
                <w:rFonts w:ascii="Times New Roman" w:hAnsi="Times New Roman" w:cs="Times New Roman" w:eastAsia="Times New Roman" w:hint="default"/>
                <w:sz w:val="18"/>
                <w:szCs w:val="18"/>
              </w:rPr>
            </w:pPr>
            <w:r>
              <w:rPr>
                <w:rFonts w:ascii="Times New Roman"/>
                <w:spacing w:val="-1"/>
                <w:sz w:val="18"/>
              </w:rPr>
              <w:t>7,240,716.60</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61" w:right="0"/>
              <w:jc w:val="left"/>
              <w:rPr>
                <w:rFonts w:ascii="Times New Roman" w:hAnsi="Times New Roman" w:cs="Times New Roman" w:eastAsia="Times New Roman" w:hint="default"/>
                <w:sz w:val="18"/>
                <w:szCs w:val="18"/>
              </w:rPr>
            </w:pPr>
            <w:r>
              <w:rPr>
                <w:rFonts w:ascii="Times New Roman"/>
                <w:sz w:val="18"/>
              </w:rPr>
              <w:t>2.59</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安徽省教育委员会</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31"/>
              <w:jc w:val="right"/>
              <w:rPr>
                <w:rFonts w:ascii="Times New Roman" w:hAnsi="Times New Roman" w:cs="Times New Roman" w:eastAsia="Times New Roman" w:hint="default"/>
                <w:sz w:val="18"/>
                <w:szCs w:val="18"/>
              </w:rPr>
            </w:pPr>
            <w:r>
              <w:rPr>
                <w:rFonts w:ascii="Times New Roman"/>
                <w:spacing w:val="-1"/>
                <w:sz w:val="18"/>
              </w:rPr>
              <w:t>6,424,001.77</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261" w:right="0"/>
              <w:jc w:val="left"/>
              <w:rPr>
                <w:rFonts w:ascii="Times New Roman" w:hAnsi="Times New Roman" w:cs="Times New Roman" w:eastAsia="Times New Roman" w:hint="default"/>
                <w:sz w:val="18"/>
                <w:szCs w:val="18"/>
              </w:rPr>
            </w:pPr>
            <w:r>
              <w:rPr>
                <w:rFonts w:ascii="Times New Roman"/>
                <w:sz w:val="18"/>
              </w:rPr>
              <w:t>2.30</w:t>
            </w:r>
          </w:p>
        </w:tc>
      </w:tr>
      <w:tr>
        <w:trPr>
          <w:trHeight w:val="439"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江苏南京上书房文化有限公司</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1"/>
              <w:jc w:val="right"/>
              <w:rPr>
                <w:rFonts w:ascii="Times New Roman" w:hAnsi="Times New Roman" w:cs="Times New Roman" w:eastAsia="Times New Roman" w:hint="default"/>
                <w:sz w:val="18"/>
                <w:szCs w:val="18"/>
              </w:rPr>
            </w:pPr>
            <w:r>
              <w:rPr>
                <w:rFonts w:ascii="Times New Roman"/>
                <w:spacing w:val="-1"/>
                <w:sz w:val="18"/>
              </w:rPr>
              <w:t>5,044,247.79</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61" w:right="0"/>
              <w:jc w:val="left"/>
              <w:rPr>
                <w:rFonts w:ascii="Times New Roman" w:hAnsi="Times New Roman" w:cs="Times New Roman" w:eastAsia="Times New Roman" w:hint="default"/>
                <w:sz w:val="18"/>
                <w:szCs w:val="18"/>
              </w:rPr>
            </w:pPr>
            <w:r>
              <w:rPr>
                <w:rFonts w:ascii="Times New Roman"/>
                <w:sz w:val="18"/>
              </w:rPr>
              <w:t>1.80</w:t>
            </w:r>
          </w:p>
        </w:tc>
      </w:tr>
      <w:tr>
        <w:trPr>
          <w:trHeight w:val="315"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141,672,398.14</w:t>
            </w:r>
            <w:r>
              <w:rPr>
                <w:rFonts w:ascii="Times New Roman"/>
                <w:spacing w:val="-1"/>
                <w:sz w:val="18"/>
              </w:rPr>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50.62</w:t>
            </w:r>
            <w:r>
              <w:rPr>
                <w:rFonts w:ascii="Times New Roman"/>
                <w:sz w:val="18"/>
              </w:rPr>
            </w:r>
          </w:p>
        </w:tc>
      </w:tr>
    </w:tbl>
    <w:p>
      <w:pPr>
        <w:spacing w:line="240" w:lineRule="auto" w:before="4"/>
        <w:rPr>
          <w:rFonts w:ascii="宋体" w:hAnsi="宋体" w:cs="宋体" w:eastAsia="宋体" w:hint="default"/>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25</w:t>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2824"/>
        <w:gridCol w:w="2301"/>
        <w:gridCol w:w="2319"/>
        <w:gridCol w:w="2333"/>
      </w:tblGrid>
      <w:tr>
        <w:trPr>
          <w:trHeight w:val="272" w:hRule="exact"/>
        </w:trPr>
        <w:tc>
          <w:tcPr>
            <w:tcW w:w="2824" w:type="dxa"/>
            <w:tcBorders>
              <w:top w:val="nil" w:sz="6" w:space="0" w:color="auto"/>
              <w:left w:val="nil" w:sz="6" w:space="0" w:color="auto"/>
              <w:bottom w:val="single" w:sz="2" w:space="0" w:color="000000"/>
              <w:right w:val="nil" w:sz="6" w:space="0" w:color="auto"/>
            </w:tcBorders>
          </w:tcPr>
          <w:p>
            <w:pPr>
              <w:pStyle w:val="TableParagraph"/>
              <w:spacing w:line="180" w:lineRule="exact"/>
              <w:ind w:left="12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301" w:type="dxa"/>
            <w:tcBorders>
              <w:top w:val="nil" w:sz="6" w:space="0" w:color="auto"/>
              <w:left w:val="nil" w:sz="6" w:space="0" w:color="auto"/>
              <w:bottom w:val="single" w:sz="2" w:space="0" w:color="000000"/>
              <w:right w:val="nil" w:sz="6" w:space="0" w:color="auto"/>
            </w:tcBorders>
          </w:tcPr>
          <w:p>
            <w:pPr>
              <w:pStyle w:val="TableParagraph"/>
              <w:spacing w:line="194" w:lineRule="exact"/>
              <w:ind w:right="150"/>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319" w:type="dxa"/>
            <w:tcBorders>
              <w:top w:val="nil" w:sz="6" w:space="0" w:color="auto"/>
              <w:left w:val="nil" w:sz="6" w:space="0" w:color="auto"/>
              <w:bottom w:val="single" w:sz="2" w:space="0" w:color="000000"/>
              <w:right w:val="nil" w:sz="6" w:space="0" w:color="auto"/>
            </w:tcBorders>
          </w:tcPr>
          <w:p>
            <w:pPr>
              <w:pStyle w:val="TableParagraph"/>
              <w:spacing w:line="180" w:lineRule="exact"/>
              <w:ind w:left="59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33" w:type="dxa"/>
            <w:tcBorders>
              <w:top w:val="nil" w:sz="6" w:space="0" w:color="auto"/>
              <w:left w:val="nil" w:sz="6" w:space="0" w:color="auto"/>
              <w:bottom w:val="single" w:sz="2" w:space="0" w:color="000000"/>
              <w:right w:val="nil" w:sz="6" w:space="0" w:color="auto"/>
            </w:tcBorders>
          </w:tcPr>
          <w:p>
            <w:pPr>
              <w:pStyle w:val="TableParagraph"/>
              <w:spacing w:line="180" w:lineRule="exact"/>
              <w:ind w:left="73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9" w:hRule="exact"/>
        </w:trPr>
        <w:tc>
          <w:tcPr>
            <w:tcW w:w="2824" w:type="dxa"/>
            <w:tcBorders>
              <w:top w:val="single" w:sz="2" w:space="0" w:color="000000"/>
              <w:left w:val="nil" w:sz="6" w:space="0" w:color="auto"/>
              <w:bottom w:val="nil" w:sz="6" w:space="0" w:color="auto"/>
              <w:right w:val="nil" w:sz="6" w:space="0" w:color="auto"/>
            </w:tcBorders>
          </w:tcPr>
          <w:p>
            <w:pPr>
              <w:pStyle w:val="TableParagraph"/>
              <w:spacing w:line="240" w:lineRule="auto" w:before="116"/>
              <w:ind w:left="22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01"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146"/>
              <w:jc w:val="center"/>
              <w:rPr>
                <w:rFonts w:ascii="Times New Roman" w:hAnsi="Times New Roman" w:cs="Times New Roman" w:eastAsia="Times New Roman" w:hint="default"/>
                <w:sz w:val="18"/>
                <w:szCs w:val="18"/>
              </w:rPr>
            </w:pPr>
            <w:r>
              <w:rPr>
                <w:rFonts w:ascii="Times New Roman"/>
                <w:sz w:val="18"/>
              </w:rPr>
              <w:t>5</w:t>
            </w:r>
          </w:p>
        </w:tc>
        <w:tc>
          <w:tcPr>
            <w:tcW w:w="2319"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737"/>
              <w:jc w:val="right"/>
              <w:rPr>
                <w:rFonts w:ascii="Times New Roman" w:hAnsi="Times New Roman" w:cs="Times New Roman" w:eastAsia="Times New Roman" w:hint="default"/>
                <w:sz w:val="18"/>
                <w:szCs w:val="18"/>
              </w:rPr>
            </w:pPr>
            <w:r>
              <w:rPr>
                <w:rFonts w:ascii="Times New Roman"/>
                <w:spacing w:val="-1"/>
                <w:sz w:val="18"/>
              </w:rPr>
              <w:t>957,141.35</w:t>
            </w:r>
          </w:p>
        </w:tc>
        <w:tc>
          <w:tcPr>
            <w:tcW w:w="2333"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607"/>
              <w:jc w:val="right"/>
              <w:rPr>
                <w:rFonts w:ascii="Times New Roman" w:hAnsi="Times New Roman" w:cs="Times New Roman" w:eastAsia="Times New Roman" w:hint="default"/>
                <w:sz w:val="18"/>
                <w:szCs w:val="18"/>
              </w:rPr>
            </w:pPr>
            <w:r>
              <w:rPr>
                <w:rFonts w:ascii="Times New Roman"/>
                <w:spacing w:val="-1"/>
                <w:sz w:val="18"/>
              </w:rPr>
              <w:t>1,095,464.42</w:t>
            </w:r>
          </w:p>
        </w:tc>
      </w:tr>
      <w:tr>
        <w:trPr>
          <w:trHeight w:val="439"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7"/>
              <w:jc w:val="right"/>
              <w:rPr>
                <w:rFonts w:ascii="Times New Roman" w:hAnsi="Times New Roman" w:cs="Times New Roman" w:eastAsia="Times New Roman" w:hint="default"/>
                <w:sz w:val="18"/>
                <w:szCs w:val="18"/>
              </w:rPr>
            </w:pPr>
            <w:r>
              <w:rPr>
                <w:rFonts w:ascii="Times New Roman"/>
                <w:spacing w:val="-1"/>
                <w:sz w:val="18"/>
              </w:rPr>
              <w:t>649,644.18</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0"/>
              <w:jc w:val="right"/>
              <w:rPr>
                <w:rFonts w:ascii="Times New Roman" w:hAnsi="Times New Roman" w:cs="Times New Roman" w:eastAsia="Times New Roman" w:hint="default"/>
                <w:sz w:val="18"/>
                <w:szCs w:val="18"/>
              </w:rPr>
            </w:pPr>
            <w:r>
              <w:rPr>
                <w:rFonts w:ascii="Times New Roman"/>
                <w:spacing w:val="-1"/>
                <w:sz w:val="18"/>
              </w:rPr>
              <w:t>747,372.30</w:t>
            </w:r>
          </w:p>
        </w:tc>
      </w:tr>
      <w:tr>
        <w:trPr>
          <w:trHeight w:val="440"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6"/>
              <w:jc w:val="center"/>
              <w:rPr>
                <w:rFonts w:ascii="Times New Roman" w:hAnsi="Times New Roman" w:cs="Times New Roman" w:eastAsia="Times New Roman" w:hint="default"/>
                <w:sz w:val="18"/>
                <w:szCs w:val="18"/>
              </w:rPr>
            </w:pPr>
            <w:r>
              <w:rPr>
                <w:rFonts w:ascii="Times New Roman"/>
                <w:sz w:val="18"/>
              </w:rPr>
              <w:t>5</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7"/>
              <w:jc w:val="right"/>
              <w:rPr>
                <w:rFonts w:ascii="Times New Roman" w:hAnsi="Times New Roman" w:cs="Times New Roman" w:eastAsia="Times New Roman" w:hint="default"/>
                <w:sz w:val="18"/>
                <w:szCs w:val="18"/>
              </w:rPr>
            </w:pPr>
            <w:r>
              <w:rPr>
                <w:rFonts w:ascii="Times New Roman"/>
                <w:spacing w:val="-1"/>
                <w:sz w:val="18"/>
              </w:rPr>
              <w:t>582,286.01</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0"/>
              <w:jc w:val="right"/>
              <w:rPr>
                <w:rFonts w:ascii="Times New Roman" w:hAnsi="Times New Roman" w:cs="Times New Roman" w:eastAsia="Times New Roman" w:hint="default"/>
                <w:sz w:val="18"/>
                <w:szCs w:val="18"/>
              </w:rPr>
            </w:pPr>
            <w:r>
              <w:rPr>
                <w:rFonts w:ascii="Times New Roman"/>
                <w:spacing w:val="-1"/>
                <w:sz w:val="18"/>
              </w:rPr>
              <w:t>690,862.89</w:t>
            </w:r>
          </w:p>
        </w:tc>
      </w:tr>
      <w:tr>
        <w:trPr>
          <w:trHeight w:val="316"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5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01"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3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2,189,071.54</w:t>
            </w:r>
            <w:r>
              <w:rPr>
                <w:rFonts w:ascii="Times New Roman"/>
                <w:sz w:val="18"/>
              </w:rPr>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2,533,699.61</w:t>
            </w:r>
            <w:r>
              <w:rPr>
                <w:rFonts w:ascii="Times New Roman"/>
                <w:spacing w:val="-1"/>
                <w:sz w:val="18"/>
              </w:rPr>
            </w:r>
          </w:p>
        </w:tc>
      </w:tr>
    </w:tbl>
    <w:p>
      <w:pPr>
        <w:spacing w:line="240" w:lineRule="auto" w:before="2"/>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26</w:t>
      </w:r>
      <w:r>
        <w:rPr/>
        <w:t>、销售费用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3241"/>
        <w:gridCol w:w="3524"/>
        <w:gridCol w:w="3092"/>
      </w:tblGrid>
      <w:tr>
        <w:trPr>
          <w:trHeight w:val="275" w:hRule="exact"/>
        </w:trPr>
        <w:tc>
          <w:tcPr>
            <w:tcW w:w="3241" w:type="dxa"/>
            <w:tcBorders>
              <w:top w:val="nil" w:sz="6" w:space="0" w:color="auto"/>
              <w:left w:val="nil" w:sz="6" w:space="0" w:color="auto"/>
              <w:bottom w:val="single" w:sz="4" w:space="0" w:color="000000"/>
              <w:right w:val="nil" w:sz="6" w:space="0" w:color="auto"/>
            </w:tcBorders>
          </w:tcPr>
          <w:p>
            <w:pPr>
              <w:pStyle w:val="TableParagraph"/>
              <w:spacing w:line="180" w:lineRule="exact"/>
              <w:ind w:right="132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24" w:type="dxa"/>
            <w:tcBorders>
              <w:top w:val="nil" w:sz="6" w:space="0" w:color="auto"/>
              <w:left w:val="nil" w:sz="6" w:space="0" w:color="auto"/>
              <w:bottom w:val="single" w:sz="4" w:space="0" w:color="000000"/>
              <w:right w:val="nil" w:sz="6" w:space="0" w:color="auto"/>
            </w:tcBorders>
          </w:tcPr>
          <w:p>
            <w:pPr>
              <w:pStyle w:val="TableParagraph"/>
              <w:spacing w:line="180" w:lineRule="exact"/>
              <w:ind w:right="144"/>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92" w:type="dxa"/>
            <w:tcBorders>
              <w:top w:val="nil" w:sz="6" w:space="0" w:color="auto"/>
              <w:left w:val="nil" w:sz="6" w:space="0" w:color="auto"/>
              <w:bottom w:val="single" w:sz="4" w:space="0" w:color="000000"/>
              <w:right w:val="nil" w:sz="6" w:space="0" w:color="auto"/>
            </w:tcBorders>
          </w:tcPr>
          <w:p>
            <w:pPr>
              <w:pStyle w:val="TableParagraph"/>
              <w:spacing w:line="180" w:lineRule="exact"/>
              <w:ind w:right="18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1" w:hRule="exact"/>
        </w:trPr>
        <w:tc>
          <w:tcPr>
            <w:tcW w:w="32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67"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87"/>
              <w:jc w:val="right"/>
              <w:rPr>
                <w:rFonts w:ascii="Times New Roman" w:hAnsi="Times New Roman" w:cs="Times New Roman" w:eastAsia="Times New Roman" w:hint="default"/>
                <w:sz w:val="18"/>
                <w:szCs w:val="18"/>
              </w:rPr>
            </w:pPr>
            <w:r>
              <w:rPr>
                <w:rFonts w:ascii="Times New Roman"/>
                <w:spacing w:val="-1"/>
                <w:sz w:val="18"/>
              </w:rPr>
              <w:t>11,156,818.97</w:t>
            </w:r>
          </w:p>
        </w:tc>
        <w:tc>
          <w:tcPr>
            <w:tcW w:w="309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93"/>
              <w:jc w:val="right"/>
              <w:rPr>
                <w:rFonts w:ascii="Times New Roman" w:hAnsi="Times New Roman" w:cs="Times New Roman" w:eastAsia="Times New Roman" w:hint="default"/>
                <w:sz w:val="18"/>
                <w:szCs w:val="18"/>
              </w:rPr>
            </w:pPr>
            <w:r>
              <w:rPr>
                <w:rFonts w:ascii="Times New Roman"/>
                <w:spacing w:val="-1"/>
                <w:sz w:val="18"/>
              </w:rPr>
              <w:t>5,751,134.20</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3,433,408.38</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2,784,233.28</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67"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7"/>
              <w:jc w:val="right"/>
              <w:rPr>
                <w:rFonts w:ascii="Times New Roman" w:hAnsi="Times New Roman" w:cs="Times New Roman" w:eastAsia="Times New Roman" w:hint="default"/>
                <w:sz w:val="18"/>
                <w:szCs w:val="18"/>
              </w:rPr>
            </w:pPr>
            <w:r>
              <w:rPr>
                <w:rFonts w:ascii="Times New Roman"/>
                <w:spacing w:val="-1"/>
                <w:sz w:val="18"/>
              </w:rPr>
              <w:t>2,086,893.17</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93"/>
              <w:jc w:val="right"/>
              <w:rPr>
                <w:rFonts w:ascii="Times New Roman" w:hAnsi="Times New Roman" w:cs="Times New Roman" w:eastAsia="Times New Roman" w:hint="default"/>
                <w:sz w:val="18"/>
                <w:szCs w:val="18"/>
              </w:rPr>
            </w:pPr>
            <w:r>
              <w:rPr>
                <w:rFonts w:ascii="Times New Roman"/>
                <w:spacing w:val="-1"/>
                <w:sz w:val="18"/>
              </w:rPr>
              <w:t>2,029,082.65</w:t>
            </w:r>
          </w:p>
        </w:tc>
      </w:tr>
      <w:tr>
        <w:trPr>
          <w:trHeight w:val="439"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3,855,089.51</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2,808,165.09</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2,762,759.94</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693,620.59</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67"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7"/>
              <w:jc w:val="right"/>
              <w:rPr>
                <w:rFonts w:ascii="Times New Roman" w:hAnsi="Times New Roman" w:cs="Times New Roman" w:eastAsia="Times New Roman" w:hint="default"/>
                <w:sz w:val="18"/>
                <w:szCs w:val="18"/>
              </w:rPr>
            </w:pPr>
            <w:r>
              <w:rPr>
                <w:rFonts w:ascii="Times New Roman"/>
                <w:spacing w:val="-1"/>
                <w:sz w:val="18"/>
              </w:rPr>
              <w:t>2,166,570.42</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93"/>
              <w:jc w:val="right"/>
              <w:rPr>
                <w:rFonts w:ascii="Times New Roman" w:hAnsi="Times New Roman" w:cs="Times New Roman" w:eastAsia="Times New Roman" w:hint="default"/>
                <w:sz w:val="18"/>
                <w:szCs w:val="18"/>
              </w:rPr>
            </w:pPr>
            <w:r>
              <w:rPr>
                <w:rFonts w:ascii="Times New Roman"/>
                <w:spacing w:val="-1"/>
                <w:sz w:val="18"/>
              </w:rPr>
              <w:t>1,409,456.22</w:t>
            </w:r>
          </w:p>
        </w:tc>
      </w:tr>
      <w:tr>
        <w:trPr>
          <w:trHeight w:val="439"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2,004,530.25</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1,250,997.80</w:t>
            </w:r>
          </w:p>
        </w:tc>
      </w:tr>
      <w:tr>
        <w:trPr>
          <w:trHeight w:val="44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1,871,751.60</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957,605.50</w:t>
            </w:r>
          </w:p>
        </w:tc>
      </w:tr>
      <w:tr>
        <w:trPr>
          <w:trHeight w:val="44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6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7"/>
              <w:jc w:val="right"/>
              <w:rPr>
                <w:rFonts w:ascii="Times New Roman" w:hAnsi="Times New Roman" w:cs="Times New Roman" w:eastAsia="Times New Roman" w:hint="default"/>
                <w:sz w:val="18"/>
                <w:szCs w:val="18"/>
              </w:rPr>
            </w:pPr>
            <w:r>
              <w:rPr>
                <w:rFonts w:ascii="Times New Roman"/>
                <w:spacing w:val="-1"/>
                <w:sz w:val="18"/>
              </w:rPr>
              <w:t>1,848,679.78</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93"/>
              <w:jc w:val="right"/>
              <w:rPr>
                <w:rFonts w:ascii="Times New Roman" w:hAnsi="Times New Roman" w:cs="Times New Roman" w:eastAsia="Times New Roman" w:hint="default"/>
                <w:sz w:val="18"/>
                <w:szCs w:val="18"/>
              </w:rPr>
            </w:pPr>
            <w:r>
              <w:rPr>
                <w:rFonts w:ascii="Times New Roman"/>
                <w:spacing w:val="-1"/>
                <w:sz w:val="18"/>
              </w:rPr>
              <w:t>1,212,657.24</w:t>
            </w:r>
          </w:p>
        </w:tc>
      </w:tr>
      <w:tr>
        <w:trPr>
          <w:trHeight w:val="439"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1,201,046.98</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759,973.23</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7"/>
              <w:jc w:val="right"/>
              <w:rPr>
                <w:rFonts w:ascii="Times New Roman" w:hAnsi="Times New Roman" w:cs="Times New Roman" w:eastAsia="Times New Roman" w:hint="default"/>
                <w:sz w:val="18"/>
                <w:szCs w:val="18"/>
              </w:rPr>
            </w:pPr>
            <w:r>
              <w:rPr>
                <w:rFonts w:ascii="Times New Roman"/>
                <w:spacing w:val="-1"/>
                <w:sz w:val="18"/>
              </w:rPr>
              <w:t>1,604,547.35</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3"/>
              <w:jc w:val="right"/>
              <w:rPr>
                <w:rFonts w:ascii="Times New Roman" w:hAnsi="Times New Roman" w:cs="Times New Roman" w:eastAsia="Times New Roman" w:hint="default"/>
                <w:sz w:val="18"/>
                <w:szCs w:val="18"/>
              </w:rPr>
            </w:pPr>
            <w:r>
              <w:rPr>
                <w:rFonts w:ascii="Times New Roman"/>
                <w:spacing w:val="-1"/>
                <w:sz w:val="18"/>
              </w:rPr>
              <w:t>140,285.23</w:t>
            </w:r>
          </w:p>
        </w:tc>
      </w:tr>
      <w:tr>
        <w:trPr>
          <w:trHeight w:val="316"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2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33,992,096.35</w:t>
            </w:r>
            <w:r>
              <w:rPr>
                <w:rFonts w:ascii="Times New Roman"/>
                <w:spacing w:val="-1"/>
                <w:sz w:val="18"/>
              </w:rPr>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19,797,211.03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20" w:right="920"/>
        </w:sectPr>
      </w:pPr>
    </w:p>
    <w:p>
      <w:pPr>
        <w:spacing w:line="240" w:lineRule="auto" w:before="12"/>
        <w:rPr>
          <w:rFonts w:ascii="宋体" w:hAnsi="宋体" w:cs="宋体" w:eastAsia="宋体" w:hint="default"/>
          <w:b/>
          <w:bCs/>
          <w:sz w:val="26"/>
          <w:szCs w:val="26"/>
        </w:rPr>
      </w:pPr>
    </w:p>
    <w:p>
      <w:pPr>
        <w:pStyle w:val="BodyText"/>
        <w:spacing w:line="357" w:lineRule="auto" w:before="44"/>
        <w:ind w:left="213" w:right="214" w:firstLine="360"/>
        <w:jc w:val="both"/>
      </w:pPr>
      <w:r>
        <w:rPr/>
        <w:t>注：销售费用本期较上期增加</w:t>
      </w:r>
      <w:r>
        <w:rPr>
          <w:spacing w:val="-47"/>
        </w:rPr>
        <w:t> </w:t>
      </w:r>
      <w:r>
        <w:rPr>
          <w:rFonts w:ascii="Times New Roman" w:hAnsi="Times New Roman" w:cs="Times New Roman" w:eastAsia="Times New Roman" w:hint="default"/>
        </w:rPr>
        <w:t>1,419.49</w:t>
      </w:r>
      <w:r>
        <w:rPr>
          <w:rFonts w:ascii="Times New Roman" w:hAnsi="Times New Roman" w:cs="Times New Roman" w:eastAsia="Times New Roman" w:hint="default"/>
          <w:spacing w:val="-1"/>
        </w:rPr>
        <w:t> </w:t>
      </w:r>
      <w:r>
        <w:rPr/>
        <w:t>万元，增长</w:t>
      </w:r>
      <w:r>
        <w:rPr>
          <w:spacing w:val="-48"/>
        </w:rPr>
        <w:t> </w:t>
      </w:r>
      <w:r>
        <w:rPr>
          <w:rFonts w:ascii="Times New Roman" w:hAnsi="Times New Roman" w:cs="Times New Roman" w:eastAsia="Times New Roman" w:hint="default"/>
        </w:rPr>
        <w:t>71.70%</w:t>
      </w:r>
      <w:r>
        <w:rPr/>
        <w:t>，主要原因是国家教材政策没有进行预期的调整，相应的市 </w:t>
      </w:r>
      <w:r>
        <w:rPr>
          <w:spacing w:val="-2"/>
        </w:rPr>
        <w:t>场开拓投入有较大幅度增加；同时公司加大了对教育培训、教育装备、数字出版等新业务方面的培育，人工费用、业务宣传</w:t>
      </w:r>
      <w:r>
        <w:rPr>
          <w:spacing w:val="-67"/>
        </w:rPr>
        <w:t> </w:t>
      </w:r>
      <w:r>
        <w:rPr>
          <w:spacing w:val="-67"/>
        </w:rPr>
      </w:r>
      <w:r>
        <w:rPr/>
        <w:t>费、租赁费、业务招待费等相应增加。</w:t>
      </w:r>
    </w:p>
    <w:p>
      <w:pPr>
        <w:spacing w:line="240" w:lineRule="auto" w:before="10"/>
        <w:rPr>
          <w:rFonts w:ascii="宋体" w:hAnsi="宋体" w:cs="宋体" w:eastAsia="宋体" w:hint="default"/>
          <w:sz w:val="18"/>
          <w:szCs w:val="18"/>
        </w:rPr>
      </w:pPr>
    </w:p>
    <w:p>
      <w:pPr>
        <w:pStyle w:val="Heading5"/>
        <w:spacing w:line="240" w:lineRule="auto"/>
        <w:ind w:left="213" w:right="5558"/>
        <w:jc w:val="left"/>
        <w:rPr>
          <w:b w:val="0"/>
          <w:bCs w:val="0"/>
        </w:rPr>
      </w:pPr>
      <w:r>
        <w:rPr>
          <w:rFonts w:ascii="Times New Roman" w:hAnsi="Times New Roman" w:cs="Times New Roman" w:eastAsia="Times New Roman" w:hint="default"/>
        </w:rPr>
        <w:t>27</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3285"/>
        <w:gridCol w:w="3498"/>
        <w:gridCol w:w="3074"/>
      </w:tblGrid>
      <w:tr>
        <w:trPr>
          <w:trHeight w:val="277" w:hRule="exact"/>
        </w:trPr>
        <w:tc>
          <w:tcPr>
            <w:tcW w:w="3285" w:type="dxa"/>
            <w:tcBorders>
              <w:top w:val="nil" w:sz="6" w:space="0" w:color="auto"/>
              <w:left w:val="nil" w:sz="6" w:space="0" w:color="auto"/>
              <w:bottom w:val="single" w:sz="8"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费用项目</w:t>
            </w:r>
            <w:r>
              <w:rPr>
                <w:rFonts w:ascii="宋体" w:hAnsi="宋体" w:cs="宋体" w:eastAsia="宋体" w:hint="default"/>
                <w:sz w:val="18"/>
                <w:szCs w:val="18"/>
              </w:rPr>
            </w:r>
          </w:p>
        </w:tc>
        <w:tc>
          <w:tcPr>
            <w:tcW w:w="3498" w:type="dxa"/>
            <w:tcBorders>
              <w:top w:val="nil" w:sz="6" w:space="0" w:color="auto"/>
              <w:left w:val="nil" w:sz="6" w:space="0" w:color="auto"/>
              <w:bottom w:val="single" w:sz="8" w:space="0" w:color="000000"/>
              <w:right w:val="nil" w:sz="6" w:space="0" w:color="auto"/>
            </w:tcBorders>
          </w:tcPr>
          <w:p>
            <w:pPr>
              <w:pStyle w:val="TableParagraph"/>
              <w:spacing w:line="180" w:lineRule="exact"/>
              <w:ind w:right="206"/>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74" w:type="dxa"/>
            <w:tcBorders>
              <w:top w:val="nil" w:sz="6" w:space="0" w:color="auto"/>
              <w:left w:val="nil" w:sz="6" w:space="0" w:color="auto"/>
              <w:bottom w:val="single" w:sz="8" w:space="0" w:color="000000"/>
              <w:right w:val="nil" w:sz="6" w:space="0" w:color="auto"/>
            </w:tcBorders>
          </w:tcPr>
          <w:p>
            <w:pPr>
              <w:pStyle w:val="TableParagraph"/>
              <w:spacing w:line="180" w:lineRule="exact"/>
              <w:ind w:right="207"/>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7" w:hRule="exact"/>
        </w:trPr>
        <w:tc>
          <w:tcPr>
            <w:tcW w:w="3285"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739"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498"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1070"/>
              <w:jc w:val="right"/>
              <w:rPr>
                <w:rFonts w:ascii="Times New Roman" w:hAnsi="Times New Roman" w:cs="Times New Roman" w:eastAsia="Times New Roman" w:hint="default"/>
                <w:sz w:val="18"/>
                <w:szCs w:val="18"/>
              </w:rPr>
            </w:pPr>
            <w:r>
              <w:rPr>
                <w:rFonts w:ascii="Times New Roman"/>
                <w:spacing w:val="-1"/>
                <w:sz w:val="18"/>
              </w:rPr>
              <w:t>13,037,702.60</w:t>
            </w:r>
          </w:p>
        </w:tc>
        <w:tc>
          <w:tcPr>
            <w:tcW w:w="3074"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857"/>
              <w:jc w:val="right"/>
              <w:rPr>
                <w:rFonts w:ascii="Times New Roman" w:hAnsi="Times New Roman" w:cs="Times New Roman" w:eastAsia="Times New Roman" w:hint="default"/>
                <w:sz w:val="18"/>
                <w:szCs w:val="18"/>
              </w:rPr>
            </w:pPr>
            <w:r>
              <w:rPr>
                <w:rFonts w:ascii="Times New Roman"/>
                <w:spacing w:val="-1"/>
                <w:sz w:val="18"/>
              </w:rPr>
              <w:t>7,974,110.70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3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9"/>
              <w:jc w:val="right"/>
              <w:rPr>
                <w:rFonts w:ascii="Times New Roman" w:hAnsi="Times New Roman" w:cs="Times New Roman" w:eastAsia="Times New Roman" w:hint="default"/>
                <w:sz w:val="18"/>
                <w:szCs w:val="18"/>
              </w:rPr>
            </w:pPr>
            <w:r>
              <w:rPr>
                <w:rFonts w:ascii="Times New Roman"/>
                <w:spacing w:val="-1"/>
                <w:sz w:val="18"/>
              </w:rPr>
              <w:t>2,620,023.14</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57"/>
              <w:jc w:val="right"/>
              <w:rPr>
                <w:rFonts w:ascii="Times New Roman" w:hAnsi="Times New Roman" w:cs="Times New Roman" w:eastAsia="Times New Roman" w:hint="default"/>
                <w:sz w:val="18"/>
                <w:szCs w:val="18"/>
              </w:rPr>
            </w:pPr>
            <w:r>
              <w:rPr>
                <w:rFonts w:ascii="Times New Roman"/>
                <w:spacing w:val="-1"/>
                <w:sz w:val="18"/>
              </w:rPr>
              <w:t>2,787,138.61</w:t>
            </w:r>
          </w:p>
        </w:tc>
      </w:tr>
      <w:tr>
        <w:trPr>
          <w:trHeight w:val="439"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9"/>
              <w:jc w:val="right"/>
              <w:rPr>
                <w:rFonts w:ascii="Times New Roman" w:hAnsi="Times New Roman" w:cs="Times New Roman" w:eastAsia="Times New Roman" w:hint="default"/>
                <w:sz w:val="18"/>
                <w:szCs w:val="18"/>
              </w:rPr>
            </w:pPr>
            <w:r>
              <w:rPr>
                <w:rFonts w:ascii="Times New Roman"/>
                <w:spacing w:val="-1"/>
                <w:sz w:val="18"/>
              </w:rPr>
              <w:t>1,387,172.07</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57"/>
              <w:jc w:val="right"/>
              <w:rPr>
                <w:rFonts w:ascii="Times New Roman" w:hAnsi="Times New Roman" w:cs="Times New Roman" w:eastAsia="Times New Roman" w:hint="default"/>
                <w:sz w:val="18"/>
                <w:szCs w:val="18"/>
              </w:rPr>
            </w:pPr>
            <w:r>
              <w:rPr>
                <w:rFonts w:ascii="Times New Roman"/>
                <w:spacing w:val="-1"/>
                <w:sz w:val="18"/>
              </w:rPr>
              <w:t>1,493,008.49</w:t>
            </w:r>
          </w:p>
        </w:tc>
      </w:tr>
      <w:tr>
        <w:trPr>
          <w:trHeight w:val="441"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9"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9"/>
              <w:jc w:val="right"/>
              <w:rPr>
                <w:rFonts w:ascii="Times New Roman" w:hAnsi="Times New Roman" w:cs="Times New Roman" w:eastAsia="Times New Roman" w:hint="default"/>
                <w:sz w:val="18"/>
                <w:szCs w:val="18"/>
              </w:rPr>
            </w:pPr>
            <w:r>
              <w:rPr>
                <w:rFonts w:ascii="Times New Roman"/>
                <w:spacing w:val="-1"/>
                <w:sz w:val="18"/>
              </w:rPr>
              <w:t>2,141,020.84</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57"/>
              <w:jc w:val="right"/>
              <w:rPr>
                <w:rFonts w:ascii="Times New Roman" w:hAnsi="Times New Roman" w:cs="Times New Roman" w:eastAsia="Times New Roman" w:hint="default"/>
                <w:sz w:val="18"/>
                <w:szCs w:val="18"/>
              </w:rPr>
            </w:pPr>
            <w:r>
              <w:rPr>
                <w:rFonts w:ascii="Times New Roman"/>
                <w:spacing w:val="-1"/>
                <w:sz w:val="18"/>
              </w:rPr>
              <w:t>1,698,748.20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39"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9"/>
              <w:jc w:val="right"/>
              <w:rPr>
                <w:rFonts w:ascii="Times New Roman" w:hAnsi="Times New Roman" w:cs="Times New Roman" w:eastAsia="Times New Roman" w:hint="default"/>
                <w:sz w:val="18"/>
                <w:szCs w:val="18"/>
              </w:rPr>
            </w:pPr>
            <w:r>
              <w:rPr>
                <w:rFonts w:ascii="Times New Roman"/>
                <w:spacing w:val="-1"/>
                <w:sz w:val="18"/>
              </w:rPr>
              <w:t>1,162,661.00</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57"/>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39"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9"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9"/>
              <w:jc w:val="right"/>
              <w:rPr>
                <w:rFonts w:ascii="Times New Roman" w:hAnsi="Times New Roman" w:cs="Times New Roman" w:eastAsia="Times New Roman" w:hint="default"/>
                <w:sz w:val="18"/>
                <w:szCs w:val="18"/>
              </w:rPr>
            </w:pPr>
            <w:r>
              <w:rPr>
                <w:rFonts w:ascii="Times New Roman"/>
                <w:spacing w:val="-1"/>
                <w:sz w:val="18"/>
              </w:rPr>
              <w:t>1,086,991.52</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57"/>
              <w:jc w:val="right"/>
              <w:rPr>
                <w:rFonts w:ascii="Times New Roman" w:hAnsi="Times New Roman" w:cs="Times New Roman" w:eastAsia="Times New Roman" w:hint="default"/>
                <w:sz w:val="18"/>
                <w:szCs w:val="18"/>
              </w:rPr>
            </w:pPr>
            <w:r>
              <w:rPr>
                <w:rFonts w:ascii="Times New Roman"/>
                <w:spacing w:val="-1"/>
                <w:sz w:val="18"/>
              </w:rPr>
              <w:t>97,500.00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9"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9"/>
              <w:jc w:val="right"/>
              <w:rPr>
                <w:rFonts w:ascii="Times New Roman" w:hAnsi="Times New Roman" w:cs="Times New Roman" w:eastAsia="Times New Roman" w:hint="default"/>
                <w:sz w:val="18"/>
                <w:szCs w:val="18"/>
              </w:rPr>
            </w:pPr>
            <w:r>
              <w:rPr>
                <w:rFonts w:ascii="Times New Roman"/>
                <w:spacing w:val="-1"/>
                <w:sz w:val="18"/>
              </w:rPr>
              <w:t>1,025,976.12</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57"/>
              <w:jc w:val="right"/>
              <w:rPr>
                <w:rFonts w:ascii="Times New Roman" w:hAnsi="Times New Roman" w:cs="Times New Roman" w:eastAsia="Times New Roman" w:hint="default"/>
                <w:sz w:val="18"/>
                <w:szCs w:val="18"/>
              </w:rPr>
            </w:pPr>
            <w:r>
              <w:rPr>
                <w:rFonts w:ascii="Times New Roman"/>
                <w:spacing w:val="-1"/>
                <w:sz w:val="18"/>
              </w:rPr>
              <w:t>939,021.42</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3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9"/>
              <w:jc w:val="right"/>
              <w:rPr>
                <w:rFonts w:ascii="Times New Roman" w:hAnsi="Times New Roman" w:cs="Times New Roman" w:eastAsia="Times New Roman" w:hint="default"/>
                <w:sz w:val="18"/>
                <w:szCs w:val="18"/>
              </w:rPr>
            </w:pPr>
            <w:r>
              <w:rPr>
                <w:rFonts w:ascii="Times New Roman"/>
                <w:spacing w:val="-1"/>
                <w:sz w:val="18"/>
              </w:rPr>
              <w:t>2,383,707.61</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57"/>
              <w:jc w:val="right"/>
              <w:rPr>
                <w:rFonts w:ascii="Times New Roman" w:hAnsi="Times New Roman" w:cs="Times New Roman" w:eastAsia="Times New Roman" w:hint="default"/>
                <w:sz w:val="18"/>
                <w:szCs w:val="18"/>
              </w:rPr>
            </w:pPr>
            <w:r>
              <w:rPr>
                <w:rFonts w:ascii="Times New Roman"/>
                <w:spacing w:val="-1"/>
                <w:sz w:val="18"/>
              </w:rPr>
              <w:t>1,350,587.44</w:t>
            </w:r>
          </w:p>
        </w:tc>
      </w:tr>
      <w:tr>
        <w:trPr>
          <w:trHeight w:val="439"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9"/>
              <w:jc w:val="right"/>
              <w:rPr>
                <w:rFonts w:ascii="Times New Roman" w:hAnsi="Times New Roman" w:cs="Times New Roman" w:eastAsia="Times New Roman" w:hint="default"/>
                <w:sz w:val="18"/>
                <w:szCs w:val="18"/>
              </w:rPr>
            </w:pPr>
            <w:r>
              <w:rPr>
                <w:rFonts w:ascii="Times New Roman"/>
                <w:spacing w:val="-1"/>
                <w:sz w:val="18"/>
              </w:rPr>
              <w:t>2,318,483.55</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57"/>
              <w:jc w:val="right"/>
              <w:rPr>
                <w:rFonts w:ascii="Times New Roman" w:hAnsi="Times New Roman" w:cs="Times New Roman" w:eastAsia="Times New Roman" w:hint="default"/>
                <w:sz w:val="18"/>
                <w:szCs w:val="18"/>
              </w:rPr>
            </w:pPr>
            <w:r>
              <w:rPr>
                <w:rFonts w:ascii="Times New Roman"/>
                <w:spacing w:val="-1"/>
                <w:sz w:val="18"/>
              </w:rPr>
              <w:t>1,672,347.73</w:t>
            </w:r>
          </w:p>
        </w:tc>
      </w:tr>
      <w:tr>
        <w:trPr>
          <w:trHeight w:val="315"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27,163,738.45</w:t>
            </w:r>
            <w:r>
              <w:rPr>
                <w:rFonts w:ascii="Times New Roman"/>
                <w:spacing w:val="-1"/>
                <w:sz w:val="18"/>
              </w:rPr>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18,412,462.59</w:t>
            </w:r>
            <w:r>
              <w:rPr>
                <w:rFonts w:ascii="Times New Roman"/>
                <w:spacing w:val="-1"/>
                <w:sz w:val="18"/>
              </w:rPr>
            </w:r>
          </w:p>
        </w:tc>
      </w:tr>
    </w:tbl>
    <w:p>
      <w:pPr>
        <w:spacing w:line="240" w:lineRule="auto" w:before="8"/>
        <w:rPr>
          <w:rFonts w:ascii="宋体" w:hAnsi="宋体" w:cs="宋体" w:eastAsia="宋体" w:hint="default"/>
          <w:b/>
          <w:bCs/>
          <w:sz w:val="20"/>
          <w:szCs w:val="20"/>
        </w:rPr>
      </w:pPr>
    </w:p>
    <w:p>
      <w:pPr>
        <w:pStyle w:val="BodyText"/>
        <w:spacing w:line="345" w:lineRule="auto" w:before="44"/>
        <w:ind w:left="213" w:right="205" w:firstLine="360"/>
        <w:jc w:val="left"/>
      </w:pPr>
      <w:r>
        <w:rPr/>
        <w:t>注：管理费用本期较上期增加</w:t>
      </w:r>
      <w:r>
        <w:rPr>
          <w:spacing w:val="-51"/>
        </w:rPr>
        <w:t> </w:t>
      </w:r>
      <w:r>
        <w:rPr>
          <w:rFonts w:ascii="Times New Roman" w:hAnsi="Times New Roman" w:cs="Times New Roman" w:eastAsia="Times New Roman" w:hint="default"/>
        </w:rPr>
        <w:t>875.13</w:t>
      </w:r>
      <w:r>
        <w:rPr>
          <w:rFonts w:ascii="Times New Roman" w:hAnsi="Times New Roman" w:cs="Times New Roman" w:eastAsia="Times New Roman" w:hint="default"/>
          <w:spacing w:val="-5"/>
        </w:rPr>
        <w:t> </w:t>
      </w:r>
      <w:r>
        <w:rPr/>
        <w:t>万元，增长</w:t>
      </w:r>
      <w:r>
        <w:rPr>
          <w:spacing w:val="-51"/>
        </w:rPr>
        <w:t> </w:t>
      </w:r>
      <w:r>
        <w:rPr>
          <w:rFonts w:ascii="Times New Roman" w:hAnsi="Times New Roman" w:cs="Times New Roman" w:eastAsia="Times New Roman" w:hint="default"/>
        </w:rPr>
        <w:t>47.53%</w:t>
      </w:r>
      <w:r>
        <w:rPr/>
        <w:t>，主要原因是公司加大对教育咨询培训、教育装备、数字出版 等新业务方面的培育，人工费用、折旧摊销、业务招待费等相应增加。</w:t>
      </w:r>
    </w:p>
    <w:p>
      <w:pPr>
        <w:spacing w:line="240" w:lineRule="auto" w:before="7"/>
        <w:rPr>
          <w:rFonts w:ascii="宋体" w:hAnsi="宋体" w:cs="宋体" w:eastAsia="宋体" w:hint="default"/>
          <w:sz w:val="19"/>
          <w:szCs w:val="19"/>
        </w:rPr>
      </w:pPr>
    </w:p>
    <w:p>
      <w:pPr>
        <w:pStyle w:val="Heading5"/>
        <w:spacing w:line="240" w:lineRule="auto"/>
        <w:ind w:left="213" w:right="5558"/>
        <w:jc w:val="left"/>
        <w:rPr>
          <w:b w:val="0"/>
          <w:bCs w:val="0"/>
        </w:rPr>
      </w:pPr>
      <w:r>
        <w:rPr>
          <w:rFonts w:ascii="Times New Roman" w:hAnsi="Times New Roman" w:cs="Times New Roman" w:eastAsia="Times New Roman" w:hint="default"/>
        </w:rPr>
        <w:t>28</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3241"/>
        <w:gridCol w:w="3530"/>
        <w:gridCol w:w="3086"/>
      </w:tblGrid>
      <w:tr>
        <w:trPr>
          <w:trHeight w:val="270" w:hRule="exact"/>
        </w:trPr>
        <w:tc>
          <w:tcPr>
            <w:tcW w:w="3241" w:type="dxa"/>
            <w:tcBorders>
              <w:top w:val="nil" w:sz="6" w:space="0" w:color="auto"/>
              <w:left w:val="nil" w:sz="6" w:space="0" w:color="auto"/>
              <w:bottom w:val="single" w:sz="2" w:space="0" w:color="000000"/>
              <w:right w:val="nil" w:sz="6" w:space="0" w:color="auto"/>
            </w:tcBorders>
          </w:tcPr>
          <w:p>
            <w:pPr>
              <w:pStyle w:val="TableParagraph"/>
              <w:spacing w:line="180" w:lineRule="exact"/>
              <w:ind w:right="132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30" w:type="dxa"/>
            <w:tcBorders>
              <w:top w:val="nil" w:sz="6" w:space="0" w:color="auto"/>
              <w:left w:val="nil" w:sz="6" w:space="0" w:color="auto"/>
              <w:bottom w:val="single" w:sz="2" w:space="0" w:color="000000"/>
              <w:right w:val="nil" w:sz="6" w:space="0" w:color="auto"/>
            </w:tcBorders>
          </w:tcPr>
          <w:p>
            <w:pPr>
              <w:pStyle w:val="TableParagraph"/>
              <w:spacing w:line="180" w:lineRule="exact"/>
              <w:ind w:right="15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6" w:type="dxa"/>
            <w:tcBorders>
              <w:top w:val="nil" w:sz="6" w:space="0" w:color="auto"/>
              <w:left w:val="nil" w:sz="6" w:space="0" w:color="auto"/>
              <w:bottom w:val="single" w:sz="2" w:space="0" w:color="000000"/>
              <w:right w:val="nil" w:sz="6" w:space="0" w:color="auto"/>
            </w:tcBorders>
          </w:tcPr>
          <w:p>
            <w:pPr>
              <w:pStyle w:val="TableParagraph"/>
              <w:spacing w:line="180" w:lineRule="exact"/>
              <w:ind w:right="19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0" w:hRule="exact"/>
        </w:trPr>
        <w:tc>
          <w:tcPr>
            <w:tcW w:w="3241" w:type="dxa"/>
            <w:tcBorders>
              <w:top w:val="single" w:sz="2" w:space="0" w:color="000000"/>
              <w:left w:val="nil" w:sz="6" w:space="0" w:color="auto"/>
              <w:bottom w:val="nil" w:sz="6" w:space="0" w:color="auto"/>
              <w:right w:val="nil" w:sz="6" w:space="0" w:color="auto"/>
            </w:tcBorders>
          </w:tcPr>
          <w:p>
            <w:pPr>
              <w:pStyle w:val="TableParagraph"/>
              <w:spacing w:line="240" w:lineRule="auto" w:before="77"/>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利息支出</w:t>
            </w:r>
          </w:p>
        </w:tc>
        <w:tc>
          <w:tcPr>
            <w:tcW w:w="3530" w:type="dxa"/>
            <w:tcBorders>
              <w:top w:val="single" w:sz="2" w:space="0" w:color="000000"/>
              <w:left w:val="nil" w:sz="6" w:space="0" w:color="auto"/>
              <w:bottom w:val="nil" w:sz="6" w:space="0" w:color="auto"/>
              <w:right w:val="nil" w:sz="6" w:space="0" w:color="auto"/>
            </w:tcBorders>
          </w:tcPr>
          <w:p>
            <w:pPr/>
          </w:p>
        </w:tc>
        <w:tc>
          <w:tcPr>
            <w:tcW w:w="3086"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88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4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6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1"/>
              <w:jc w:val="right"/>
              <w:rPr>
                <w:rFonts w:ascii="Times New Roman" w:hAnsi="Times New Roman" w:cs="Times New Roman" w:eastAsia="Times New Roman" w:hint="default"/>
                <w:sz w:val="18"/>
                <w:szCs w:val="18"/>
              </w:rPr>
            </w:pPr>
            <w:r>
              <w:rPr>
                <w:rFonts w:ascii="Times New Roman"/>
                <w:spacing w:val="-1"/>
                <w:sz w:val="18"/>
              </w:rPr>
              <w:t>7,647,454.12</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81"/>
              <w:jc w:val="right"/>
              <w:rPr>
                <w:rFonts w:ascii="Times New Roman" w:hAnsi="Times New Roman" w:cs="Times New Roman" w:eastAsia="Times New Roman" w:hint="default"/>
                <w:sz w:val="18"/>
                <w:szCs w:val="18"/>
              </w:rPr>
            </w:pPr>
            <w:r>
              <w:rPr>
                <w:rFonts w:ascii="Times New Roman"/>
                <w:spacing w:val="-1"/>
                <w:sz w:val="18"/>
              </w:rPr>
              <w:t>8,635,130.36</w:t>
            </w:r>
          </w:p>
        </w:tc>
      </w:tr>
      <w:tr>
        <w:trPr>
          <w:trHeight w:val="439"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81"/>
              <w:jc w:val="right"/>
              <w:rPr>
                <w:rFonts w:ascii="Times New Roman" w:hAnsi="Times New Roman" w:cs="Times New Roman" w:eastAsia="Times New Roman" w:hint="default"/>
                <w:sz w:val="18"/>
                <w:szCs w:val="18"/>
              </w:rPr>
            </w:pPr>
            <w:r>
              <w:rPr>
                <w:rFonts w:ascii="Times New Roman"/>
                <w:spacing w:val="-1"/>
                <w:sz w:val="18"/>
              </w:rPr>
              <w:t>123,416.55</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1"/>
              <w:jc w:val="right"/>
              <w:rPr>
                <w:rFonts w:ascii="Times New Roman" w:hAnsi="Times New Roman" w:cs="Times New Roman" w:eastAsia="Times New Roman" w:hint="default"/>
                <w:sz w:val="18"/>
                <w:szCs w:val="18"/>
              </w:rPr>
            </w:pPr>
            <w:r>
              <w:rPr>
                <w:rFonts w:ascii="Times New Roman"/>
                <w:spacing w:val="-1"/>
                <w:w w:val="95"/>
                <w:sz w:val="18"/>
              </w:rPr>
              <w:t>75,611.36</w:t>
            </w:r>
          </w:p>
        </w:tc>
      </w:tr>
      <w:tr>
        <w:trPr>
          <w:trHeight w:val="313"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28"/>
              <w:jc w:val="right"/>
              <w:rPr>
                <w:rFonts w:ascii="宋体" w:hAnsi="宋体" w:cs="宋体" w:eastAsia="宋体" w:hint="default"/>
                <w:sz w:val="18"/>
                <w:szCs w:val="18"/>
              </w:rPr>
            </w:pPr>
            <w:r>
              <w:rPr>
                <w:rFonts w:ascii="宋体" w:hAnsi="宋体" w:cs="宋体" w:eastAsia="宋体" w:hint="default"/>
                <w:sz w:val="18"/>
                <w:szCs w:val="18"/>
              </w:rPr>
              <w:t>合  计</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82"/>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-7,524,037.57</w:t>
            </w:r>
            <w:r>
              <w:rPr>
                <w:rFonts w:ascii="Times New Roman"/>
                <w:spacing w:val="-1"/>
                <w:sz w:val="18"/>
              </w:rPr>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-8,459,519.00</w:t>
            </w:r>
            <w:r>
              <w:rPr>
                <w:rFonts w:ascii="Times New Roman"/>
                <w:spacing w:val="-1"/>
                <w:sz w:val="18"/>
              </w:rPr>
            </w:r>
          </w:p>
        </w:tc>
      </w:tr>
    </w:tbl>
    <w:p>
      <w:pPr>
        <w:spacing w:line="240" w:lineRule="auto" w:before="5"/>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29</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213" w:type="dxa"/>
        <w:tblLayout w:type="fixed"/>
        <w:tblCellMar>
          <w:top w:w="0" w:type="dxa"/>
          <w:left w:w="0" w:type="dxa"/>
          <w:bottom w:w="0" w:type="dxa"/>
          <w:right w:w="0" w:type="dxa"/>
        </w:tblCellMar>
        <w:tblLook w:val="01E0"/>
      </w:tblPr>
      <w:tblGrid>
        <w:gridCol w:w="3183"/>
        <w:gridCol w:w="3389"/>
        <w:gridCol w:w="3069"/>
      </w:tblGrid>
      <w:tr>
        <w:trPr>
          <w:trHeight w:val="272" w:hRule="exact"/>
        </w:trPr>
        <w:tc>
          <w:tcPr>
            <w:tcW w:w="3183" w:type="dxa"/>
            <w:tcBorders>
              <w:top w:val="nil" w:sz="6" w:space="0" w:color="auto"/>
              <w:left w:val="nil" w:sz="6" w:space="0" w:color="auto"/>
              <w:bottom w:val="single" w:sz="2" w:space="0" w:color="000000"/>
              <w:right w:val="nil" w:sz="6" w:space="0" w:color="auto"/>
            </w:tcBorders>
          </w:tcPr>
          <w:p>
            <w:pPr>
              <w:pStyle w:val="TableParagraph"/>
              <w:tabs>
                <w:tab w:pos="419" w:val="left" w:leader="none"/>
              </w:tabs>
              <w:spacing w:line="180" w:lineRule="exact"/>
              <w:ind w:right="1275"/>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389" w:type="dxa"/>
            <w:tcBorders>
              <w:top w:val="nil" w:sz="6" w:space="0" w:color="auto"/>
              <w:left w:val="nil" w:sz="6" w:space="0" w:color="auto"/>
              <w:bottom w:val="single" w:sz="2" w:space="0" w:color="000000"/>
              <w:right w:val="nil" w:sz="6" w:space="0" w:color="auto"/>
            </w:tcBorders>
          </w:tcPr>
          <w:p>
            <w:pPr>
              <w:pStyle w:val="TableParagraph"/>
              <w:spacing w:line="180" w:lineRule="exact"/>
              <w:ind w:right="109"/>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69" w:type="dxa"/>
            <w:tcBorders>
              <w:top w:val="nil" w:sz="6" w:space="0" w:color="auto"/>
              <w:left w:val="nil" w:sz="6" w:space="0" w:color="auto"/>
              <w:bottom w:val="single" w:sz="2" w:space="0" w:color="000000"/>
              <w:right w:val="nil" w:sz="6" w:space="0" w:color="auto"/>
            </w:tcBorders>
          </w:tcPr>
          <w:p>
            <w:pPr>
              <w:pStyle w:val="TableParagraph"/>
              <w:spacing w:line="180" w:lineRule="exact"/>
              <w:ind w:right="138"/>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9" w:hRule="exact"/>
        </w:trPr>
        <w:tc>
          <w:tcPr>
            <w:tcW w:w="3183" w:type="dxa"/>
            <w:tcBorders>
              <w:top w:val="single" w:sz="2" w:space="0" w:color="000000"/>
              <w:left w:val="nil" w:sz="6" w:space="0" w:color="auto"/>
              <w:bottom w:val="nil" w:sz="6" w:space="0" w:color="auto"/>
              <w:right w:val="nil" w:sz="6" w:space="0" w:color="auto"/>
            </w:tcBorders>
          </w:tcPr>
          <w:p>
            <w:pPr>
              <w:pStyle w:val="TableParagraph"/>
              <w:spacing w:line="240" w:lineRule="auto" w:before="116"/>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坏账损失</w:t>
            </w:r>
          </w:p>
        </w:tc>
        <w:tc>
          <w:tcPr>
            <w:tcW w:w="3389"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1101"/>
              <w:jc w:val="right"/>
              <w:rPr>
                <w:rFonts w:ascii="Times New Roman" w:hAnsi="Times New Roman" w:cs="Times New Roman" w:eastAsia="Times New Roman" w:hint="default"/>
                <w:sz w:val="18"/>
                <w:szCs w:val="18"/>
              </w:rPr>
            </w:pPr>
            <w:r>
              <w:rPr>
                <w:rFonts w:ascii="Times New Roman"/>
                <w:spacing w:val="-1"/>
                <w:sz w:val="18"/>
              </w:rPr>
              <w:t>1,589,918.57</w:t>
            </w:r>
          </w:p>
        </w:tc>
        <w:tc>
          <w:tcPr>
            <w:tcW w:w="3069"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955"/>
              <w:jc w:val="right"/>
              <w:rPr>
                <w:rFonts w:ascii="Times New Roman" w:hAnsi="Times New Roman" w:cs="Times New Roman" w:eastAsia="Times New Roman" w:hint="default"/>
                <w:sz w:val="18"/>
                <w:szCs w:val="18"/>
              </w:rPr>
            </w:pPr>
            <w:r>
              <w:rPr>
                <w:rFonts w:ascii="Times New Roman"/>
                <w:spacing w:val="-1"/>
                <w:sz w:val="18"/>
              </w:rPr>
              <w:t>406,961.00</w:t>
            </w:r>
          </w:p>
        </w:tc>
      </w:tr>
      <w:tr>
        <w:trPr>
          <w:trHeight w:val="439"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存货跌价损失</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0"/>
              <w:jc w:val="right"/>
              <w:rPr>
                <w:rFonts w:ascii="Times New Roman" w:hAnsi="Times New Roman" w:cs="Times New Roman" w:eastAsia="Times New Roman" w:hint="default"/>
                <w:sz w:val="18"/>
                <w:szCs w:val="18"/>
              </w:rPr>
            </w:pPr>
            <w:r>
              <w:rPr>
                <w:rFonts w:ascii="Times New Roman"/>
                <w:spacing w:val="-1"/>
                <w:sz w:val="18"/>
              </w:rPr>
              <w:t>869,120.60</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58"/>
              <w:jc w:val="right"/>
              <w:rPr>
                <w:rFonts w:ascii="Times New Roman" w:hAnsi="Times New Roman" w:cs="Times New Roman" w:eastAsia="Times New Roman" w:hint="default"/>
                <w:sz w:val="18"/>
                <w:szCs w:val="18"/>
              </w:rPr>
            </w:pPr>
            <w:r>
              <w:rPr>
                <w:rFonts w:ascii="Times New Roman"/>
                <w:spacing w:val="-1"/>
                <w:sz w:val="18"/>
              </w:rPr>
              <w:t>1,201,203.08</w:t>
            </w:r>
          </w:p>
        </w:tc>
      </w:tr>
      <w:tr>
        <w:trPr>
          <w:trHeight w:val="314" w:hRule="exact"/>
        </w:trPr>
        <w:tc>
          <w:tcPr>
            <w:tcW w:w="318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9"/>
              <w:ind w:right="127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2,459,039.17</w:t>
            </w:r>
            <w:r>
              <w:rPr>
                <w:rFonts w:ascii="Times New Roman"/>
                <w:spacing w:val="-1"/>
                <w:sz w:val="18"/>
              </w:rPr>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1,608,164.08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99" w:top="1100" w:bottom="1180" w:left="920" w:right="920"/>
        </w:sectPr>
      </w:pPr>
    </w:p>
    <w:p>
      <w:pPr>
        <w:spacing w:line="240" w:lineRule="auto" w:before="12"/>
        <w:rPr>
          <w:rFonts w:ascii="宋体" w:hAnsi="宋体" w:cs="宋体" w:eastAsia="宋体" w:hint="default"/>
          <w:b/>
          <w:bCs/>
          <w:sz w:val="26"/>
          <w:szCs w:val="26"/>
        </w:rPr>
      </w:pPr>
    </w:p>
    <w:p>
      <w:pPr>
        <w:pStyle w:val="BodyText"/>
        <w:spacing w:line="240" w:lineRule="auto" w:before="44"/>
        <w:ind w:left="673" w:right="0"/>
        <w:jc w:val="left"/>
      </w:pPr>
      <w:r>
        <w:rPr/>
        <w:t>注：资产减值损失本期比上期增加</w:t>
      </w:r>
      <w:r>
        <w:rPr>
          <w:spacing w:val="-47"/>
        </w:rPr>
        <w:t> </w:t>
      </w:r>
      <w:r>
        <w:rPr>
          <w:rFonts w:ascii="Times New Roman" w:hAnsi="Times New Roman" w:cs="Times New Roman" w:eastAsia="Times New Roman" w:hint="default"/>
        </w:rPr>
        <w:t>85.09</w:t>
      </w:r>
      <w:r>
        <w:rPr>
          <w:rFonts w:ascii="Times New Roman" w:hAnsi="Times New Roman" w:cs="Times New Roman" w:eastAsia="Times New Roman" w:hint="default"/>
          <w:spacing w:val="-1"/>
        </w:rPr>
        <w:t> </w:t>
      </w:r>
      <w:r>
        <w:rPr/>
        <w:t>万元，增长</w:t>
      </w:r>
      <w:r>
        <w:rPr>
          <w:spacing w:val="-47"/>
        </w:rPr>
        <w:t> </w:t>
      </w:r>
      <w:r>
        <w:rPr>
          <w:rFonts w:ascii="Times New Roman" w:hAnsi="Times New Roman" w:cs="Times New Roman" w:eastAsia="Times New Roman" w:hint="default"/>
        </w:rPr>
        <w:t>52.91%</w:t>
      </w:r>
      <w:r>
        <w:rPr/>
        <w:t>，主要原因是计提的坏账准备增加。</w:t>
      </w:r>
    </w:p>
    <w:p>
      <w:pPr>
        <w:spacing w:line="240" w:lineRule="auto" w:before="9"/>
        <w:rPr>
          <w:rFonts w:ascii="宋体" w:hAnsi="宋体" w:cs="宋体" w:eastAsia="宋体" w:hint="default"/>
          <w:sz w:val="24"/>
          <w:szCs w:val="24"/>
        </w:rPr>
      </w:pPr>
    </w:p>
    <w:p>
      <w:pPr>
        <w:pStyle w:val="Heading5"/>
        <w:spacing w:line="240" w:lineRule="auto"/>
        <w:ind w:left="313" w:right="0"/>
        <w:jc w:val="left"/>
        <w:rPr>
          <w:b w:val="0"/>
          <w:bCs w:val="0"/>
        </w:rPr>
      </w:pPr>
      <w:r>
        <w:rPr>
          <w:rFonts w:ascii="Times New Roman" w:hAnsi="Times New Roman" w:cs="Times New Roman" w:eastAsia="Times New Roman" w:hint="default"/>
        </w:rPr>
        <w:t>30</w:t>
      </w:r>
      <w:r>
        <w:rPr/>
        <w:t>、投资收益</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673" w:right="0"/>
        <w:jc w:val="left"/>
      </w:pPr>
      <w:r>
        <w:rPr/>
        <w:t>（</w:t>
      </w:r>
      <w:r>
        <w:rPr>
          <w:rFonts w:ascii="Times New Roman" w:hAnsi="Times New Roman" w:cs="Times New Roman" w:eastAsia="Times New Roman" w:hint="default"/>
        </w:rPr>
        <w:t>1</w:t>
      </w:r>
      <w:r>
        <w:rPr/>
        <w:t>）按项目列示</w:t>
      </w:r>
    </w:p>
    <w:p>
      <w:pPr>
        <w:spacing w:line="240" w:lineRule="auto" w:before="7"/>
        <w:rPr>
          <w:rFonts w:ascii="宋体" w:hAnsi="宋体" w:cs="宋体" w:eastAsia="宋体" w:hint="default"/>
          <w:sz w:val="27"/>
          <w:szCs w:val="27"/>
        </w:rPr>
      </w:pPr>
    </w:p>
    <w:tbl>
      <w:tblPr>
        <w:tblW w:w="0" w:type="auto"/>
        <w:jc w:val="left"/>
        <w:tblInd w:w="313" w:type="dxa"/>
        <w:tblLayout w:type="fixed"/>
        <w:tblCellMar>
          <w:top w:w="0" w:type="dxa"/>
          <w:left w:w="0" w:type="dxa"/>
          <w:bottom w:w="0" w:type="dxa"/>
          <w:right w:w="0" w:type="dxa"/>
        </w:tblCellMar>
        <w:tblLook w:val="01E0"/>
      </w:tblPr>
      <w:tblGrid>
        <w:gridCol w:w="3521"/>
        <w:gridCol w:w="2893"/>
        <w:gridCol w:w="3226"/>
      </w:tblGrid>
      <w:tr>
        <w:trPr>
          <w:trHeight w:val="272" w:hRule="exact"/>
        </w:trPr>
        <w:tc>
          <w:tcPr>
            <w:tcW w:w="3521" w:type="dxa"/>
            <w:tcBorders>
              <w:top w:val="nil" w:sz="6" w:space="0" w:color="auto"/>
              <w:left w:val="nil" w:sz="6" w:space="0" w:color="auto"/>
              <w:bottom w:val="single" w:sz="4" w:space="0" w:color="000000"/>
              <w:right w:val="nil" w:sz="6" w:space="0" w:color="auto"/>
            </w:tcBorders>
          </w:tcPr>
          <w:p>
            <w:pPr>
              <w:pStyle w:val="TableParagraph"/>
              <w:spacing w:line="180" w:lineRule="exact"/>
              <w:ind w:left="791"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893" w:type="dxa"/>
            <w:tcBorders>
              <w:top w:val="nil" w:sz="6" w:space="0" w:color="auto"/>
              <w:left w:val="nil" w:sz="6" w:space="0" w:color="auto"/>
              <w:bottom w:val="single" w:sz="4" w:space="0" w:color="000000"/>
              <w:right w:val="nil" w:sz="6" w:space="0" w:color="auto"/>
            </w:tcBorders>
          </w:tcPr>
          <w:p>
            <w:pPr>
              <w:pStyle w:val="TableParagraph"/>
              <w:spacing w:line="180" w:lineRule="exact"/>
              <w:ind w:left="93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26"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1" w:hRule="exact"/>
        </w:trPr>
        <w:tc>
          <w:tcPr>
            <w:tcW w:w="35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893" w:right="0"/>
              <w:jc w:val="left"/>
              <w:rPr>
                <w:rFonts w:ascii="Times New Roman" w:hAnsi="Times New Roman" w:cs="Times New Roman" w:eastAsia="Times New Roman" w:hint="default"/>
                <w:sz w:val="18"/>
                <w:szCs w:val="18"/>
              </w:rPr>
            </w:pPr>
            <w:r>
              <w:rPr>
                <w:rFonts w:ascii="Times New Roman"/>
                <w:sz w:val="18"/>
              </w:rPr>
              <w:t>215,173.61</w:t>
            </w:r>
          </w:p>
        </w:tc>
        <w:tc>
          <w:tcPr>
            <w:tcW w:w="322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6" w:right="0"/>
              <w:jc w:val="center"/>
              <w:rPr>
                <w:rFonts w:ascii="Times New Roman" w:hAnsi="Times New Roman" w:cs="Times New Roman" w:eastAsia="Times New Roman" w:hint="default"/>
                <w:sz w:val="18"/>
                <w:szCs w:val="18"/>
              </w:rPr>
            </w:pPr>
            <w:r>
              <w:rPr>
                <w:rFonts w:ascii="Times New Roman"/>
                <w:sz w:val="18"/>
              </w:rPr>
              <w:t>-305,048.10</w:t>
            </w:r>
          </w:p>
        </w:tc>
      </w:tr>
      <w:tr>
        <w:trPr>
          <w:trHeight w:val="315" w:hRule="exact"/>
        </w:trPr>
        <w:tc>
          <w:tcPr>
            <w:tcW w:w="352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9"/>
              <w:ind w:right="30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215,173.61</w:t>
            </w:r>
            <w:r>
              <w:rPr>
                <w:rFonts w:ascii="Times New Roman"/>
                <w:sz w:val="18"/>
              </w:rPr>
            </w: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-305,048.10</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73" w:right="0"/>
        <w:jc w:val="left"/>
      </w:pPr>
      <w:r>
        <w:rPr/>
        <w:t>（</w:t>
      </w:r>
      <w:r>
        <w:rPr>
          <w:rFonts w:ascii="Times New Roman" w:hAnsi="Times New Roman" w:cs="Times New Roman" w:eastAsia="Times New Roman" w:hint="default"/>
        </w:rPr>
        <w:t>2</w:t>
      </w:r>
      <w:r>
        <w:rPr/>
        <w:t>）按权益法核算的长期股权投资按投资单位分项列示投资收益</w:t>
      </w:r>
    </w:p>
    <w:p>
      <w:pPr>
        <w:spacing w:line="240" w:lineRule="auto" w:before="8"/>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805"/>
        <w:gridCol w:w="1898"/>
        <w:gridCol w:w="1596"/>
        <w:gridCol w:w="2608"/>
      </w:tblGrid>
      <w:tr>
        <w:trPr>
          <w:trHeight w:val="31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180" w:lineRule="exact"/>
              <w:ind w:left="132"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180"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180"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608" w:type="dxa"/>
            <w:tcBorders>
              <w:top w:val="nil" w:sz="6" w:space="0" w:color="auto"/>
              <w:left w:val="nil" w:sz="6" w:space="0" w:color="auto"/>
              <w:bottom w:val="nil" w:sz="6" w:space="0" w:color="auto"/>
              <w:right w:val="nil" w:sz="6" w:space="0" w:color="auto"/>
            </w:tcBorders>
          </w:tcPr>
          <w:p>
            <w:pPr>
              <w:pStyle w:val="TableParagraph"/>
              <w:spacing w:line="180" w:lineRule="exact"/>
              <w:ind w:left="39"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445"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68"/>
              <w:jc w:val="right"/>
              <w:rPr>
                <w:rFonts w:ascii="Times New Roman" w:hAnsi="Times New Roman" w:cs="Times New Roman" w:eastAsia="Times New Roman" w:hint="default"/>
                <w:sz w:val="18"/>
                <w:szCs w:val="18"/>
              </w:rPr>
            </w:pPr>
            <w:r>
              <w:rPr>
                <w:rFonts w:ascii="Times New Roman"/>
                <w:spacing w:val="-1"/>
                <w:sz w:val="18"/>
              </w:rPr>
              <w:t>40,633.66</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37"/>
              <w:jc w:val="right"/>
              <w:rPr>
                <w:rFonts w:ascii="Times New Roman" w:hAnsi="Times New Roman" w:cs="Times New Roman" w:eastAsia="Times New Roman" w:hint="default"/>
                <w:sz w:val="18"/>
                <w:szCs w:val="18"/>
              </w:rPr>
            </w:pPr>
            <w:r>
              <w:rPr>
                <w:rFonts w:ascii="Times New Roman"/>
                <w:spacing w:val="-1"/>
                <w:sz w:val="18"/>
              </w:rPr>
              <w:t>-192,547.34</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0" w:right="0"/>
              <w:jc w:val="center"/>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439"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9"/>
              <w:jc w:val="right"/>
              <w:rPr>
                <w:rFonts w:ascii="Times New Roman" w:hAnsi="Times New Roman" w:cs="Times New Roman" w:eastAsia="Times New Roman" w:hint="default"/>
                <w:sz w:val="18"/>
                <w:szCs w:val="18"/>
              </w:rPr>
            </w:pPr>
            <w:r>
              <w:rPr>
                <w:rFonts w:ascii="Times New Roman"/>
                <w:spacing w:val="-1"/>
                <w:sz w:val="18"/>
              </w:rPr>
              <w:t>174,539.95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7"/>
              <w:jc w:val="right"/>
              <w:rPr>
                <w:rFonts w:ascii="Times New Roman" w:hAnsi="Times New Roman" w:cs="Times New Roman" w:eastAsia="Times New Roman" w:hint="default"/>
                <w:sz w:val="18"/>
                <w:szCs w:val="18"/>
              </w:rPr>
            </w:pPr>
            <w:r>
              <w:rPr>
                <w:rFonts w:ascii="Times New Roman"/>
                <w:spacing w:val="-1"/>
                <w:sz w:val="18"/>
              </w:rPr>
              <w:t>-112,500.76</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center"/>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15"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215,173.61</w:t>
            </w:r>
            <w:r>
              <w:rPr>
                <w:rFonts w:ascii="Times New Roman"/>
                <w:spacing w:val="-1"/>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7"/>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-305,048.10</w:t>
            </w:r>
            <w:r>
              <w:rPr>
                <w:rFonts w:ascii="Times New Roman"/>
                <w:spacing w:val="-1"/>
                <w:sz w:val="18"/>
              </w:rPr>
            </w:r>
          </w:p>
        </w:tc>
        <w:tc>
          <w:tcPr>
            <w:tcW w:w="2608"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367" w:lineRule="auto" w:before="44"/>
        <w:ind w:left="313" w:right="0" w:firstLine="360"/>
        <w:jc w:val="left"/>
      </w:pPr>
      <w:r>
        <w:rPr>
          <w:spacing w:val="-2"/>
        </w:rPr>
        <w:t>注：本期确认对凤凰天舟公司的投资收益与根据凤凰天舟公司本期净利润按持股比例计算的金额的差额，系对向凤凰天</w:t>
      </w:r>
      <w:r>
        <w:rPr/>
        <w:t> 舟采购商品形成的未实现内部交易损益进行了抵销。</w:t>
      </w:r>
    </w:p>
    <w:p>
      <w:pPr>
        <w:spacing w:line="240" w:lineRule="auto" w:before="2"/>
        <w:rPr>
          <w:rFonts w:ascii="宋体" w:hAnsi="宋体" w:cs="宋体" w:eastAsia="宋体" w:hint="default"/>
          <w:sz w:val="14"/>
          <w:szCs w:val="14"/>
        </w:rPr>
      </w:pPr>
    </w:p>
    <w:p>
      <w:pPr>
        <w:pStyle w:val="BodyText"/>
        <w:spacing w:line="240" w:lineRule="auto"/>
        <w:ind w:left="673" w:right="0"/>
        <w:jc w:val="left"/>
      </w:pPr>
      <w:r>
        <w:rPr/>
        <w:t>（</w:t>
      </w:r>
      <w:r>
        <w:rPr>
          <w:rFonts w:ascii="Times New Roman" w:hAnsi="Times New Roman" w:cs="Times New Roman" w:eastAsia="Times New Roman" w:hint="default"/>
        </w:rPr>
        <w:t>3</w:t>
      </w:r>
      <w:r>
        <w:rPr/>
        <w:t>）本期不存在投资收益汇回受重大限制的被投资单位。</w:t>
      </w:r>
    </w:p>
    <w:p>
      <w:pPr>
        <w:spacing w:line="240" w:lineRule="auto" w:before="7"/>
        <w:rPr>
          <w:rFonts w:ascii="宋体" w:hAnsi="宋体" w:cs="宋体" w:eastAsia="宋体" w:hint="default"/>
          <w:sz w:val="24"/>
          <w:szCs w:val="24"/>
        </w:rPr>
      </w:pPr>
    </w:p>
    <w:p>
      <w:pPr>
        <w:pStyle w:val="Heading5"/>
        <w:spacing w:line="240" w:lineRule="auto"/>
        <w:ind w:left="313" w:right="0"/>
        <w:jc w:val="left"/>
        <w:rPr>
          <w:b w:val="0"/>
          <w:bCs w:val="0"/>
        </w:rPr>
      </w:pPr>
      <w:r>
        <w:rPr>
          <w:rFonts w:ascii="Times New Roman" w:hAnsi="Times New Roman" w:cs="Times New Roman" w:eastAsia="Times New Roman" w:hint="default"/>
        </w:rPr>
        <w:t>31</w:t>
      </w:r>
      <w:r>
        <w:rPr/>
        <w:t>、营业外收入</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673" w:right="0"/>
        <w:jc w:val="left"/>
      </w:pPr>
      <w:r>
        <w:rPr/>
        <w:t>（</w:t>
      </w:r>
      <w:r>
        <w:rPr>
          <w:rFonts w:ascii="Times New Roman" w:hAnsi="Times New Roman" w:cs="Times New Roman" w:eastAsia="Times New Roman" w:hint="default"/>
        </w:rPr>
        <w:t>1</w:t>
      </w:r>
      <w:r>
        <w:rPr/>
        <w:t>）按项目列示</w:t>
      </w:r>
    </w:p>
    <w:p>
      <w:pPr>
        <w:spacing w:line="240" w:lineRule="auto" w:before="7"/>
        <w:rPr>
          <w:rFonts w:ascii="宋体" w:hAnsi="宋体" w:cs="宋体" w:eastAsia="宋体" w:hint="default"/>
          <w:sz w:val="27"/>
          <w:szCs w:val="27"/>
        </w:rPr>
      </w:pPr>
    </w:p>
    <w:tbl>
      <w:tblPr>
        <w:tblW w:w="0" w:type="auto"/>
        <w:jc w:val="left"/>
        <w:tblInd w:w="247" w:type="dxa"/>
        <w:tblLayout w:type="fixed"/>
        <w:tblCellMar>
          <w:top w:w="0" w:type="dxa"/>
          <w:left w:w="0" w:type="dxa"/>
          <w:bottom w:w="0" w:type="dxa"/>
          <w:right w:w="0" w:type="dxa"/>
        </w:tblCellMar>
        <w:tblLook w:val="01E0"/>
      </w:tblPr>
      <w:tblGrid>
        <w:gridCol w:w="2344"/>
        <w:gridCol w:w="2479"/>
        <w:gridCol w:w="2010"/>
        <w:gridCol w:w="2934"/>
      </w:tblGrid>
      <w:tr>
        <w:trPr>
          <w:trHeight w:val="272" w:hRule="exact"/>
        </w:trPr>
        <w:tc>
          <w:tcPr>
            <w:tcW w:w="2344"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837"/>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479" w:type="dxa"/>
            <w:tcBorders>
              <w:top w:val="nil" w:sz="6" w:space="0" w:color="auto"/>
              <w:left w:val="nil" w:sz="6" w:space="0" w:color="auto"/>
              <w:bottom w:val="single" w:sz="4" w:space="0" w:color="000000"/>
              <w:right w:val="nil" w:sz="6" w:space="0" w:color="auto"/>
            </w:tcBorders>
          </w:tcPr>
          <w:p>
            <w:pPr>
              <w:pStyle w:val="TableParagraph"/>
              <w:spacing w:line="180" w:lineRule="exact"/>
              <w:ind w:right="76"/>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10" w:type="dxa"/>
            <w:tcBorders>
              <w:top w:val="nil" w:sz="6" w:space="0" w:color="auto"/>
              <w:left w:val="nil" w:sz="6" w:space="0" w:color="auto"/>
              <w:bottom w:val="single" w:sz="4" w:space="0" w:color="000000"/>
              <w:right w:val="nil" w:sz="6" w:space="0" w:color="auto"/>
            </w:tcBorders>
          </w:tcPr>
          <w:p>
            <w:pPr>
              <w:pStyle w:val="TableParagraph"/>
              <w:spacing w:line="180"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934" w:type="dxa"/>
            <w:tcBorders>
              <w:top w:val="nil" w:sz="6" w:space="0" w:color="auto"/>
              <w:left w:val="nil" w:sz="6" w:space="0" w:color="auto"/>
              <w:bottom w:val="single" w:sz="4" w:space="0" w:color="000000"/>
              <w:right w:val="nil" w:sz="6" w:space="0" w:color="auto"/>
            </w:tcBorders>
          </w:tcPr>
          <w:p>
            <w:pPr>
              <w:pStyle w:val="TableParagraph"/>
              <w:spacing w:line="180"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92" w:hRule="exact"/>
        </w:trPr>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．政府补助</w:t>
            </w:r>
          </w:p>
        </w:tc>
        <w:tc>
          <w:tcPr>
            <w:tcW w:w="247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65"/>
              <w:jc w:val="right"/>
              <w:rPr>
                <w:rFonts w:ascii="Times New Roman" w:hAnsi="Times New Roman" w:cs="Times New Roman" w:eastAsia="Times New Roman" w:hint="default"/>
                <w:sz w:val="18"/>
                <w:szCs w:val="18"/>
              </w:rPr>
            </w:pPr>
            <w:r>
              <w:rPr>
                <w:rFonts w:ascii="Times New Roman"/>
                <w:spacing w:val="-1"/>
                <w:sz w:val="18"/>
              </w:rPr>
              <w:t>1,200,000.00</w:t>
            </w: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83"/>
              <w:jc w:val="right"/>
              <w:rPr>
                <w:rFonts w:ascii="Times New Roman" w:hAnsi="Times New Roman" w:cs="Times New Roman" w:eastAsia="Times New Roman" w:hint="default"/>
                <w:sz w:val="18"/>
                <w:szCs w:val="18"/>
              </w:rPr>
            </w:pPr>
            <w:r>
              <w:rPr>
                <w:rFonts w:ascii="Times New Roman"/>
                <w:spacing w:val="-1"/>
                <w:sz w:val="18"/>
              </w:rPr>
              <w:t>1,400,000.00</w:t>
            </w:r>
          </w:p>
        </w:tc>
        <w:tc>
          <w:tcPr>
            <w:tcW w:w="293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462" w:right="0"/>
              <w:jc w:val="left"/>
              <w:rPr>
                <w:rFonts w:ascii="Times New Roman" w:hAnsi="Times New Roman" w:cs="Times New Roman" w:eastAsia="Times New Roman" w:hint="default"/>
                <w:sz w:val="18"/>
                <w:szCs w:val="18"/>
              </w:rPr>
            </w:pPr>
            <w:r>
              <w:rPr>
                <w:rFonts w:ascii="Times New Roman"/>
                <w:sz w:val="18"/>
              </w:rPr>
              <w:t>1,200,000.00</w:t>
            </w:r>
          </w:p>
        </w:tc>
      </w:tr>
      <w:tr>
        <w:trPr>
          <w:trHeight w:val="440"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5"/>
              <w:jc w:val="right"/>
              <w:rPr>
                <w:rFonts w:ascii="Times New Roman" w:hAnsi="Times New Roman" w:cs="Times New Roman" w:eastAsia="Times New Roman" w:hint="default"/>
                <w:sz w:val="18"/>
                <w:szCs w:val="18"/>
              </w:rPr>
            </w:pPr>
            <w:r>
              <w:rPr>
                <w:rFonts w:ascii="Times New Roman"/>
                <w:w w:val="95"/>
                <w:sz w:val="18"/>
              </w:rPr>
              <w:t>7,314.29</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3"/>
              <w:jc w:val="right"/>
              <w:rPr>
                <w:rFonts w:ascii="Times New Roman" w:hAnsi="Times New Roman" w:cs="Times New Roman" w:eastAsia="Times New Roman" w:hint="default"/>
                <w:sz w:val="18"/>
                <w:szCs w:val="18"/>
              </w:rPr>
            </w:pPr>
            <w:r>
              <w:rPr>
                <w:rFonts w:ascii="Times New Roman"/>
                <w:w w:val="95"/>
                <w:sz w:val="18"/>
              </w:rPr>
              <w:t>5,576.13</w:t>
            </w: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777" w:right="0"/>
              <w:jc w:val="left"/>
              <w:rPr>
                <w:rFonts w:ascii="Times New Roman" w:hAnsi="Times New Roman" w:cs="Times New Roman" w:eastAsia="Times New Roman" w:hint="default"/>
                <w:sz w:val="18"/>
                <w:szCs w:val="18"/>
              </w:rPr>
            </w:pPr>
            <w:r>
              <w:rPr>
                <w:rFonts w:ascii="Times New Roman"/>
                <w:sz w:val="18"/>
              </w:rPr>
              <w:t>7,314.29</w:t>
            </w:r>
          </w:p>
        </w:tc>
      </w:tr>
      <w:tr>
        <w:trPr>
          <w:trHeight w:val="315"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6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1,207,314.29</w:t>
            </w:r>
            <w:r>
              <w:rPr>
                <w:rFonts w:ascii="Times New Roman"/>
                <w:spacing w:val="-1"/>
                <w:sz w:val="18"/>
              </w:rPr>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1,405,576.13</w:t>
            </w:r>
            <w:r>
              <w:rPr>
                <w:rFonts w:ascii="Times New Roman"/>
                <w:spacing w:val="-1"/>
                <w:sz w:val="18"/>
              </w:rPr>
            </w: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4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1,207,314.29</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73" w:right="0"/>
        <w:jc w:val="left"/>
      </w:pPr>
      <w:r>
        <w:rPr/>
        <w:t>（</w:t>
      </w:r>
      <w:r>
        <w:rPr>
          <w:rFonts w:ascii="Times New Roman" w:hAnsi="Times New Roman" w:cs="Times New Roman" w:eastAsia="Times New Roman" w:hint="default"/>
        </w:rPr>
        <w:t>2</w:t>
      </w:r>
      <w:r>
        <w:rPr/>
        <w:t>）政府补助明细</w:t>
      </w:r>
    </w:p>
    <w:p>
      <w:pPr>
        <w:spacing w:line="240" w:lineRule="auto" w:before="10"/>
        <w:rPr>
          <w:rFonts w:ascii="宋体" w:hAnsi="宋体" w:cs="宋体" w:eastAsia="宋体" w:hint="default"/>
          <w:sz w:val="27"/>
          <w:szCs w:val="27"/>
        </w:rPr>
      </w:pPr>
    </w:p>
    <w:tbl>
      <w:tblPr>
        <w:tblW w:w="0" w:type="auto"/>
        <w:jc w:val="left"/>
        <w:tblInd w:w="204" w:type="dxa"/>
        <w:tblLayout w:type="fixed"/>
        <w:tblCellMar>
          <w:top w:w="0" w:type="dxa"/>
          <w:left w:w="0" w:type="dxa"/>
          <w:bottom w:w="0" w:type="dxa"/>
          <w:right w:w="0" w:type="dxa"/>
        </w:tblCellMar>
        <w:tblLook w:val="01E0"/>
      </w:tblPr>
      <w:tblGrid>
        <w:gridCol w:w="3469"/>
        <w:gridCol w:w="1333"/>
        <w:gridCol w:w="1203"/>
        <w:gridCol w:w="3853"/>
      </w:tblGrid>
      <w:tr>
        <w:trPr>
          <w:trHeight w:val="277" w:hRule="exact"/>
        </w:trPr>
        <w:tc>
          <w:tcPr>
            <w:tcW w:w="3469" w:type="dxa"/>
            <w:tcBorders>
              <w:top w:val="nil" w:sz="6" w:space="0" w:color="auto"/>
              <w:left w:val="nil" w:sz="6" w:space="0" w:color="auto"/>
              <w:bottom w:val="single" w:sz="8" w:space="0" w:color="000000"/>
              <w:right w:val="nil" w:sz="6" w:space="0" w:color="auto"/>
            </w:tcBorders>
          </w:tcPr>
          <w:p>
            <w:pPr>
              <w:pStyle w:val="TableParagraph"/>
              <w:spacing w:line="180" w:lineRule="exact"/>
              <w:ind w:right="72"/>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33" w:type="dxa"/>
            <w:tcBorders>
              <w:top w:val="nil" w:sz="6" w:space="0" w:color="auto"/>
              <w:left w:val="nil" w:sz="6" w:space="0" w:color="auto"/>
              <w:bottom w:val="single" w:sz="8"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203" w:type="dxa"/>
            <w:tcBorders>
              <w:top w:val="nil" w:sz="6" w:space="0" w:color="auto"/>
              <w:left w:val="nil" w:sz="6" w:space="0" w:color="auto"/>
              <w:bottom w:val="single" w:sz="8" w:space="0" w:color="000000"/>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853"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498" w:hRule="exact"/>
        </w:trPr>
        <w:tc>
          <w:tcPr>
            <w:tcW w:w="346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文化产业发展引导资金</w:t>
            </w:r>
          </w:p>
        </w:tc>
        <w:tc>
          <w:tcPr>
            <w:tcW w:w="1333"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324" w:right="0"/>
              <w:jc w:val="left"/>
              <w:rPr>
                <w:rFonts w:ascii="Times New Roman" w:hAnsi="Times New Roman" w:cs="Times New Roman" w:eastAsia="Times New Roman" w:hint="default"/>
                <w:sz w:val="18"/>
                <w:szCs w:val="18"/>
              </w:rPr>
            </w:pPr>
            <w:r>
              <w:rPr>
                <w:rFonts w:ascii="Times New Roman"/>
                <w:sz w:val="18"/>
              </w:rPr>
              <w:t>600,000.00</w:t>
            </w:r>
          </w:p>
        </w:tc>
        <w:tc>
          <w:tcPr>
            <w:tcW w:w="1203"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700,000.00</w:t>
            </w:r>
          </w:p>
        </w:tc>
        <w:tc>
          <w:tcPr>
            <w:tcW w:w="385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湘发</w:t>
            </w:r>
            <w:r>
              <w:rPr>
                <w:rFonts w:ascii="Times New Roman" w:hAnsi="Times New Roman" w:cs="Times New Roman" w:eastAsia="Times New Roman" w:hint="default"/>
                <w:sz w:val="18"/>
                <w:szCs w:val="18"/>
              </w:rPr>
              <w:t>[2007]17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39"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长沙市财政局上市前期费用补助款</w:t>
            </w:r>
          </w:p>
        </w:tc>
        <w:tc>
          <w:tcPr>
            <w:tcW w:w="1333"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400,000.00</w:t>
            </w:r>
          </w:p>
        </w:tc>
        <w:tc>
          <w:tcPr>
            <w:tcW w:w="3853" w:type="dxa"/>
            <w:tcBorders>
              <w:top w:val="nil" w:sz="6" w:space="0" w:color="auto"/>
              <w:left w:val="nil" w:sz="6" w:space="0" w:color="auto"/>
              <w:bottom w:val="nil" w:sz="6" w:space="0" w:color="auto"/>
              <w:right w:val="nil" w:sz="6" w:space="0" w:color="auto"/>
            </w:tcBorders>
          </w:tcPr>
          <w:p>
            <w:pPr/>
          </w:p>
        </w:tc>
      </w:tr>
      <w:tr>
        <w:trPr>
          <w:trHeight w:val="795"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345" w:lineRule="auto" w:before="69"/>
              <w:ind w:left="108" w:right="17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长沙县工商局科技创新、品牌建设奖励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w:t>
            </w:r>
          </w:p>
        </w:tc>
        <w:tc>
          <w:tcPr>
            <w:tcW w:w="1333"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300,000.00</w:t>
            </w:r>
          </w:p>
        </w:tc>
        <w:tc>
          <w:tcPr>
            <w:tcW w:w="3853" w:type="dxa"/>
            <w:tcBorders>
              <w:top w:val="nil" w:sz="6" w:space="0" w:color="auto"/>
              <w:left w:val="nil" w:sz="6" w:space="0" w:color="auto"/>
              <w:bottom w:val="nil" w:sz="6" w:space="0" w:color="auto"/>
              <w:right w:val="nil" w:sz="6" w:space="0" w:color="auto"/>
            </w:tcBorders>
          </w:tcPr>
          <w:p>
            <w:pPr/>
          </w:p>
        </w:tc>
      </w:tr>
      <w:tr>
        <w:trPr>
          <w:trHeight w:val="321"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年新获中国驰名商标企业</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80" w:right="0"/>
              <w:jc w:val="left"/>
              <w:rPr>
                <w:rFonts w:ascii="Times New Roman" w:hAnsi="Times New Roman" w:cs="Times New Roman" w:eastAsia="Times New Roman" w:hint="default"/>
                <w:sz w:val="18"/>
                <w:szCs w:val="18"/>
              </w:rPr>
            </w:pPr>
            <w:r>
              <w:rPr>
                <w:rFonts w:ascii="Times New Roman"/>
                <w:sz w:val="18"/>
              </w:rPr>
              <w:t>500,000.00</w:t>
            </w:r>
          </w:p>
        </w:tc>
        <w:tc>
          <w:tcPr>
            <w:tcW w:w="1203" w:type="dxa"/>
            <w:tcBorders>
              <w:top w:val="nil" w:sz="6" w:space="0" w:color="auto"/>
              <w:left w:val="nil" w:sz="6" w:space="0" w:color="auto"/>
              <w:bottom w:val="nil" w:sz="6" w:space="0" w:color="auto"/>
              <w:right w:val="nil" w:sz="6" w:space="0" w:color="auto"/>
            </w:tcBorders>
          </w:tcPr>
          <w:p>
            <w:pPr/>
          </w:p>
        </w:tc>
        <w:tc>
          <w:tcPr>
            <w:tcW w:w="38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5" w:right="0"/>
              <w:jc w:val="left"/>
              <w:rPr>
                <w:rFonts w:ascii="宋体" w:hAnsi="宋体" w:cs="宋体" w:eastAsia="宋体" w:hint="default"/>
                <w:sz w:val="18"/>
                <w:szCs w:val="18"/>
              </w:rPr>
            </w:pPr>
            <w:r>
              <w:rPr>
                <w:rFonts w:ascii="宋体" w:hAnsi="宋体" w:cs="宋体" w:eastAsia="宋体" w:hint="default"/>
                <w:sz w:val="18"/>
                <w:szCs w:val="18"/>
              </w:rPr>
              <w:t>长沙市财政局“长财企指（</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headerReference w:type="default" r:id="rId63"/>
          <w:footerReference w:type="default" r:id="rId64"/>
          <w:pgSz w:w="11910" w:h="16840"/>
          <w:pgMar w:header="918" w:footer="999" w:top="1100" w:bottom="1180" w:left="82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121"/>
        <w:gridCol w:w="1657"/>
        <w:gridCol w:w="1822"/>
        <w:gridCol w:w="3258"/>
      </w:tblGrid>
      <w:tr>
        <w:trPr>
          <w:trHeight w:val="277" w:hRule="exact"/>
        </w:trPr>
        <w:tc>
          <w:tcPr>
            <w:tcW w:w="3121" w:type="dxa"/>
            <w:tcBorders>
              <w:top w:val="nil" w:sz="6" w:space="0" w:color="auto"/>
              <w:left w:val="nil" w:sz="6" w:space="0" w:color="auto"/>
              <w:bottom w:val="single" w:sz="8" w:space="0" w:color="000000"/>
              <w:right w:val="nil" w:sz="6" w:space="0" w:color="auto"/>
            </w:tcBorders>
          </w:tcPr>
          <w:p>
            <w:pPr>
              <w:pStyle w:val="TableParagraph"/>
              <w:spacing w:line="180" w:lineRule="exact"/>
              <w:ind w:left="27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57" w:type="dxa"/>
            <w:tcBorders>
              <w:top w:val="nil" w:sz="6" w:space="0" w:color="auto"/>
              <w:left w:val="nil" w:sz="6" w:space="0" w:color="auto"/>
              <w:bottom w:val="single" w:sz="8"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22" w:type="dxa"/>
            <w:tcBorders>
              <w:top w:val="nil" w:sz="6" w:space="0" w:color="auto"/>
              <w:left w:val="nil" w:sz="6" w:space="0" w:color="auto"/>
              <w:bottom w:val="single" w:sz="8" w:space="0" w:color="000000"/>
              <w:right w:val="nil" w:sz="6" w:space="0" w:color="auto"/>
            </w:tcBorders>
          </w:tcPr>
          <w:p>
            <w:pPr>
              <w:pStyle w:val="TableParagraph"/>
              <w:spacing w:line="180" w:lineRule="exact"/>
              <w:ind w:left="22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258" w:type="dxa"/>
            <w:tcBorders>
              <w:top w:val="nil" w:sz="6" w:space="0" w:color="auto"/>
              <w:left w:val="nil" w:sz="6" w:space="0" w:color="auto"/>
              <w:bottom w:val="single" w:sz="8" w:space="0" w:color="000000"/>
              <w:right w:val="nil" w:sz="6" w:space="0" w:color="auto"/>
            </w:tcBorders>
          </w:tcPr>
          <w:p>
            <w:pPr>
              <w:pStyle w:val="TableParagraph"/>
              <w:spacing w:line="180" w:lineRule="exact"/>
              <w:ind w:left="878"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453" w:hRule="exact"/>
        </w:trPr>
        <w:tc>
          <w:tcPr>
            <w:tcW w:w="312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奖励经费</w:t>
            </w:r>
          </w:p>
        </w:tc>
        <w:tc>
          <w:tcPr>
            <w:tcW w:w="1657" w:type="dxa"/>
            <w:tcBorders>
              <w:top w:val="single" w:sz="8" w:space="0" w:color="000000"/>
              <w:left w:val="nil" w:sz="6" w:space="0" w:color="auto"/>
              <w:bottom w:val="nil" w:sz="6" w:space="0" w:color="auto"/>
              <w:right w:val="nil" w:sz="6" w:space="0" w:color="auto"/>
            </w:tcBorders>
          </w:tcPr>
          <w:p>
            <w:pPr/>
          </w:p>
        </w:tc>
        <w:tc>
          <w:tcPr>
            <w:tcW w:w="1822" w:type="dxa"/>
            <w:tcBorders>
              <w:top w:val="single" w:sz="8" w:space="0" w:color="000000"/>
              <w:left w:val="nil" w:sz="6" w:space="0" w:color="auto"/>
              <w:bottom w:val="nil" w:sz="6" w:space="0" w:color="auto"/>
              <w:right w:val="nil" w:sz="6" w:space="0" w:color="auto"/>
            </w:tcBorders>
          </w:tcPr>
          <w:p>
            <w:pPr/>
          </w:p>
        </w:tc>
        <w:tc>
          <w:tcPr>
            <w:tcW w:w="3258"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长沙市知识产权专项经费补贴</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0"/>
              <w:jc w:val="right"/>
              <w:rPr>
                <w:rFonts w:ascii="Times New Roman" w:hAnsi="Times New Roman" w:cs="Times New Roman" w:eastAsia="Times New Roman" w:hint="default"/>
                <w:sz w:val="18"/>
                <w:szCs w:val="18"/>
              </w:rPr>
            </w:pPr>
            <w:r>
              <w:rPr>
                <w:rFonts w:ascii="Times New Roman"/>
                <w:spacing w:val="-1"/>
                <w:sz w:val="18"/>
              </w:rPr>
              <w:t>100,000.00</w:t>
            </w:r>
          </w:p>
        </w:tc>
        <w:tc>
          <w:tcPr>
            <w:tcW w:w="50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334" w:right="0"/>
              <w:jc w:val="left"/>
              <w:rPr>
                <w:rFonts w:ascii="宋体" w:hAnsi="宋体" w:cs="宋体" w:eastAsia="宋体" w:hint="default"/>
                <w:sz w:val="18"/>
                <w:szCs w:val="18"/>
              </w:rPr>
            </w:pPr>
            <w:r>
              <w:rPr>
                <w:rFonts w:ascii="宋体" w:hAnsi="宋体" w:cs="宋体" w:eastAsia="宋体" w:hint="default"/>
                <w:sz w:val="18"/>
                <w:szCs w:val="18"/>
              </w:rPr>
              <w:t>长沙市知识产权局“长知发（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16"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1,200,000.00</w:t>
            </w:r>
            <w:r>
              <w:rPr>
                <w:rFonts w:ascii="Times New Roman"/>
                <w:spacing w:val="-1"/>
                <w:sz w:val="18"/>
              </w:rPr>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1,400,000.00</w:t>
            </w:r>
            <w:r>
              <w:rPr>
                <w:rFonts w:ascii="Times New Roman"/>
                <w:sz w:val="18"/>
              </w:rPr>
            </w:r>
          </w:p>
        </w:tc>
        <w:tc>
          <w:tcPr>
            <w:tcW w:w="3258"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32</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2532"/>
        <w:gridCol w:w="2127"/>
        <w:gridCol w:w="1918"/>
        <w:gridCol w:w="3280"/>
      </w:tblGrid>
      <w:tr>
        <w:trPr>
          <w:trHeight w:val="277" w:hRule="exact"/>
        </w:trPr>
        <w:tc>
          <w:tcPr>
            <w:tcW w:w="2532" w:type="dxa"/>
            <w:tcBorders>
              <w:top w:val="nil" w:sz="6" w:space="0" w:color="auto"/>
              <w:left w:val="nil" w:sz="6" w:space="0" w:color="auto"/>
              <w:bottom w:val="single" w:sz="8" w:space="0" w:color="000000"/>
              <w:right w:val="nil" w:sz="6" w:space="0" w:color="auto"/>
            </w:tcBorders>
          </w:tcPr>
          <w:p>
            <w:pPr>
              <w:pStyle w:val="TableParagraph"/>
              <w:tabs>
                <w:tab w:pos="461" w:val="left" w:leader="none"/>
              </w:tabs>
              <w:spacing w:line="180" w:lineRule="exact"/>
              <w:ind w:left="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27" w:type="dxa"/>
            <w:tcBorders>
              <w:top w:val="nil" w:sz="6" w:space="0" w:color="auto"/>
              <w:left w:val="nil" w:sz="6" w:space="0" w:color="auto"/>
              <w:bottom w:val="single" w:sz="8" w:space="0" w:color="000000"/>
              <w:right w:val="nil" w:sz="6" w:space="0" w:color="auto"/>
            </w:tcBorders>
          </w:tcPr>
          <w:p>
            <w:pPr>
              <w:pStyle w:val="TableParagraph"/>
              <w:spacing w:line="180" w:lineRule="exact"/>
              <w:ind w:left="57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18" w:type="dxa"/>
            <w:tcBorders>
              <w:top w:val="nil" w:sz="6" w:space="0" w:color="auto"/>
              <w:left w:val="nil" w:sz="6" w:space="0" w:color="auto"/>
              <w:bottom w:val="single" w:sz="8" w:space="0" w:color="000000"/>
              <w:right w:val="nil" w:sz="6" w:space="0" w:color="auto"/>
            </w:tcBorders>
          </w:tcPr>
          <w:p>
            <w:pPr>
              <w:pStyle w:val="TableParagraph"/>
              <w:spacing w:line="180" w:lineRule="exact"/>
              <w:ind w:left="50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280" w:type="dxa"/>
            <w:tcBorders>
              <w:top w:val="nil" w:sz="6" w:space="0" w:color="auto"/>
              <w:left w:val="nil" w:sz="6" w:space="0" w:color="auto"/>
              <w:bottom w:val="single" w:sz="8" w:space="0" w:color="000000"/>
              <w:right w:val="nil" w:sz="6" w:space="0" w:color="auto"/>
            </w:tcBorders>
          </w:tcPr>
          <w:p>
            <w:pPr>
              <w:pStyle w:val="TableParagraph"/>
              <w:spacing w:line="180"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97" w:hRule="exact"/>
        </w:trPr>
        <w:tc>
          <w:tcPr>
            <w:tcW w:w="2532"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非流动资产处置损失</w:t>
            </w:r>
          </w:p>
        </w:tc>
        <w:tc>
          <w:tcPr>
            <w:tcW w:w="2127" w:type="dxa"/>
            <w:tcBorders>
              <w:top w:val="single" w:sz="8" w:space="0" w:color="000000"/>
              <w:left w:val="nil" w:sz="6" w:space="0" w:color="auto"/>
              <w:bottom w:val="nil" w:sz="6" w:space="0" w:color="auto"/>
              <w:right w:val="nil" w:sz="6" w:space="0" w:color="auto"/>
            </w:tcBorders>
          </w:tcPr>
          <w:p>
            <w:pPr/>
          </w:p>
        </w:tc>
        <w:tc>
          <w:tcPr>
            <w:tcW w:w="1918"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433"/>
              <w:jc w:val="right"/>
              <w:rPr>
                <w:rFonts w:ascii="Times New Roman" w:hAnsi="Times New Roman" w:cs="Times New Roman" w:eastAsia="Times New Roman" w:hint="default"/>
                <w:sz w:val="18"/>
                <w:szCs w:val="18"/>
              </w:rPr>
            </w:pPr>
            <w:r>
              <w:rPr>
                <w:rFonts w:ascii="Times New Roman"/>
                <w:w w:val="95"/>
                <w:sz w:val="18"/>
              </w:rPr>
              <w:t>8,474.20</w:t>
            </w:r>
          </w:p>
        </w:tc>
        <w:tc>
          <w:tcPr>
            <w:tcW w:w="3280" w:type="dxa"/>
            <w:tcBorders>
              <w:top w:val="single" w:sz="8" w:space="0" w:color="000000"/>
              <w:left w:val="nil" w:sz="6" w:space="0" w:color="auto"/>
              <w:bottom w:val="nil" w:sz="6" w:space="0" w:color="auto"/>
              <w:right w:val="nil" w:sz="6" w:space="0" w:color="auto"/>
            </w:tcBorders>
          </w:tcPr>
          <w:p>
            <w:pPr/>
          </w:p>
        </w:tc>
      </w:tr>
      <w:tr>
        <w:trPr>
          <w:trHeight w:val="441" w:hRule="exact"/>
        </w:trPr>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公益性捐赠支出</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0"/>
              <w:jc w:val="right"/>
              <w:rPr>
                <w:rFonts w:ascii="Times New Roman" w:hAnsi="Times New Roman" w:cs="Times New Roman" w:eastAsia="Times New Roman" w:hint="default"/>
                <w:sz w:val="18"/>
                <w:szCs w:val="18"/>
              </w:rPr>
            </w:pPr>
            <w:r>
              <w:rPr>
                <w:rFonts w:ascii="Times New Roman"/>
                <w:spacing w:val="-1"/>
                <w:sz w:val="18"/>
              </w:rPr>
              <w:t>183,560.00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3"/>
              <w:jc w:val="right"/>
              <w:rPr>
                <w:rFonts w:ascii="Times New Roman" w:hAnsi="Times New Roman" w:cs="Times New Roman" w:eastAsia="Times New Roman" w:hint="default"/>
                <w:sz w:val="18"/>
                <w:szCs w:val="18"/>
              </w:rPr>
            </w:pPr>
            <w:r>
              <w:rPr>
                <w:rFonts w:ascii="Times New Roman"/>
                <w:spacing w:val="-1"/>
                <w:sz w:val="18"/>
              </w:rPr>
              <w:t>243,873.91</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477" w:right="0"/>
              <w:jc w:val="left"/>
              <w:rPr>
                <w:rFonts w:ascii="Times New Roman" w:hAnsi="Times New Roman" w:cs="Times New Roman" w:eastAsia="Times New Roman" w:hint="default"/>
                <w:sz w:val="18"/>
                <w:szCs w:val="18"/>
              </w:rPr>
            </w:pPr>
            <w:r>
              <w:rPr>
                <w:rFonts w:ascii="Times New Roman"/>
                <w:sz w:val="18"/>
              </w:rPr>
              <w:t>183,560.00</w:t>
            </w:r>
          </w:p>
        </w:tc>
      </w:tr>
      <w:tr>
        <w:trPr>
          <w:trHeight w:val="440" w:hRule="exact"/>
        </w:trPr>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非公益性捐赠支出</w:t>
            </w:r>
          </w:p>
        </w:tc>
        <w:tc>
          <w:tcPr>
            <w:tcW w:w="2127"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
        </w:tc>
      </w:tr>
      <w:tr>
        <w:trPr>
          <w:trHeight w:val="440" w:hRule="exact"/>
        </w:trPr>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非常损失</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00"/>
              <w:jc w:val="right"/>
              <w:rPr>
                <w:rFonts w:ascii="Times New Roman" w:hAnsi="Times New Roman" w:cs="Times New Roman" w:eastAsia="Times New Roman" w:hint="default"/>
                <w:sz w:val="18"/>
                <w:szCs w:val="18"/>
              </w:rPr>
            </w:pPr>
            <w:r>
              <w:rPr>
                <w:rFonts w:ascii="Times New Roman"/>
                <w:spacing w:val="-1"/>
                <w:sz w:val="18"/>
              </w:rPr>
              <w:t>12,922.94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3"/>
              <w:jc w:val="right"/>
              <w:rPr>
                <w:rFonts w:ascii="Times New Roman" w:hAnsi="Times New Roman" w:cs="Times New Roman" w:eastAsia="Times New Roman" w:hint="default"/>
                <w:sz w:val="18"/>
                <w:szCs w:val="18"/>
              </w:rPr>
            </w:pPr>
            <w:r>
              <w:rPr>
                <w:rFonts w:ascii="Times New Roman"/>
                <w:w w:val="95"/>
                <w:sz w:val="18"/>
              </w:rPr>
              <w:t>2,799.34</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68" w:right="0"/>
              <w:jc w:val="left"/>
              <w:rPr>
                <w:rFonts w:ascii="Times New Roman" w:hAnsi="Times New Roman" w:cs="Times New Roman" w:eastAsia="Times New Roman" w:hint="default"/>
                <w:sz w:val="18"/>
                <w:szCs w:val="18"/>
              </w:rPr>
            </w:pPr>
            <w:r>
              <w:rPr>
                <w:rFonts w:ascii="Times New Roman"/>
                <w:sz w:val="18"/>
              </w:rPr>
              <w:t>12,922.94</w:t>
            </w:r>
          </w:p>
        </w:tc>
      </w:tr>
      <w:tr>
        <w:trPr>
          <w:trHeight w:val="440" w:hRule="exact"/>
        </w:trPr>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0"/>
              <w:jc w:val="right"/>
              <w:rPr>
                <w:rFonts w:ascii="Times New Roman" w:hAnsi="Times New Roman" w:cs="Times New Roman" w:eastAsia="Times New Roman" w:hint="default"/>
                <w:sz w:val="18"/>
                <w:szCs w:val="18"/>
              </w:rPr>
            </w:pPr>
            <w:r>
              <w:rPr>
                <w:rFonts w:ascii="Times New Roman"/>
                <w:spacing w:val="-1"/>
                <w:sz w:val="18"/>
              </w:rPr>
              <w:t>29,515.29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3"/>
              <w:jc w:val="right"/>
              <w:rPr>
                <w:rFonts w:ascii="Times New Roman" w:hAnsi="Times New Roman" w:cs="Times New Roman" w:eastAsia="Times New Roman" w:hint="default"/>
                <w:sz w:val="18"/>
                <w:szCs w:val="18"/>
              </w:rPr>
            </w:pPr>
            <w:r>
              <w:rPr>
                <w:rFonts w:ascii="Times New Roman"/>
                <w:w w:val="95"/>
                <w:sz w:val="18"/>
              </w:rPr>
              <w:t>3,701.27</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568" w:right="0"/>
              <w:jc w:val="left"/>
              <w:rPr>
                <w:rFonts w:ascii="Times New Roman" w:hAnsi="Times New Roman" w:cs="Times New Roman" w:eastAsia="Times New Roman" w:hint="default"/>
                <w:sz w:val="18"/>
                <w:szCs w:val="18"/>
              </w:rPr>
            </w:pPr>
            <w:r>
              <w:rPr>
                <w:rFonts w:ascii="Times New Roman"/>
                <w:sz w:val="18"/>
              </w:rPr>
              <w:t>29,515.29</w:t>
            </w:r>
          </w:p>
        </w:tc>
      </w:tr>
      <w:tr>
        <w:trPr>
          <w:trHeight w:val="315" w:hRule="exact"/>
        </w:trPr>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225,998.23</w:t>
            </w:r>
            <w:r>
              <w:rPr>
                <w:rFonts w:ascii="Times New Roman"/>
                <w:spacing w:val="-1"/>
                <w:sz w:val="18"/>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258,848.72</w:t>
            </w:r>
            <w:r>
              <w:rPr>
                <w:rFonts w:ascii="Times New Roman"/>
                <w:spacing w:val="-1"/>
                <w:sz w:val="18"/>
              </w:rPr>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47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225,998.23</w:t>
            </w:r>
            <w:r>
              <w:rPr>
                <w:rFonts w:ascii="Times New Roman"/>
                <w:sz w:val="18"/>
              </w:rPr>
            </w:r>
          </w:p>
        </w:tc>
      </w:tr>
    </w:tbl>
    <w:p>
      <w:pPr>
        <w:spacing w:line="240" w:lineRule="auto" w:before="2"/>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33</w:t>
      </w:r>
      <w:r>
        <w:rPr/>
        <w:t>、所得税费用</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）按项目列示</w:t>
      </w:r>
    </w:p>
    <w:p>
      <w:pPr>
        <w:spacing w:line="240" w:lineRule="auto" w:before="7"/>
        <w:rPr>
          <w:rFonts w:ascii="宋体" w:hAnsi="宋体" w:cs="宋体" w:eastAsia="宋体" w:hint="default"/>
          <w:sz w:val="27"/>
          <w:szCs w:val="27"/>
        </w:rPr>
      </w:pPr>
    </w:p>
    <w:tbl>
      <w:tblPr>
        <w:tblW w:w="0" w:type="auto"/>
        <w:jc w:val="left"/>
        <w:tblInd w:w="213" w:type="dxa"/>
        <w:tblLayout w:type="fixed"/>
        <w:tblCellMar>
          <w:top w:w="0" w:type="dxa"/>
          <w:left w:w="0" w:type="dxa"/>
          <w:bottom w:w="0" w:type="dxa"/>
          <w:right w:w="0" w:type="dxa"/>
        </w:tblCellMar>
        <w:tblLook w:val="01E0"/>
      </w:tblPr>
      <w:tblGrid>
        <w:gridCol w:w="3191"/>
        <w:gridCol w:w="3088"/>
        <w:gridCol w:w="3361"/>
      </w:tblGrid>
      <w:tr>
        <w:trPr>
          <w:trHeight w:val="270" w:hRule="exact"/>
        </w:trPr>
        <w:tc>
          <w:tcPr>
            <w:tcW w:w="3191" w:type="dxa"/>
            <w:tcBorders>
              <w:top w:val="nil" w:sz="6" w:space="0" w:color="auto"/>
              <w:left w:val="nil" w:sz="6" w:space="0" w:color="auto"/>
              <w:bottom w:val="single" w:sz="2" w:space="0" w:color="000000"/>
              <w:right w:val="nil" w:sz="6" w:space="0" w:color="auto"/>
            </w:tcBorders>
          </w:tcPr>
          <w:p>
            <w:pPr>
              <w:pStyle w:val="TableParagraph"/>
              <w:tabs>
                <w:tab w:pos="473" w:val="left" w:leader="none"/>
              </w:tabs>
              <w:spacing w:line="180" w:lineRule="exact"/>
              <w:ind w:left="19"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88" w:type="dxa"/>
            <w:tcBorders>
              <w:top w:val="nil" w:sz="6" w:space="0" w:color="auto"/>
              <w:left w:val="nil" w:sz="6" w:space="0" w:color="auto"/>
              <w:bottom w:val="single" w:sz="2" w:space="0" w:color="000000"/>
              <w:right w:val="nil" w:sz="6" w:space="0" w:color="auto"/>
            </w:tcBorders>
          </w:tcPr>
          <w:p>
            <w:pPr>
              <w:pStyle w:val="TableParagraph"/>
              <w:spacing w:line="180" w:lineRule="exact"/>
              <w:ind w:left="17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61" w:type="dxa"/>
            <w:tcBorders>
              <w:top w:val="nil" w:sz="6" w:space="0" w:color="auto"/>
              <w:left w:val="nil" w:sz="6" w:space="0" w:color="auto"/>
              <w:bottom w:val="single" w:sz="2" w:space="0" w:color="000000"/>
              <w:right w:val="nil" w:sz="6" w:space="0" w:color="auto"/>
            </w:tcBorders>
          </w:tcPr>
          <w:p>
            <w:pPr>
              <w:pStyle w:val="TableParagraph"/>
              <w:spacing w:line="180" w:lineRule="exact"/>
              <w:ind w:left="150"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9" w:hRule="exact"/>
        </w:trPr>
        <w:tc>
          <w:tcPr>
            <w:tcW w:w="3191" w:type="dxa"/>
            <w:tcBorders>
              <w:top w:val="single" w:sz="2"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088"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80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9,795,370.15</w:t>
            </w:r>
            <w:r>
              <w:rPr>
                <w:rFonts w:ascii="Times New Roman"/>
                <w:spacing w:val="-1"/>
                <w:sz w:val="18"/>
              </w:rPr>
            </w:r>
          </w:p>
        </w:tc>
        <w:tc>
          <w:tcPr>
            <w:tcW w:w="3361"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left="81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12,131,300.56</w:t>
            </w:r>
            <w:r>
              <w:rPr>
                <w:rFonts w:ascii="Times New Roman"/>
                <w:sz w:val="18"/>
              </w:rPr>
            </w:r>
          </w:p>
        </w:tc>
      </w:tr>
      <w:tr>
        <w:trPr>
          <w:trHeight w:val="440"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9"/>
              <w:jc w:val="right"/>
              <w:rPr>
                <w:rFonts w:ascii="Times New Roman" w:hAnsi="Times New Roman" w:cs="Times New Roman" w:eastAsia="Times New Roman" w:hint="default"/>
                <w:sz w:val="18"/>
                <w:szCs w:val="18"/>
              </w:rPr>
            </w:pPr>
            <w:r>
              <w:rPr>
                <w:rFonts w:ascii="Times New Roman"/>
                <w:spacing w:val="-1"/>
                <w:sz w:val="18"/>
              </w:rPr>
              <w:t>9,951,680.80</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11" w:right="0"/>
              <w:jc w:val="left"/>
              <w:rPr>
                <w:rFonts w:ascii="Times New Roman" w:hAnsi="Times New Roman" w:cs="Times New Roman" w:eastAsia="Times New Roman" w:hint="default"/>
                <w:sz w:val="18"/>
                <w:szCs w:val="18"/>
              </w:rPr>
            </w:pPr>
            <w:r>
              <w:rPr>
                <w:rFonts w:ascii="Times New Roman"/>
                <w:sz w:val="18"/>
              </w:rPr>
              <w:t>12,299,700.59</w:t>
            </w:r>
          </w:p>
        </w:tc>
      </w:tr>
      <w:tr>
        <w:trPr>
          <w:trHeight w:val="316"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7"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09"/>
              <w:jc w:val="right"/>
              <w:rPr>
                <w:rFonts w:ascii="Times New Roman" w:hAnsi="Times New Roman" w:cs="Times New Roman" w:eastAsia="Times New Roman" w:hint="default"/>
                <w:sz w:val="18"/>
                <w:szCs w:val="18"/>
              </w:rPr>
            </w:pPr>
            <w:r>
              <w:rPr>
                <w:rFonts w:ascii="Times New Roman"/>
                <w:spacing w:val="-1"/>
                <w:sz w:val="18"/>
              </w:rPr>
              <w:t>-156,310.65</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86" w:right="0"/>
              <w:jc w:val="left"/>
              <w:rPr>
                <w:rFonts w:ascii="Times New Roman" w:hAnsi="Times New Roman" w:cs="Times New Roman" w:eastAsia="Times New Roman" w:hint="default"/>
                <w:sz w:val="18"/>
                <w:szCs w:val="18"/>
              </w:rPr>
            </w:pPr>
            <w:r>
              <w:rPr>
                <w:rFonts w:ascii="Times New Roman"/>
                <w:sz w:val="18"/>
              </w:rPr>
              <w:t>-168,400.03</w:t>
            </w:r>
          </w:p>
        </w:tc>
      </w:tr>
    </w:tbl>
    <w:p>
      <w:pPr>
        <w:spacing w:line="240" w:lineRule="auto" w:before="10"/>
        <w:rPr>
          <w:rFonts w:ascii="宋体" w:hAnsi="宋体" w:cs="宋体" w:eastAsia="宋体" w:hint="default"/>
          <w:sz w:val="29"/>
          <w:szCs w:val="29"/>
        </w:rPr>
      </w:pPr>
    </w:p>
    <w:p>
      <w:pPr>
        <w:pStyle w:val="BodyText"/>
        <w:spacing w:line="240" w:lineRule="auto" w:before="44"/>
        <w:ind w:left="573" w:right="5558"/>
        <w:jc w:val="left"/>
      </w:pPr>
      <w:r>
        <w:rPr/>
        <w:t>（</w:t>
      </w:r>
      <w:r>
        <w:rPr>
          <w:rFonts w:ascii="Times New Roman" w:hAnsi="Times New Roman" w:cs="Times New Roman" w:eastAsia="Times New Roman" w:hint="default"/>
        </w:rPr>
        <w:t>2</w:t>
      </w:r>
      <w:r>
        <w:rPr/>
        <w:t>）所得税费用与会计利润的关系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5219"/>
        <w:gridCol w:w="2952"/>
        <w:gridCol w:w="1686"/>
      </w:tblGrid>
      <w:tr>
        <w:trPr>
          <w:trHeight w:val="279" w:hRule="exact"/>
        </w:trPr>
        <w:tc>
          <w:tcPr>
            <w:tcW w:w="5219" w:type="dxa"/>
            <w:tcBorders>
              <w:top w:val="nil" w:sz="6" w:space="0" w:color="auto"/>
              <w:left w:val="nil" w:sz="6" w:space="0" w:color="auto"/>
              <w:bottom w:val="single" w:sz="8" w:space="0" w:color="000000"/>
              <w:right w:val="nil" w:sz="6" w:space="0" w:color="auto"/>
            </w:tcBorders>
          </w:tcPr>
          <w:p>
            <w:pPr>
              <w:pStyle w:val="TableParagraph"/>
              <w:spacing w:line="180" w:lineRule="exact"/>
              <w:ind w:left="869"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52" w:type="dxa"/>
            <w:tcBorders>
              <w:top w:val="nil" w:sz="6" w:space="0" w:color="auto"/>
              <w:left w:val="nil" w:sz="6" w:space="0" w:color="auto"/>
              <w:bottom w:val="single" w:sz="8" w:space="0" w:color="000000"/>
              <w:right w:val="nil" w:sz="6" w:space="0" w:color="auto"/>
            </w:tcBorders>
          </w:tcPr>
          <w:p>
            <w:pPr>
              <w:pStyle w:val="TableParagraph"/>
              <w:spacing w:line="180" w:lineRule="exact"/>
              <w:ind w:left="153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86" w:type="dxa"/>
            <w:tcBorders>
              <w:top w:val="nil" w:sz="6" w:space="0" w:color="auto"/>
              <w:left w:val="nil" w:sz="6" w:space="0" w:color="auto"/>
              <w:bottom w:val="single" w:sz="8" w:space="0" w:color="000000"/>
              <w:right w:val="nil" w:sz="6" w:space="0" w:color="auto"/>
            </w:tcBorders>
          </w:tcPr>
          <w:p>
            <w:pPr>
              <w:pStyle w:val="TableParagraph"/>
              <w:spacing w:line="180"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6" w:hRule="exact"/>
        </w:trPr>
        <w:tc>
          <w:tcPr>
            <w:tcW w:w="5219"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952"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404"/>
              <w:jc w:val="right"/>
              <w:rPr>
                <w:rFonts w:ascii="Times New Roman" w:hAnsi="Times New Roman" w:cs="Times New Roman" w:eastAsia="Times New Roman" w:hint="default"/>
                <w:sz w:val="18"/>
                <w:szCs w:val="18"/>
              </w:rPr>
            </w:pPr>
            <w:r>
              <w:rPr>
                <w:rFonts w:ascii="Times New Roman"/>
                <w:spacing w:val="-1"/>
                <w:sz w:val="18"/>
              </w:rPr>
              <w:t>30,062,660.57</w:t>
            </w:r>
          </w:p>
        </w:tc>
        <w:tc>
          <w:tcPr>
            <w:tcW w:w="1686"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245"/>
              <w:jc w:val="right"/>
              <w:rPr>
                <w:rFonts w:ascii="Times New Roman" w:hAnsi="Times New Roman" w:cs="Times New Roman" w:eastAsia="Times New Roman" w:hint="default"/>
                <w:sz w:val="18"/>
                <w:szCs w:val="18"/>
              </w:rPr>
            </w:pPr>
            <w:r>
              <w:rPr>
                <w:rFonts w:ascii="Times New Roman"/>
                <w:spacing w:val="-1"/>
                <w:sz w:val="18"/>
              </w:rPr>
              <w:t>45,329,547.48</w:t>
            </w:r>
          </w:p>
        </w:tc>
      </w:tr>
      <w:tr>
        <w:trPr>
          <w:trHeight w:val="441" w:hRule="exact"/>
        </w:trPr>
        <w:tc>
          <w:tcPr>
            <w:tcW w:w="52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按法定税率</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计算的所得税费用</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2"/>
              <w:jc w:val="right"/>
              <w:rPr>
                <w:rFonts w:ascii="Times New Roman" w:hAnsi="Times New Roman" w:cs="Times New Roman" w:eastAsia="Times New Roman" w:hint="default"/>
                <w:sz w:val="18"/>
                <w:szCs w:val="18"/>
              </w:rPr>
            </w:pPr>
            <w:r>
              <w:rPr>
                <w:rFonts w:ascii="Times New Roman"/>
                <w:sz w:val="18"/>
              </w:rPr>
              <w:t>7,515,665.14</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5"/>
              <w:jc w:val="right"/>
              <w:rPr>
                <w:rFonts w:ascii="Times New Roman" w:hAnsi="Times New Roman" w:cs="Times New Roman" w:eastAsia="Times New Roman" w:hint="default"/>
                <w:sz w:val="18"/>
                <w:szCs w:val="18"/>
              </w:rPr>
            </w:pPr>
            <w:r>
              <w:rPr>
                <w:rFonts w:ascii="Times New Roman"/>
                <w:spacing w:val="-1"/>
                <w:sz w:val="18"/>
              </w:rPr>
              <w:t>11,332,386.87</w:t>
            </w:r>
          </w:p>
        </w:tc>
      </w:tr>
      <w:tr>
        <w:trPr>
          <w:trHeight w:val="440" w:hRule="exact"/>
        </w:trPr>
        <w:tc>
          <w:tcPr>
            <w:tcW w:w="52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4"/>
              <w:jc w:val="right"/>
              <w:rPr>
                <w:rFonts w:ascii="Times New Roman" w:hAnsi="Times New Roman" w:cs="Times New Roman" w:eastAsia="Times New Roman" w:hint="default"/>
                <w:sz w:val="18"/>
                <w:szCs w:val="18"/>
              </w:rPr>
            </w:pPr>
            <w:r>
              <w:rPr>
                <w:rFonts w:ascii="Times New Roman"/>
                <w:spacing w:val="-1"/>
                <w:sz w:val="18"/>
              </w:rPr>
              <w:t>-280,653.08</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5"/>
              <w:jc w:val="right"/>
              <w:rPr>
                <w:rFonts w:ascii="Times New Roman" w:hAnsi="Times New Roman" w:cs="Times New Roman" w:eastAsia="Times New Roman" w:hint="default"/>
                <w:sz w:val="18"/>
                <w:szCs w:val="18"/>
              </w:rPr>
            </w:pPr>
            <w:r>
              <w:rPr>
                <w:rFonts w:ascii="Times New Roman"/>
                <w:spacing w:val="-1"/>
                <w:sz w:val="18"/>
              </w:rPr>
              <w:t>-22,621.59</w:t>
            </w:r>
          </w:p>
        </w:tc>
      </w:tr>
      <w:tr>
        <w:trPr>
          <w:trHeight w:val="439" w:hRule="exact"/>
        </w:trPr>
        <w:tc>
          <w:tcPr>
            <w:tcW w:w="52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不需纳税的归属于合营企业和联营企业的损益</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4"/>
              <w:jc w:val="right"/>
              <w:rPr>
                <w:rFonts w:ascii="Times New Roman" w:hAnsi="Times New Roman" w:cs="Times New Roman" w:eastAsia="Times New Roman" w:hint="default"/>
                <w:sz w:val="18"/>
                <w:szCs w:val="18"/>
              </w:rPr>
            </w:pPr>
            <w:r>
              <w:rPr>
                <w:rFonts w:ascii="Times New Roman"/>
                <w:spacing w:val="-1"/>
                <w:sz w:val="18"/>
              </w:rPr>
              <w:t>-56,499.56</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5"/>
              <w:jc w:val="right"/>
              <w:rPr>
                <w:rFonts w:ascii="Times New Roman" w:hAnsi="Times New Roman" w:cs="Times New Roman" w:eastAsia="Times New Roman" w:hint="default"/>
                <w:sz w:val="18"/>
                <w:szCs w:val="18"/>
              </w:rPr>
            </w:pPr>
            <w:r>
              <w:rPr>
                <w:rFonts w:ascii="Times New Roman"/>
                <w:spacing w:val="-1"/>
                <w:sz w:val="18"/>
              </w:rPr>
              <w:t>-76,262.03</w:t>
            </w:r>
          </w:p>
        </w:tc>
      </w:tr>
      <w:tr>
        <w:trPr>
          <w:trHeight w:val="435" w:hRule="exact"/>
        </w:trPr>
        <w:tc>
          <w:tcPr>
            <w:tcW w:w="52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952"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440" w:hRule="exact"/>
        </w:trPr>
        <w:tc>
          <w:tcPr>
            <w:tcW w:w="521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被抵消的内部利润</w:t>
            </w:r>
          </w:p>
        </w:tc>
        <w:tc>
          <w:tcPr>
            <w:tcW w:w="2952"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310" w:hRule="exact"/>
        </w:trPr>
        <w:tc>
          <w:tcPr>
            <w:tcW w:w="52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本期计入递延收益的政府补助</w:t>
            </w:r>
          </w:p>
        </w:tc>
        <w:tc>
          <w:tcPr>
            <w:tcW w:w="2952"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65"/>
          <w:pgSz w:w="11910" w:h="16840"/>
          <w:pgMar w:footer="979" w:header="918" w:top="1100" w:bottom="1160" w:left="920" w:right="920"/>
          <w:pgNumType w:start="10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5950"/>
        <w:gridCol w:w="2220"/>
        <w:gridCol w:w="1687"/>
      </w:tblGrid>
      <w:tr>
        <w:trPr>
          <w:trHeight w:val="277" w:hRule="exact"/>
        </w:trPr>
        <w:tc>
          <w:tcPr>
            <w:tcW w:w="5950" w:type="dxa"/>
            <w:tcBorders>
              <w:top w:val="nil" w:sz="6" w:space="0" w:color="auto"/>
              <w:left w:val="nil" w:sz="6" w:space="0" w:color="auto"/>
              <w:bottom w:val="single" w:sz="8" w:space="0" w:color="000000"/>
              <w:right w:val="nil" w:sz="6" w:space="0" w:color="auto"/>
            </w:tcBorders>
          </w:tcPr>
          <w:p>
            <w:pPr>
              <w:pStyle w:val="TableParagraph"/>
              <w:spacing w:line="180" w:lineRule="exact"/>
              <w:ind w:left="138"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20" w:type="dxa"/>
            <w:tcBorders>
              <w:top w:val="nil" w:sz="6" w:space="0" w:color="auto"/>
              <w:left w:val="nil" w:sz="6" w:space="0" w:color="auto"/>
              <w:bottom w:val="single" w:sz="8" w:space="0" w:color="000000"/>
              <w:right w:val="nil" w:sz="6" w:space="0" w:color="auto"/>
            </w:tcBorders>
          </w:tcPr>
          <w:p>
            <w:pPr>
              <w:pStyle w:val="TableParagraph"/>
              <w:spacing w:line="180" w:lineRule="exact"/>
              <w:ind w:left="80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87" w:type="dxa"/>
            <w:tcBorders>
              <w:top w:val="nil" w:sz="6" w:space="0" w:color="auto"/>
              <w:left w:val="nil" w:sz="6" w:space="0" w:color="auto"/>
              <w:bottom w:val="single" w:sz="8" w:space="0" w:color="000000"/>
              <w:right w:val="nil" w:sz="6" w:space="0" w:color="auto"/>
            </w:tcBorders>
          </w:tcPr>
          <w:p>
            <w:pPr>
              <w:pStyle w:val="TableParagraph"/>
              <w:spacing w:line="180" w:lineRule="exact"/>
              <w:ind w:left="46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33" w:hRule="exact"/>
        </w:trPr>
        <w:tc>
          <w:tcPr>
            <w:tcW w:w="5950" w:type="dxa"/>
            <w:tcBorders>
              <w:top w:val="single" w:sz="8" w:space="0" w:color="000000"/>
              <w:left w:val="nil" w:sz="6" w:space="0" w:color="auto"/>
              <w:bottom w:val="nil" w:sz="6" w:space="0" w:color="auto"/>
              <w:right w:val="nil" w:sz="6" w:space="0" w:color="auto"/>
            </w:tcBorders>
          </w:tcPr>
          <w:p>
            <w:pPr/>
          </w:p>
        </w:tc>
        <w:tc>
          <w:tcPr>
            <w:tcW w:w="2220"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left="1129" w:right="0"/>
              <w:jc w:val="left"/>
              <w:rPr>
                <w:rFonts w:ascii="Times New Roman" w:hAnsi="Times New Roman" w:cs="Times New Roman" w:eastAsia="Times New Roman" w:hint="default"/>
                <w:sz w:val="18"/>
                <w:szCs w:val="18"/>
              </w:rPr>
            </w:pPr>
            <w:r>
              <w:rPr>
                <w:rFonts w:ascii="Times New Roman"/>
                <w:sz w:val="18"/>
              </w:rPr>
              <w:t>1,230,780.08</w:t>
            </w:r>
          </w:p>
        </w:tc>
        <w:tc>
          <w:tcPr>
            <w:tcW w:w="1687" w:type="dxa"/>
            <w:tcBorders>
              <w:top w:val="single" w:sz="8" w:space="0" w:color="000000"/>
              <w:left w:val="nil" w:sz="6" w:space="0" w:color="auto"/>
              <w:bottom w:val="nil" w:sz="6" w:space="0" w:color="auto"/>
              <w:right w:val="nil" w:sz="6" w:space="0" w:color="auto"/>
            </w:tcBorders>
          </w:tcPr>
          <w:p>
            <w:pPr/>
          </w:p>
        </w:tc>
      </w:tr>
      <w:tr>
        <w:trPr>
          <w:trHeight w:val="430" w:hRule="exact"/>
        </w:trPr>
        <w:tc>
          <w:tcPr>
            <w:tcW w:w="5950"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不可抵扣的费用和损失</w:t>
            </w:r>
          </w:p>
        </w:tc>
        <w:tc>
          <w:tcPr>
            <w:tcW w:w="222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5"/>
              <w:jc w:val="right"/>
              <w:rPr>
                <w:rFonts w:ascii="Times New Roman" w:hAnsi="Times New Roman" w:cs="Times New Roman" w:eastAsia="Times New Roman" w:hint="default"/>
                <w:sz w:val="18"/>
                <w:szCs w:val="18"/>
              </w:rPr>
            </w:pPr>
            <w:r>
              <w:rPr>
                <w:rFonts w:ascii="Times New Roman"/>
                <w:spacing w:val="-1"/>
                <w:sz w:val="18"/>
              </w:rPr>
              <w:t>430,684.23</w:t>
            </w:r>
          </w:p>
        </w:tc>
      </w:tr>
      <w:tr>
        <w:trPr>
          <w:trHeight w:val="523" w:hRule="exact"/>
        </w:trPr>
        <w:tc>
          <w:tcPr>
            <w:tcW w:w="5950"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22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444" w:hRule="exact"/>
        </w:trPr>
        <w:tc>
          <w:tcPr>
            <w:tcW w:w="595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942" w:right="0"/>
              <w:jc w:val="left"/>
              <w:rPr>
                <w:rFonts w:ascii="Times New Roman" w:hAnsi="Times New Roman" w:cs="Times New Roman" w:eastAsia="Times New Roman" w:hint="default"/>
                <w:sz w:val="18"/>
                <w:szCs w:val="18"/>
              </w:rPr>
            </w:pPr>
            <w:r>
              <w:rPr>
                <w:rFonts w:ascii="Times New Roman"/>
                <w:sz w:val="18"/>
              </w:rPr>
              <w:t>-296,126.14</w:t>
            </w:r>
          </w:p>
        </w:tc>
        <w:tc>
          <w:tcPr>
            <w:tcW w:w="1687" w:type="dxa"/>
            <w:tcBorders>
              <w:top w:val="nil" w:sz="6" w:space="0" w:color="auto"/>
              <w:left w:val="nil" w:sz="6" w:space="0" w:color="auto"/>
              <w:bottom w:val="nil" w:sz="6" w:space="0" w:color="auto"/>
              <w:right w:val="nil" w:sz="6" w:space="0" w:color="auto"/>
            </w:tcBorders>
          </w:tcPr>
          <w:p>
            <w:pPr/>
          </w:p>
        </w:tc>
      </w:tr>
      <w:tr>
        <w:trPr>
          <w:trHeight w:val="440" w:hRule="exact"/>
        </w:trPr>
        <w:tc>
          <w:tcPr>
            <w:tcW w:w="59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未确认递延所得税资产的可抵扣暂时性差异和可抵扣亏损的影响</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68" w:right="0"/>
              <w:jc w:val="left"/>
              <w:rPr>
                <w:rFonts w:ascii="Times New Roman" w:hAnsi="Times New Roman" w:cs="Times New Roman" w:eastAsia="Times New Roman" w:hint="default"/>
                <w:sz w:val="18"/>
                <w:szCs w:val="18"/>
              </w:rPr>
            </w:pPr>
            <w:r>
              <w:rPr>
                <w:rFonts w:ascii="Times New Roman"/>
                <w:sz w:val="18"/>
              </w:rPr>
              <w:t>1,838,514.36</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5"/>
              <w:jc w:val="right"/>
              <w:rPr>
                <w:rFonts w:ascii="Times New Roman" w:hAnsi="Times New Roman" w:cs="Times New Roman" w:eastAsia="Times New Roman" w:hint="default"/>
                <w:sz w:val="18"/>
                <w:szCs w:val="18"/>
              </w:rPr>
            </w:pPr>
            <w:r>
              <w:rPr>
                <w:rFonts w:ascii="Times New Roman"/>
                <w:spacing w:val="-1"/>
                <w:sz w:val="18"/>
              </w:rPr>
              <w:t>635,513.11</w:t>
            </w:r>
          </w:p>
        </w:tc>
      </w:tr>
      <w:tr>
        <w:trPr>
          <w:trHeight w:val="440" w:hRule="exact"/>
        </w:trPr>
        <w:tc>
          <w:tcPr>
            <w:tcW w:w="595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当期递延所得税费用的影响</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42" w:right="0"/>
              <w:jc w:val="left"/>
              <w:rPr>
                <w:rFonts w:ascii="Times New Roman" w:hAnsi="Times New Roman" w:cs="Times New Roman" w:eastAsia="Times New Roman" w:hint="default"/>
                <w:sz w:val="18"/>
                <w:szCs w:val="18"/>
              </w:rPr>
            </w:pPr>
            <w:r>
              <w:rPr>
                <w:rFonts w:ascii="Times New Roman"/>
                <w:sz w:val="18"/>
              </w:rPr>
              <w:t>-156,310.65</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5"/>
              <w:jc w:val="right"/>
              <w:rPr>
                <w:rFonts w:ascii="Times New Roman" w:hAnsi="Times New Roman" w:cs="Times New Roman" w:eastAsia="Times New Roman" w:hint="default"/>
                <w:sz w:val="18"/>
                <w:szCs w:val="18"/>
              </w:rPr>
            </w:pPr>
            <w:r>
              <w:rPr>
                <w:rFonts w:ascii="Times New Roman"/>
                <w:spacing w:val="-1"/>
                <w:sz w:val="18"/>
              </w:rPr>
              <w:t>-168,400.03</w:t>
            </w:r>
          </w:p>
        </w:tc>
      </w:tr>
      <w:tr>
        <w:trPr>
          <w:trHeight w:val="315" w:hRule="exact"/>
        </w:trPr>
        <w:tc>
          <w:tcPr>
            <w:tcW w:w="59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9,795,370.15</w:t>
            </w:r>
            <w:r>
              <w:rPr>
                <w:rFonts w:ascii="Times New Roman"/>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12,131,300.56</w:t>
            </w:r>
            <w:r>
              <w:rPr>
                <w:rFonts w:ascii="Times New Roman"/>
                <w:spacing w:val="-1"/>
                <w:sz w:val="18"/>
              </w:rPr>
            </w:r>
          </w:p>
        </w:tc>
      </w:tr>
    </w:tbl>
    <w:p>
      <w:pPr>
        <w:spacing w:line="240" w:lineRule="auto" w:before="2"/>
        <w:rPr>
          <w:rFonts w:ascii="宋体" w:hAnsi="宋体" w:cs="宋体" w:eastAsia="宋体" w:hint="default"/>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34</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5351"/>
        <w:gridCol w:w="2434"/>
        <w:gridCol w:w="1921"/>
      </w:tblGrid>
      <w:tr>
        <w:trPr>
          <w:trHeight w:val="277" w:hRule="exact"/>
        </w:trPr>
        <w:tc>
          <w:tcPr>
            <w:tcW w:w="5351" w:type="dxa"/>
            <w:tcBorders>
              <w:top w:val="nil" w:sz="6" w:space="0" w:color="auto"/>
              <w:left w:val="nil" w:sz="6" w:space="0" w:color="auto"/>
              <w:bottom w:val="single" w:sz="8" w:space="0" w:color="000000"/>
              <w:right w:val="nil" w:sz="6" w:space="0" w:color="auto"/>
            </w:tcBorders>
          </w:tcPr>
          <w:p>
            <w:pPr>
              <w:pStyle w:val="TableParagraph"/>
              <w:spacing w:line="180" w:lineRule="exact"/>
              <w:ind w:right="105"/>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34" w:type="dxa"/>
            <w:tcBorders>
              <w:top w:val="nil" w:sz="6" w:space="0" w:color="auto"/>
              <w:left w:val="nil" w:sz="6" w:space="0" w:color="auto"/>
              <w:bottom w:val="single" w:sz="8" w:space="0" w:color="000000"/>
              <w:right w:val="nil" w:sz="6" w:space="0" w:color="auto"/>
            </w:tcBorders>
          </w:tcPr>
          <w:p>
            <w:pPr>
              <w:pStyle w:val="TableParagraph"/>
              <w:spacing w:line="180" w:lineRule="exact"/>
              <w:ind w:left="74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21" w:type="dxa"/>
            <w:tcBorders>
              <w:top w:val="nil" w:sz="6" w:space="0" w:color="auto"/>
              <w:left w:val="nil" w:sz="6" w:space="0" w:color="auto"/>
              <w:bottom w:val="single" w:sz="8"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8" w:hRule="exact"/>
        </w:trPr>
        <w:tc>
          <w:tcPr>
            <w:tcW w:w="535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一、收到的其他与经营活动有关的现金</w:t>
            </w:r>
          </w:p>
        </w:tc>
        <w:tc>
          <w:tcPr>
            <w:tcW w:w="2434"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12,658,903.52</w:t>
            </w:r>
            <w:r>
              <w:rPr>
                <w:rFonts w:ascii="Times New Roman"/>
                <w:spacing w:val="-1"/>
                <w:sz w:val="18"/>
              </w:rPr>
            </w:r>
          </w:p>
        </w:tc>
        <w:tc>
          <w:tcPr>
            <w:tcW w:w="1921"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10,341,767.57</w:t>
            </w:r>
            <w:r>
              <w:rPr>
                <w:rFonts w:ascii="Times New Roman"/>
                <w:spacing w:val="-1"/>
                <w:sz w:val="18"/>
              </w:rPr>
            </w:r>
          </w:p>
        </w:tc>
      </w:tr>
      <w:tr>
        <w:trPr>
          <w:trHeight w:val="439"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其中：利息收入</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2"/>
              <w:jc w:val="right"/>
              <w:rPr>
                <w:rFonts w:ascii="Times New Roman" w:hAnsi="Times New Roman" w:cs="Times New Roman" w:eastAsia="Times New Roman" w:hint="default"/>
                <w:sz w:val="18"/>
                <w:szCs w:val="18"/>
              </w:rPr>
            </w:pPr>
            <w:r>
              <w:rPr>
                <w:rFonts w:ascii="Times New Roman"/>
                <w:spacing w:val="-1"/>
                <w:sz w:val="18"/>
              </w:rPr>
              <w:t>7,647,454.12</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0"/>
              <w:jc w:val="right"/>
              <w:rPr>
                <w:rFonts w:ascii="Times New Roman" w:hAnsi="Times New Roman" w:cs="Times New Roman" w:eastAsia="Times New Roman" w:hint="default"/>
                <w:sz w:val="18"/>
                <w:szCs w:val="18"/>
              </w:rPr>
            </w:pPr>
            <w:r>
              <w:rPr>
                <w:rFonts w:ascii="Times New Roman"/>
                <w:spacing w:val="-1"/>
                <w:sz w:val="18"/>
              </w:rPr>
              <w:t>8,635,130.36</w:t>
            </w:r>
          </w:p>
        </w:tc>
      </w:tr>
      <w:tr>
        <w:trPr>
          <w:trHeight w:val="440"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99"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2"/>
              <w:jc w:val="right"/>
              <w:rPr>
                <w:rFonts w:ascii="Times New Roman" w:hAnsi="Times New Roman" w:cs="Times New Roman" w:eastAsia="Times New Roman" w:hint="default"/>
                <w:sz w:val="18"/>
                <w:szCs w:val="18"/>
              </w:rPr>
            </w:pPr>
            <w:r>
              <w:rPr>
                <w:rFonts w:ascii="Times New Roman"/>
                <w:spacing w:val="-1"/>
                <w:sz w:val="18"/>
              </w:rPr>
              <w:t>1,200,000.00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40"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90"/>
              <w:jc w:val="right"/>
              <w:rPr>
                <w:rFonts w:ascii="Times New Roman" w:hAnsi="Times New Roman" w:cs="Times New Roman" w:eastAsia="Times New Roman" w:hint="default"/>
                <w:sz w:val="18"/>
                <w:szCs w:val="18"/>
              </w:rPr>
            </w:pPr>
            <w:r>
              <w:rPr>
                <w:rFonts w:ascii="Times New Roman"/>
                <w:spacing w:val="-1"/>
                <w:sz w:val="18"/>
              </w:rPr>
              <w:t>3,811,449.40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0"/>
              <w:jc w:val="right"/>
              <w:rPr>
                <w:rFonts w:ascii="Times New Roman" w:hAnsi="Times New Roman" w:cs="Times New Roman" w:eastAsia="Times New Roman" w:hint="default"/>
                <w:sz w:val="18"/>
                <w:szCs w:val="18"/>
              </w:rPr>
            </w:pPr>
            <w:r>
              <w:rPr>
                <w:rFonts w:ascii="Times New Roman"/>
                <w:spacing w:val="-1"/>
                <w:sz w:val="18"/>
              </w:rPr>
              <w:t>306,637.21</w:t>
            </w:r>
          </w:p>
        </w:tc>
      </w:tr>
      <w:tr>
        <w:trPr>
          <w:trHeight w:val="439"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二、支付的其他与经营活动有关的现金</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38,688,237.17</w:t>
            </w:r>
            <w:r>
              <w:rPr>
                <w:rFonts w:ascii="Times New Roman"/>
                <w:spacing w:val="-1"/>
                <w:sz w:val="18"/>
              </w:rPr>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22,569,199.10</w:t>
            </w:r>
            <w:r>
              <w:rPr>
                <w:rFonts w:ascii="Times New Roman"/>
                <w:spacing w:val="-1"/>
                <w:sz w:val="18"/>
              </w:rPr>
            </w:r>
          </w:p>
        </w:tc>
      </w:tr>
      <w:tr>
        <w:trPr>
          <w:trHeight w:val="441"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其中：费用性支出</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2"/>
              <w:jc w:val="right"/>
              <w:rPr>
                <w:rFonts w:ascii="Times New Roman" w:hAnsi="Times New Roman" w:cs="Times New Roman" w:eastAsia="Times New Roman" w:hint="default"/>
                <w:sz w:val="18"/>
                <w:szCs w:val="18"/>
              </w:rPr>
            </w:pPr>
            <w:r>
              <w:rPr>
                <w:rFonts w:ascii="Times New Roman"/>
                <w:spacing w:val="-1"/>
                <w:sz w:val="18"/>
              </w:rPr>
              <w:t>33,054,974.65</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0"/>
              <w:jc w:val="right"/>
              <w:rPr>
                <w:rFonts w:ascii="Times New Roman" w:hAnsi="Times New Roman" w:cs="Times New Roman" w:eastAsia="Times New Roman" w:hint="default"/>
                <w:sz w:val="18"/>
                <w:szCs w:val="18"/>
              </w:rPr>
            </w:pPr>
            <w:r>
              <w:rPr>
                <w:rFonts w:ascii="Times New Roman"/>
                <w:spacing w:val="-1"/>
                <w:sz w:val="18"/>
              </w:rPr>
              <w:t>21,690,503.93</w:t>
            </w:r>
          </w:p>
        </w:tc>
      </w:tr>
      <w:tr>
        <w:trPr>
          <w:trHeight w:val="441"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92"/>
              <w:jc w:val="right"/>
              <w:rPr>
                <w:rFonts w:ascii="Times New Roman" w:hAnsi="Times New Roman" w:cs="Times New Roman" w:eastAsia="Times New Roman" w:hint="default"/>
                <w:sz w:val="18"/>
                <w:szCs w:val="18"/>
              </w:rPr>
            </w:pPr>
            <w:r>
              <w:rPr>
                <w:rFonts w:ascii="Times New Roman"/>
                <w:spacing w:val="-1"/>
                <w:sz w:val="18"/>
              </w:rPr>
              <w:t>5,633,262.52</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0"/>
              <w:jc w:val="right"/>
              <w:rPr>
                <w:rFonts w:ascii="Times New Roman" w:hAnsi="Times New Roman" w:cs="Times New Roman" w:eastAsia="Times New Roman" w:hint="default"/>
                <w:sz w:val="18"/>
                <w:szCs w:val="18"/>
              </w:rPr>
            </w:pPr>
            <w:r>
              <w:rPr>
                <w:rFonts w:ascii="Times New Roman"/>
                <w:spacing w:val="-1"/>
                <w:sz w:val="18"/>
              </w:rPr>
              <w:t>878,695.17</w:t>
            </w:r>
          </w:p>
        </w:tc>
      </w:tr>
      <w:tr>
        <w:trPr>
          <w:trHeight w:val="439"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三、支付的其他与筹资活动有关的现金</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1,156,400.00</w:t>
            </w:r>
            <w:r>
              <w:rPr>
                <w:rFonts w:ascii="Times New Roman"/>
                <w:spacing w:val="-1"/>
                <w:sz w:val="18"/>
              </w:rPr>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9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2,350,000.00</w:t>
            </w:r>
            <w:r>
              <w:rPr>
                <w:rFonts w:ascii="Times New Roman"/>
                <w:sz w:val="18"/>
              </w:rPr>
            </w:r>
          </w:p>
        </w:tc>
      </w:tr>
      <w:tr>
        <w:trPr>
          <w:trHeight w:val="440"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40"/>
              <w:jc w:val="right"/>
              <w:rPr>
                <w:rFonts w:ascii="宋体" w:hAnsi="宋体" w:cs="宋体" w:eastAsia="宋体" w:hint="default"/>
                <w:sz w:val="18"/>
                <w:szCs w:val="18"/>
              </w:rPr>
            </w:pPr>
            <w:r>
              <w:rPr>
                <w:rFonts w:ascii="宋体" w:hAnsi="宋体" w:cs="宋体" w:eastAsia="宋体" w:hint="default"/>
                <w:spacing w:val="-1"/>
                <w:sz w:val="18"/>
                <w:szCs w:val="18"/>
              </w:rPr>
              <w:t>其中：收购怀化天舟教育有限责任公司少数股东股权</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2"/>
              <w:jc w:val="right"/>
              <w:rPr>
                <w:rFonts w:ascii="Times New Roman" w:hAnsi="Times New Roman" w:cs="Times New Roman" w:eastAsia="Times New Roman" w:hint="default"/>
                <w:sz w:val="18"/>
                <w:szCs w:val="18"/>
              </w:rPr>
            </w:pPr>
            <w:r>
              <w:rPr>
                <w:rFonts w:ascii="Times New Roman"/>
                <w:spacing w:val="-1"/>
                <w:sz w:val="18"/>
              </w:rPr>
              <w:t>1,156,400.00</w:t>
            </w:r>
          </w:p>
        </w:tc>
        <w:tc>
          <w:tcPr>
            <w:tcW w:w="1921" w:type="dxa"/>
            <w:tcBorders>
              <w:top w:val="nil" w:sz="6" w:space="0" w:color="auto"/>
              <w:left w:val="nil" w:sz="6" w:space="0" w:color="auto"/>
              <w:bottom w:val="nil" w:sz="6" w:space="0" w:color="auto"/>
              <w:right w:val="nil" w:sz="6" w:space="0" w:color="auto"/>
            </w:tcBorders>
          </w:tcPr>
          <w:p>
            <w:pPr/>
          </w:p>
        </w:tc>
      </w:tr>
      <w:tr>
        <w:trPr>
          <w:trHeight w:val="440"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08" w:right="0"/>
              <w:jc w:val="left"/>
              <w:rPr>
                <w:rFonts w:ascii="宋体" w:hAnsi="宋体" w:cs="宋体" w:eastAsia="宋体" w:hint="default"/>
                <w:sz w:val="18"/>
                <w:szCs w:val="18"/>
              </w:rPr>
            </w:pPr>
            <w:r>
              <w:rPr>
                <w:rFonts w:ascii="宋体" w:hAnsi="宋体" w:cs="宋体" w:eastAsia="宋体" w:hint="default"/>
                <w:sz w:val="18"/>
                <w:szCs w:val="18"/>
              </w:rPr>
              <w:t>支付湖南启元律师事务所上市费用</w:t>
            </w:r>
          </w:p>
        </w:tc>
        <w:tc>
          <w:tcPr>
            <w:tcW w:w="2434"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92" w:right="0"/>
              <w:jc w:val="left"/>
              <w:rPr>
                <w:rFonts w:ascii="Times New Roman" w:hAnsi="Times New Roman" w:cs="Times New Roman" w:eastAsia="Times New Roman" w:hint="default"/>
                <w:sz w:val="18"/>
                <w:szCs w:val="18"/>
              </w:rPr>
            </w:pPr>
            <w:r>
              <w:rPr>
                <w:rFonts w:ascii="Times New Roman"/>
                <w:sz w:val="18"/>
              </w:rPr>
              <w:t>1,350,000.00</w:t>
            </w:r>
          </w:p>
        </w:tc>
      </w:tr>
      <w:tr>
        <w:trPr>
          <w:trHeight w:val="439"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39"/>
              <w:jc w:val="right"/>
              <w:rPr>
                <w:rFonts w:ascii="宋体" w:hAnsi="宋体" w:cs="宋体" w:eastAsia="宋体" w:hint="default"/>
                <w:sz w:val="18"/>
                <w:szCs w:val="18"/>
              </w:rPr>
            </w:pPr>
            <w:r>
              <w:rPr>
                <w:rFonts w:ascii="宋体" w:hAnsi="宋体" w:cs="宋体" w:eastAsia="宋体" w:hint="default"/>
                <w:spacing w:val="-1"/>
                <w:sz w:val="18"/>
                <w:szCs w:val="18"/>
              </w:rPr>
              <w:t>支付深圳证券时报传媒有限责任公司上市费用</w:t>
            </w:r>
          </w:p>
        </w:tc>
        <w:tc>
          <w:tcPr>
            <w:tcW w:w="2434"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7" w:right="0"/>
              <w:jc w:val="left"/>
              <w:rPr>
                <w:rFonts w:ascii="Times New Roman" w:hAnsi="Times New Roman" w:cs="Times New Roman" w:eastAsia="Times New Roman" w:hint="default"/>
                <w:sz w:val="18"/>
                <w:szCs w:val="18"/>
              </w:rPr>
            </w:pPr>
            <w:r>
              <w:rPr>
                <w:rFonts w:ascii="Times New Roman"/>
                <w:sz w:val="18"/>
              </w:rPr>
              <w:t>500,000.00</w:t>
            </w:r>
          </w:p>
        </w:tc>
      </w:tr>
      <w:tr>
        <w:trPr>
          <w:trHeight w:val="315" w:hRule="exact"/>
        </w:trPr>
        <w:tc>
          <w:tcPr>
            <w:tcW w:w="53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10" w:right="0"/>
              <w:jc w:val="left"/>
              <w:rPr>
                <w:rFonts w:ascii="宋体" w:hAnsi="宋体" w:cs="宋体" w:eastAsia="宋体" w:hint="default"/>
                <w:sz w:val="18"/>
                <w:szCs w:val="18"/>
              </w:rPr>
            </w:pPr>
            <w:r>
              <w:rPr>
                <w:rFonts w:ascii="宋体" w:hAnsi="宋体" w:cs="宋体" w:eastAsia="宋体" w:hint="default"/>
                <w:sz w:val="18"/>
                <w:szCs w:val="18"/>
              </w:rPr>
              <w:t>偿还湖南省财政厅上市引导资金</w:t>
            </w:r>
          </w:p>
        </w:tc>
        <w:tc>
          <w:tcPr>
            <w:tcW w:w="2434"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7" w:right="0"/>
              <w:jc w:val="left"/>
              <w:rPr>
                <w:rFonts w:ascii="Times New Roman" w:hAnsi="Times New Roman" w:cs="Times New Roman" w:eastAsia="Times New Roman" w:hint="default"/>
                <w:sz w:val="18"/>
                <w:szCs w:val="18"/>
              </w:rPr>
            </w:pPr>
            <w:r>
              <w:rPr>
                <w:rFonts w:ascii="Times New Roman"/>
                <w:sz w:val="18"/>
              </w:rPr>
              <w:t>500,000.00</w:t>
            </w:r>
          </w:p>
        </w:tc>
      </w:tr>
    </w:tbl>
    <w:p>
      <w:pPr>
        <w:spacing w:line="240" w:lineRule="auto" w:before="4"/>
        <w:rPr>
          <w:rFonts w:ascii="宋体" w:hAnsi="宋体" w:cs="宋体" w:eastAsia="宋体" w:hint="default"/>
          <w:b/>
          <w:bCs/>
          <w:sz w:val="25"/>
          <w:szCs w:val="25"/>
        </w:rPr>
      </w:pPr>
    </w:p>
    <w:p>
      <w:pPr>
        <w:pStyle w:val="Heading5"/>
        <w:spacing w:line="240" w:lineRule="auto" w:before="36"/>
        <w:ind w:left="213" w:right="5558"/>
        <w:jc w:val="left"/>
        <w:rPr>
          <w:b w:val="0"/>
          <w:bCs w:val="0"/>
        </w:rPr>
      </w:pPr>
      <w:r>
        <w:rPr>
          <w:rFonts w:ascii="Times New Roman" w:hAnsi="Times New Roman" w:cs="Times New Roman" w:eastAsia="Times New Roman" w:hint="default"/>
        </w:rPr>
        <w:t>35</w:t>
      </w:r>
      <w:r>
        <w:rPr/>
        <w:t>、净利润调节为经营活动现金流量的信息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5260"/>
        <w:gridCol w:w="2430"/>
        <w:gridCol w:w="2010"/>
      </w:tblGrid>
      <w:tr>
        <w:trPr>
          <w:trHeight w:val="272" w:hRule="exact"/>
        </w:trPr>
        <w:tc>
          <w:tcPr>
            <w:tcW w:w="5260" w:type="dxa"/>
            <w:tcBorders>
              <w:top w:val="nil" w:sz="6" w:space="0" w:color="auto"/>
              <w:left w:val="nil" w:sz="6" w:space="0" w:color="auto"/>
              <w:bottom w:val="single" w:sz="4" w:space="0" w:color="000000"/>
              <w:right w:val="nil" w:sz="6" w:space="0" w:color="auto"/>
            </w:tcBorders>
          </w:tcPr>
          <w:p>
            <w:pPr>
              <w:pStyle w:val="TableParagraph"/>
              <w:spacing w:line="180" w:lineRule="exact"/>
              <w:ind w:right="77"/>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30" w:type="dxa"/>
            <w:tcBorders>
              <w:top w:val="nil" w:sz="6" w:space="0" w:color="auto"/>
              <w:left w:val="nil" w:sz="6" w:space="0" w:color="auto"/>
              <w:bottom w:val="single" w:sz="4" w:space="0" w:color="000000"/>
              <w:right w:val="nil" w:sz="6" w:space="0" w:color="auto"/>
            </w:tcBorders>
          </w:tcPr>
          <w:p>
            <w:pPr>
              <w:pStyle w:val="TableParagraph"/>
              <w:spacing w:line="180" w:lineRule="exact"/>
              <w:ind w:left="72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10" w:type="dxa"/>
            <w:tcBorders>
              <w:top w:val="nil" w:sz="6" w:space="0" w:color="auto"/>
              <w:left w:val="nil" w:sz="6" w:space="0" w:color="auto"/>
              <w:bottom w:val="single" w:sz="4" w:space="0" w:color="000000"/>
              <w:right w:val="nil" w:sz="6" w:space="0" w:color="auto"/>
            </w:tcBorders>
          </w:tcPr>
          <w:p>
            <w:pPr>
              <w:pStyle w:val="TableParagraph"/>
              <w:spacing w:line="180" w:lineRule="exact"/>
              <w:ind w:left="68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3" w:hRule="exact"/>
        </w:trPr>
        <w:tc>
          <w:tcPr>
            <w:tcW w:w="526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430" w:type="dxa"/>
            <w:tcBorders>
              <w:top w:val="single" w:sz="4" w:space="0" w:color="000000"/>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
        </w:tc>
      </w:tr>
      <w:tr>
        <w:trPr>
          <w:trHeight w:val="439" w:hRule="exact"/>
        </w:trPr>
        <w:tc>
          <w:tcPr>
            <w:tcW w:w="52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1"/>
              <w:jc w:val="right"/>
              <w:rPr>
                <w:rFonts w:ascii="Times New Roman" w:hAnsi="Times New Roman" w:cs="Times New Roman" w:eastAsia="Times New Roman" w:hint="default"/>
                <w:sz w:val="18"/>
                <w:szCs w:val="18"/>
              </w:rPr>
            </w:pPr>
            <w:r>
              <w:rPr>
                <w:rFonts w:ascii="Times New Roman"/>
                <w:spacing w:val="-1"/>
                <w:sz w:val="18"/>
              </w:rPr>
              <w:t>20,267,290.42</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33,198,246.92</w:t>
            </w:r>
          </w:p>
        </w:tc>
      </w:tr>
      <w:tr>
        <w:trPr>
          <w:trHeight w:val="440" w:hRule="exact"/>
        </w:trPr>
        <w:tc>
          <w:tcPr>
            <w:tcW w:w="52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1"/>
              <w:jc w:val="right"/>
              <w:rPr>
                <w:rFonts w:ascii="Times New Roman" w:hAnsi="Times New Roman" w:cs="Times New Roman" w:eastAsia="Times New Roman" w:hint="default"/>
                <w:sz w:val="18"/>
                <w:szCs w:val="18"/>
              </w:rPr>
            </w:pPr>
            <w:r>
              <w:rPr>
                <w:rFonts w:ascii="Times New Roman"/>
                <w:spacing w:val="-1"/>
                <w:sz w:val="18"/>
              </w:rPr>
              <w:t>2,459,039.17</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1,608,164.08</w:t>
            </w:r>
          </w:p>
        </w:tc>
      </w:tr>
      <w:tr>
        <w:trPr>
          <w:trHeight w:val="440" w:hRule="exact"/>
        </w:trPr>
        <w:tc>
          <w:tcPr>
            <w:tcW w:w="52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9"/>
              <w:jc w:val="right"/>
              <w:rPr>
                <w:rFonts w:ascii="Times New Roman" w:hAnsi="Times New Roman" w:cs="Times New Roman" w:eastAsia="Times New Roman" w:hint="default"/>
                <w:sz w:val="18"/>
                <w:szCs w:val="18"/>
              </w:rPr>
            </w:pPr>
            <w:r>
              <w:rPr>
                <w:rFonts w:ascii="Times New Roman"/>
                <w:spacing w:val="-1"/>
                <w:sz w:val="18"/>
              </w:rPr>
              <w:t>3,187,074.27</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pacing w:val="-1"/>
                <w:sz w:val="18"/>
              </w:rPr>
              <w:t>2,225,919.73</w:t>
            </w:r>
          </w:p>
        </w:tc>
      </w:tr>
      <w:tr>
        <w:trPr>
          <w:trHeight w:val="314" w:hRule="exact"/>
        </w:trPr>
        <w:tc>
          <w:tcPr>
            <w:tcW w:w="52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1"/>
              <w:jc w:val="right"/>
              <w:rPr>
                <w:rFonts w:ascii="Times New Roman" w:hAnsi="Times New Roman" w:cs="Times New Roman" w:eastAsia="Times New Roman" w:hint="default"/>
                <w:sz w:val="18"/>
                <w:szCs w:val="18"/>
              </w:rPr>
            </w:pPr>
            <w:r>
              <w:rPr>
                <w:rFonts w:ascii="Times New Roman"/>
                <w:spacing w:val="-1"/>
                <w:sz w:val="18"/>
              </w:rPr>
              <w:t>218,740.91</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232,801.70</w:t>
            </w:r>
          </w:p>
        </w:tc>
      </w:tr>
    </w:tbl>
    <w:p>
      <w:pPr>
        <w:spacing w:after="0" w:line="240" w:lineRule="auto"/>
        <w:jc w:val="right"/>
        <w:rPr>
          <w:rFonts w:ascii="Times New Roman" w:hAnsi="Times New Roman" w:cs="Times New Roman" w:eastAsia="Times New Roman" w:hint="default"/>
          <w:sz w:val="18"/>
          <w:szCs w:val="18"/>
        </w:rPr>
        <w:sectPr>
          <w:headerReference w:type="default" r:id="rId66"/>
          <w:pgSz w:w="11910" w:h="16840"/>
          <w:pgMar w:header="918" w:footer="979" w:top="1100" w:bottom="1180" w:left="920" w:right="9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122" w:type="dxa"/>
        <w:tblLayout w:type="fixed"/>
        <w:tblCellMar>
          <w:top w:w="0" w:type="dxa"/>
          <w:left w:w="0" w:type="dxa"/>
          <w:bottom w:w="0" w:type="dxa"/>
          <w:right w:w="0" w:type="dxa"/>
        </w:tblCellMar>
        <w:tblLook w:val="01E0"/>
      </w:tblPr>
      <w:tblGrid>
        <w:gridCol w:w="5080"/>
        <w:gridCol w:w="2564"/>
        <w:gridCol w:w="2056"/>
      </w:tblGrid>
      <w:tr>
        <w:trPr>
          <w:trHeight w:val="273" w:hRule="exact"/>
        </w:trPr>
        <w:tc>
          <w:tcPr>
            <w:tcW w:w="5080" w:type="dxa"/>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64" w:type="dxa"/>
            <w:tcBorders>
              <w:top w:val="nil" w:sz="6" w:space="0" w:color="auto"/>
              <w:left w:val="nil" w:sz="6" w:space="0" w:color="auto"/>
              <w:bottom w:val="single" w:sz="4" w:space="0" w:color="000000"/>
              <w:right w:val="nil" w:sz="6" w:space="0" w:color="auto"/>
            </w:tcBorders>
          </w:tcPr>
          <w:p>
            <w:pPr>
              <w:pStyle w:val="TableParagraph"/>
              <w:spacing w:line="180" w:lineRule="exact"/>
              <w:ind w:right="22"/>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56" w:type="dxa"/>
            <w:tcBorders>
              <w:top w:val="nil" w:sz="6" w:space="0" w:color="auto"/>
              <w:left w:val="nil" w:sz="6" w:space="0" w:color="auto"/>
              <w:bottom w:val="single" w:sz="4" w:space="0" w:color="000000"/>
              <w:right w:val="nil" w:sz="6" w:space="0" w:color="auto"/>
            </w:tcBorders>
          </w:tcPr>
          <w:p>
            <w:pPr>
              <w:pStyle w:val="TableParagraph"/>
              <w:spacing w:line="180" w:lineRule="exact"/>
              <w:ind w:left="7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3" w:hRule="exact"/>
        </w:trPr>
        <w:tc>
          <w:tcPr>
            <w:tcW w:w="508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9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24"/>
              <w:jc w:val="right"/>
              <w:rPr>
                <w:rFonts w:ascii="Times New Roman" w:hAnsi="Times New Roman" w:cs="Times New Roman" w:eastAsia="Times New Roman" w:hint="default"/>
                <w:sz w:val="18"/>
                <w:szCs w:val="18"/>
              </w:rPr>
            </w:pPr>
            <w:r>
              <w:rPr>
                <w:rFonts w:ascii="Times New Roman"/>
                <w:spacing w:val="-1"/>
                <w:sz w:val="18"/>
              </w:rPr>
              <w:t>413,031.59</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0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834"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401"/>
              <w:jc w:val="right"/>
              <w:rPr>
                <w:rFonts w:ascii="Times New Roman" w:hAnsi="Times New Roman" w:cs="Times New Roman" w:eastAsia="Times New Roman" w:hint="default"/>
                <w:sz w:val="18"/>
                <w:szCs w:val="18"/>
              </w:rPr>
            </w:pPr>
            <w:r>
              <w:rPr>
                <w:rFonts w:ascii="Times New Roman"/>
                <w:w w:val="95"/>
                <w:sz w:val="18"/>
              </w:rPr>
              <w:t>8,474.20</w:t>
            </w: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5"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0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39"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5"/>
              <w:jc w:val="right"/>
              <w:rPr>
                <w:rFonts w:ascii="Times New Roman" w:hAnsi="Times New Roman" w:cs="Times New Roman" w:eastAsia="Times New Roman" w:hint="default"/>
                <w:sz w:val="18"/>
                <w:szCs w:val="18"/>
              </w:rPr>
            </w:pPr>
            <w:r>
              <w:rPr>
                <w:rFonts w:ascii="Times New Roman"/>
                <w:spacing w:val="-1"/>
                <w:sz w:val="18"/>
              </w:rPr>
              <w:t>-215,173.61</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305,048.10</w:t>
            </w:r>
          </w:p>
        </w:tc>
      </w:tr>
      <w:tr>
        <w:trPr>
          <w:trHeight w:val="441"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5"/>
              <w:jc w:val="right"/>
              <w:rPr>
                <w:rFonts w:ascii="Times New Roman" w:hAnsi="Times New Roman" w:cs="Times New Roman" w:eastAsia="Times New Roman" w:hint="default"/>
                <w:sz w:val="18"/>
                <w:szCs w:val="18"/>
              </w:rPr>
            </w:pPr>
            <w:r>
              <w:rPr>
                <w:rFonts w:ascii="Times New Roman"/>
                <w:spacing w:val="-1"/>
                <w:sz w:val="18"/>
              </w:rPr>
              <w:t>-156,310.65</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-168,400.03</w:t>
            </w:r>
          </w:p>
        </w:tc>
      </w:tr>
      <w:tr>
        <w:trPr>
          <w:trHeight w:val="436"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4"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25"/>
              <w:jc w:val="right"/>
              <w:rPr>
                <w:rFonts w:ascii="Times New Roman" w:hAnsi="Times New Roman" w:cs="Times New Roman" w:eastAsia="Times New Roman" w:hint="default"/>
                <w:sz w:val="18"/>
                <w:szCs w:val="18"/>
              </w:rPr>
            </w:pPr>
            <w:r>
              <w:rPr>
                <w:rFonts w:ascii="Times New Roman"/>
                <w:spacing w:val="-1"/>
                <w:sz w:val="18"/>
              </w:rPr>
              <w:t>-25,203,793.99</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01"/>
              <w:jc w:val="right"/>
              <w:rPr>
                <w:rFonts w:ascii="Times New Roman" w:hAnsi="Times New Roman" w:cs="Times New Roman" w:eastAsia="Times New Roman" w:hint="default"/>
                <w:sz w:val="18"/>
                <w:szCs w:val="18"/>
              </w:rPr>
            </w:pPr>
            <w:r>
              <w:rPr>
                <w:rFonts w:ascii="Times New Roman"/>
                <w:spacing w:val="-1"/>
                <w:sz w:val="18"/>
              </w:rPr>
              <w:t>-11,175,570.01</w:t>
            </w: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06"/>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7"/>
              <w:jc w:val="right"/>
              <w:rPr>
                <w:rFonts w:ascii="Times New Roman" w:hAnsi="Times New Roman" w:cs="Times New Roman" w:eastAsia="Times New Roman" w:hint="default"/>
                <w:sz w:val="18"/>
                <w:szCs w:val="18"/>
              </w:rPr>
            </w:pPr>
            <w:r>
              <w:rPr>
                <w:rFonts w:ascii="Times New Roman"/>
                <w:spacing w:val="-1"/>
                <w:sz w:val="18"/>
              </w:rPr>
              <w:t>-12,433,476.17</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-23,634,208.98</w:t>
            </w: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06"/>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7"/>
              <w:jc w:val="right"/>
              <w:rPr>
                <w:rFonts w:ascii="Times New Roman" w:hAnsi="Times New Roman" w:cs="Times New Roman" w:eastAsia="Times New Roman" w:hint="default"/>
                <w:sz w:val="18"/>
                <w:szCs w:val="18"/>
              </w:rPr>
            </w:pPr>
            <w:r>
              <w:rPr>
                <w:rFonts w:ascii="Times New Roman"/>
                <w:spacing w:val="-1"/>
                <w:sz w:val="18"/>
              </w:rPr>
              <w:t>14,400,463.32</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pacing w:val="-1"/>
                <w:sz w:val="18"/>
              </w:rPr>
              <w:t>19,839,209.13</w:t>
            </w:r>
          </w:p>
        </w:tc>
      </w:tr>
      <w:tr>
        <w:trPr>
          <w:trHeight w:val="434"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5"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2,936,885.26</w:t>
            </w:r>
            <w:r>
              <w:rPr>
                <w:rFonts w:ascii="Times New Roman"/>
                <w:spacing w:val="-1"/>
                <w:sz w:val="18"/>
              </w:rPr>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22,599,684.84</w:t>
            </w:r>
            <w:r>
              <w:rPr>
                <w:rFonts w:ascii="Times New Roman"/>
                <w:spacing w:val="-1"/>
                <w:sz w:val="18"/>
              </w:rPr>
            </w: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34"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1"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4"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5"/>
              <w:jc w:val="right"/>
              <w:rPr>
                <w:rFonts w:ascii="Times New Roman" w:hAnsi="Times New Roman" w:cs="Times New Roman" w:eastAsia="Times New Roman" w:hint="default"/>
                <w:sz w:val="18"/>
                <w:szCs w:val="18"/>
              </w:rPr>
            </w:pPr>
            <w:r>
              <w:rPr>
                <w:rFonts w:ascii="Times New Roman"/>
                <w:spacing w:val="-1"/>
                <w:sz w:val="18"/>
              </w:rPr>
              <w:t>387,539,934.69</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403,483,216.42</w:t>
            </w: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5"/>
              <w:jc w:val="right"/>
              <w:rPr>
                <w:rFonts w:ascii="Times New Roman" w:hAnsi="Times New Roman" w:cs="Times New Roman" w:eastAsia="Times New Roman" w:hint="default"/>
                <w:sz w:val="18"/>
                <w:szCs w:val="18"/>
              </w:rPr>
            </w:pPr>
            <w:r>
              <w:rPr>
                <w:rFonts w:ascii="Times New Roman"/>
                <w:spacing w:val="-1"/>
                <w:sz w:val="18"/>
              </w:rPr>
              <w:t>403,483,216.42</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pacing w:val="-1"/>
                <w:sz w:val="18"/>
              </w:rPr>
              <w:t>450,860,965.60</w:t>
            </w:r>
          </w:p>
        </w:tc>
      </w:tr>
      <w:tr>
        <w:trPr>
          <w:trHeight w:val="434"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440"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56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r>
      <w:tr>
        <w:trPr>
          <w:trHeight w:val="321" w:hRule="exact"/>
        </w:trPr>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2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-15,943,281.73</w:t>
            </w:r>
            <w:r>
              <w:rPr>
                <w:rFonts w:ascii="Times New Roman"/>
                <w:spacing w:val="-1"/>
                <w:sz w:val="18"/>
              </w:rPr>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01"/>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-47,377,749.18</w:t>
            </w:r>
            <w:r>
              <w:rPr>
                <w:rFonts w:ascii="Times New Roman"/>
                <w:spacing w:val="-1"/>
                <w:sz w:val="18"/>
              </w:rPr>
            </w:r>
          </w:p>
        </w:tc>
      </w:tr>
    </w:tbl>
    <w:p>
      <w:pPr>
        <w:spacing w:line="240" w:lineRule="auto" w:before="2"/>
        <w:rPr>
          <w:rFonts w:ascii="宋体" w:hAnsi="宋体" w:cs="宋体" w:eastAsia="宋体" w:hint="default"/>
          <w:b/>
          <w:bCs/>
          <w:sz w:val="25"/>
          <w:szCs w:val="25"/>
        </w:rPr>
      </w:pPr>
    </w:p>
    <w:p>
      <w:pPr>
        <w:pStyle w:val="Heading5"/>
        <w:spacing w:line="240" w:lineRule="auto" w:before="36"/>
        <w:ind w:right="0"/>
        <w:jc w:val="left"/>
        <w:rPr>
          <w:b w:val="0"/>
          <w:bCs w:val="0"/>
        </w:rPr>
      </w:pPr>
      <w:r>
        <w:rPr>
          <w:rFonts w:ascii="Times New Roman" w:hAnsi="Times New Roman" w:cs="Times New Roman" w:eastAsia="Times New Roman" w:hint="default"/>
        </w:rPr>
        <w:t>36</w:t>
      </w:r>
      <w:r>
        <w:rPr/>
        <w:t>、现金与现金等价物的构成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22" w:type="dxa"/>
        <w:tblLayout w:type="fixed"/>
        <w:tblCellMar>
          <w:top w:w="0" w:type="dxa"/>
          <w:left w:w="0" w:type="dxa"/>
          <w:bottom w:w="0" w:type="dxa"/>
          <w:right w:w="0" w:type="dxa"/>
        </w:tblCellMar>
        <w:tblLook w:val="01E0"/>
      </w:tblPr>
      <w:tblGrid>
        <w:gridCol w:w="4660"/>
        <w:gridCol w:w="3156"/>
        <w:gridCol w:w="1885"/>
      </w:tblGrid>
      <w:tr>
        <w:trPr>
          <w:trHeight w:val="275" w:hRule="exact"/>
        </w:trPr>
        <w:tc>
          <w:tcPr>
            <w:tcW w:w="4660" w:type="dxa"/>
            <w:tcBorders>
              <w:top w:val="nil" w:sz="6" w:space="0" w:color="auto"/>
              <w:left w:val="nil" w:sz="6" w:space="0" w:color="auto"/>
              <w:bottom w:val="single" w:sz="4" w:space="0" w:color="000000"/>
              <w:right w:val="nil" w:sz="6" w:space="0" w:color="auto"/>
            </w:tcBorders>
          </w:tcPr>
          <w:p>
            <w:pPr>
              <w:pStyle w:val="TableParagraph"/>
              <w:spacing w:line="180" w:lineRule="exact"/>
              <w:ind w:right="158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56" w:type="dxa"/>
            <w:tcBorders>
              <w:top w:val="nil" w:sz="6" w:space="0" w:color="auto"/>
              <w:left w:val="nil" w:sz="6" w:space="0" w:color="auto"/>
              <w:bottom w:val="single" w:sz="4" w:space="0" w:color="000000"/>
              <w:right w:val="nil" w:sz="6" w:space="0" w:color="auto"/>
            </w:tcBorders>
          </w:tcPr>
          <w:p>
            <w:pPr>
              <w:pStyle w:val="TableParagraph"/>
              <w:spacing w:line="180" w:lineRule="exact"/>
              <w:ind w:left="17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180" w:lineRule="exact"/>
              <w:ind w:left="61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1" w:hRule="exact"/>
        </w:trPr>
        <w:tc>
          <w:tcPr>
            <w:tcW w:w="46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5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387,539,934.69</w:t>
            </w:r>
            <w:r>
              <w:rPr>
                <w:rFonts w:ascii="Times New Roman"/>
                <w:spacing w:val="-1"/>
                <w:sz w:val="18"/>
              </w:rPr>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403,483,216.42</w:t>
            </w:r>
            <w:r>
              <w:rPr>
                <w:rFonts w:ascii="Times New Roman"/>
                <w:spacing w:val="-1"/>
                <w:sz w:val="18"/>
              </w:rPr>
            </w:r>
          </w:p>
        </w:tc>
      </w:tr>
      <w:tr>
        <w:trPr>
          <w:trHeight w:val="440"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8"/>
              <w:jc w:val="right"/>
              <w:rPr>
                <w:rFonts w:ascii="Times New Roman" w:hAnsi="Times New Roman" w:cs="Times New Roman" w:eastAsia="Times New Roman" w:hint="default"/>
                <w:sz w:val="18"/>
                <w:szCs w:val="18"/>
              </w:rPr>
            </w:pPr>
            <w:r>
              <w:rPr>
                <w:rFonts w:ascii="Times New Roman"/>
                <w:spacing w:val="-1"/>
                <w:sz w:val="18"/>
              </w:rPr>
              <w:t>554,042.72</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5"/>
              <w:jc w:val="right"/>
              <w:rPr>
                <w:rFonts w:ascii="Times New Roman" w:hAnsi="Times New Roman" w:cs="Times New Roman" w:eastAsia="Times New Roman" w:hint="default"/>
                <w:sz w:val="18"/>
                <w:szCs w:val="18"/>
              </w:rPr>
            </w:pPr>
            <w:r>
              <w:rPr>
                <w:rFonts w:ascii="Times New Roman"/>
                <w:spacing w:val="-1"/>
                <w:sz w:val="18"/>
              </w:rPr>
              <w:t>19,745.50</w:t>
            </w:r>
          </w:p>
        </w:tc>
      </w:tr>
      <w:tr>
        <w:trPr>
          <w:trHeight w:val="316"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66"/>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9"/>
              <w:jc w:val="right"/>
              <w:rPr>
                <w:rFonts w:ascii="Times New Roman" w:hAnsi="Times New Roman" w:cs="Times New Roman" w:eastAsia="Times New Roman" w:hint="default"/>
                <w:sz w:val="18"/>
                <w:szCs w:val="18"/>
              </w:rPr>
            </w:pPr>
            <w:r>
              <w:rPr>
                <w:rFonts w:ascii="Times New Roman"/>
                <w:spacing w:val="-1"/>
                <w:sz w:val="18"/>
              </w:rPr>
              <w:t>386,985,891.97</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6"/>
              <w:jc w:val="right"/>
              <w:rPr>
                <w:rFonts w:ascii="Times New Roman" w:hAnsi="Times New Roman" w:cs="Times New Roman" w:eastAsia="Times New Roman" w:hint="default"/>
                <w:sz w:val="18"/>
                <w:szCs w:val="18"/>
              </w:rPr>
            </w:pPr>
            <w:r>
              <w:rPr>
                <w:rFonts w:ascii="Times New Roman"/>
                <w:spacing w:val="-1"/>
                <w:sz w:val="18"/>
              </w:rPr>
              <w:t>403,463,470.92</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80" w:left="980" w:right="10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4652"/>
        <w:gridCol w:w="3164"/>
        <w:gridCol w:w="1885"/>
      </w:tblGrid>
      <w:tr>
        <w:trPr>
          <w:trHeight w:val="273" w:hRule="exact"/>
        </w:trPr>
        <w:tc>
          <w:tcPr>
            <w:tcW w:w="4652" w:type="dxa"/>
            <w:tcBorders>
              <w:top w:val="nil" w:sz="6" w:space="0" w:color="auto"/>
              <w:left w:val="nil" w:sz="6" w:space="0" w:color="auto"/>
              <w:bottom w:val="single" w:sz="4" w:space="0" w:color="000000"/>
              <w:right w:val="nil" w:sz="6" w:space="0" w:color="auto"/>
            </w:tcBorders>
          </w:tcPr>
          <w:p>
            <w:pPr>
              <w:pStyle w:val="TableParagraph"/>
              <w:spacing w:line="180" w:lineRule="exact"/>
              <w:ind w:left="95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64" w:type="dxa"/>
            <w:tcBorders>
              <w:top w:val="nil" w:sz="6" w:space="0" w:color="auto"/>
              <w:left w:val="nil" w:sz="6" w:space="0" w:color="auto"/>
              <w:bottom w:val="single" w:sz="4" w:space="0" w:color="000000"/>
              <w:right w:val="nil" w:sz="6" w:space="0" w:color="auto"/>
            </w:tcBorders>
          </w:tcPr>
          <w:p>
            <w:pPr>
              <w:pStyle w:val="TableParagraph"/>
              <w:spacing w:line="180" w:lineRule="exact"/>
              <w:ind w:left="102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180" w:lineRule="exact"/>
              <w:ind w:left="7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89" w:hRule="exact"/>
        </w:trPr>
        <w:tc>
          <w:tcPr>
            <w:tcW w:w="46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164" w:type="dxa"/>
            <w:tcBorders>
              <w:top w:val="single" w:sz="4" w:space="0" w:color="000000"/>
              <w:left w:val="nil" w:sz="6" w:space="0" w:color="auto"/>
              <w:bottom w:val="nil" w:sz="6" w:space="0" w:color="auto"/>
              <w:right w:val="nil" w:sz="6" w:space="0" w:color="auto"/>
            </w:tcBorders>
          </w:tcPr>
          <w:p>
            <w:pPr/>
          </w:p>
        </w:tc>
        <w:tc>
          <w:tcPr>
            <w:tcW w:w="1885" w:type="dxa"/>
            <w:tcBorders>
              <w:top w:val="single" w:sz="4" w:space="0" w:color="000000"/>
              <w:left w:val="nil" w:sz="6" w:space="0" w:color="auto"/>
              <w:bottom w:val="nil" w:sz="6" w:space="0" w:color="auto"/>
              <w:right w:val="nil" w:sz="6" w:space="0" w:color="auto"/>
            </w:tcBorders>
          </w:tcPr>
          <w:p>
            <w:pPr/>
          </w:p>
        </w:tc>
      </w:tr>
      <w:tr>
        <w:trPr>
          <w:trHeight w:val="439" w:hRule="exact"/>
        </w:trPr>
        <w:tc>
          <w:tcPr>
            <w:tcW w:w="4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1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r>
      <w:tr>
        <w:trPr>
          <w:trHeight w:val="445" w:hRule="exact"/>
        </w:trPr>
        <w:tc>
          <w:tcPr>
            <w:tcW w:w="4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11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387,539,934.69</w:t>
            </w:r>
            <w:r>
              <w:rPr>
                <w:rFonts w:ascii="Times New Roman"/>
                <w:sz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6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403,483,216.42</w:t>
            </w:r>
            <w:r>
              <w:rPr>
                <w:rFonts w:ascii="Times New Roman"/>
                <w:sz w:val="18"/>
              </w:rPr>
            </w:r>
          </w:p>
        </w:tc>
      </w:tr>
      <w:tr>
        <w:trPr>
          <w:trHeight w:val="306" w:hRule="exact"/>
        </w:trPr>
        <w:tc>
          <w:tcPr>
            <w:tcW w:w="78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85"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b/>
          <w:bCs/>
          <w:sz w:val="24"/>
          <w:szCs w:val="24"/>
        </w:rPr>
      </w:pPr>
    </w:p>
    <w:p>
      <w:pPr>
        <w:pStyle w:val="Heading3"/>
        <w:spacing w:line="240" w:lineRule="auto" w:before="26"/>
        <w:ind w:left="213" w:right="5558"/>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213" w:right="115"/>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3" w:right="115"/>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1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left="213" w:right="5558"/>
        <w:jc w:val="left"/>
        <w:rPr>
          <w:b w:val="0"/>
          <w:bCs w:val="0"/>
        </w:rPr>
      </w:pPr>
      <w:r>
        <w:rPr/>
        <w:t>九、关联方关系及其交易</w:t>
      </w:r>
      <w:r>
        <w:rPr>
          <w:b w:val="0"/>
          <w:bCs w:val="0"/>
        </w:rPr>
      </w:r>
    </w:p>
    <w:p>
      <w:pPr>
        <w:spacing w:line="240" w:lineRule="auto" w:before="1"/>
        <w:rPr>
          <w:rFonts w:ascii="宋体" w:hAnsi="宋体" w:cs="宋体" w:eastAsia="宋体" w:hint="default"/>
          <w:b/>
          <w:bCs/>
          <w:sz w:val="29"/>
          <w:szCs w:val="29"/>
        </w:rPr>
      </w:pPr>
    </w:p>
    <w:p>
      <w:pPr>
        <w:pStyle w:val="Heading6"/>
        <w:spacing w:line="297" w:lineRule="auto" w:before="0"/>
        <w:ind w:left="213" w:right="115" w:firstLine="420"/>
        <w:jc w:val="left"/>
      </w:pPr>
      <w:r>
        <w:rPr>
          <w:rFonts w:ascii="Times New Roman" w:hAnsi="Times New Roman" w:cs="Times New Roman" w:eastAsia="Times New Roman" w:hint="default"/>
          <w:spacing w:val="-2"/>
        </w:rPr>
        <w:t>1</w:t>
      </w:r>
      <w:r>
        <w:rPr>
          <w:spacing w:val="-2"/>
        </w:rPr>
        <w:t>、关联方的认定标准：一方控制、共同控制另一方或对另一方施加重大影响，以及两方或两方以上</w:t>
      </w:r>
      <w:r>
        <w:rPr>
          <w:w w:val="100"/>
        </w:rPr>
        <w:t> </w:t>
      </w:r>
      <w:r>
        <w:rPr/>
        <w:t>同受一方控制、共同控制或重大影响的，构成关联方。</w:t>
      </w:r>
    </w:p>
    <w:p>
      <w:pPr>
        <w:spacing w:line="240" w:lineRule="auto" w:before="8"/>
        <w:rPr>
          <w:rFonts w:ascii="宋体" w:hAnsi="宋体" w:cs="宋体" w:eastAsia="宋体" w:hint="default"/>
          <w:sz w:val="14"/>
          <w:szCs w:val="14"/>
        </w:rPr>
      </w:pPr>
    </w:p>
    <w:p>
      <w:pPr>
        <w:pStyle w:val="Heading6"/>
        <w:spacing w:line="240" w:lineRule="auto" w:before="0"/>
        <w:ind w:right="5558"/>
        <w:jc w:val="left"/>
      </w:pPr>
      <w:r>
        <w:rPr>
          <w:rFonts w:ascii="Times New Roman" w:hAnsi="Times New Roman" w:cs="Times New Roman" w:eastAsia="Times New Roman" w:hint="default"/>
        </w:rPr>
        <w:t>2</w:t>
      </w:r>
      <w:r>
        <w:rPr/>
        <w:t>、本公司的母公司有关信息</w:t>
      </w:r>
    </w:p>
    <w:p>
      <w:pPr>
        <w:spacing w:line="240" w:lineRule="auto" w:before="1"/>
        <w:rPr>
          <w:rFonts w:ascii="宋体" w:hAnsi="宋体" w:cs="宋体" w:eastAsia="宋体"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1578"/>
        <w:gridCol w:w="1404"/>
        <w:gridCol w:w="1514"/>
        <w:gridCol w:w="917"/>
        <w:gridCol w:w="3179"/>
        <w:gridCol w:w="1108"/>
      </w:tblGrid>
      <w:tr>
        <w:trPr>
          <w:trHeight w:val="272" w:hRule="exact"/>
        </w:trPr>
        <w:tc>
          <w:tcPr>
            <w:tcW w:w="1578" w:type="dxa"/>
            <w:tcBorders>
              <w:top w:val="nil" w:sz="6" w:space="0" w:color="auto"/>
              <w:left w:val="nil" w:sz="6" w:space="0" w:color="auto"/>
              <w:bottom w:val="single" w:sz="4" w:space="0" w:color="000000"/>
              <w:right w:val="nil" w:sz="6" w:space="0" w:color="auto"/>
            </w:tcBorders>
          </w:tcPr>
          <w:p>
            <w:pPr>
              <w:pStyle w:val="TableParagraph"/>
              <w:spacing w:line="180"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404" w:type="dxa"/>
            <w:tcBorders>
              <w:top w:val="nil" w:sz="6" w:space="0" w:color="auto"/>
              <w:left w:val="nil" w:sz="6" w:space="0" w:color="auto"/>
              <w:bottom w:val="single" w:sz="4" w:space="0" w:color="000000"/>
              <w:right w:val="nil" w:sz="6" w:space="0" w:color="auto"/>
            </w:tcBorders>
          </w:tcPr>
          <w:p>
            <w:pPr>
              <w:pStyle w:val="TableParagraph"/>
              <w:spacing w:line="180"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180" w:lineRule="exact"/>
              <w:ind w:left="50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3179" w:type="dxa"/>
            <w:tcBorders>
              <w:top w:val="nil" w:sz="6" w:space="0" w:color="auto"/>
              <w:left w:val="nil" w:sz="6" w:space="0" w:color="auto"/>
              <w:bottom w:val="single" w:sz="4" w:space="0" w:color="000000"/>
              <w:right w:val="nil" w:sz="6" w:space="0" w:color="auto"/>
            </w:tcBorders>
          </w:tcPr>
          <w:p>
            <w:pPr>
              <w:pStyle w:val="TableParagraph"/>
              <w:spacing w:line="180" w:lineRule="exact"/>
              <w:ind w:right="78"/>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08" w:type="dxa"/>
            <w:tcBorders>
              <w:top w:val="nil" w:sz="6" w:space="0" w:color="auto"/>
              <w:left w:val="nil" w:sz="6" w:space="0" w:color="auto"/>
              <w:bottom w:val="single" w:sz="4" w:space="0" w:color="000000"/>
              <w:right w:val="nil" w:sz="6" w:space="0" w:color="auto"/>
            </w:tcBorders>
          </w:tcPr>
          <w:p>
            <w:pPr>
              <w:pStyle w:val="TableParagraph"/>
              <w:spacing w:line="180"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757" w:hRule="exact"/>
        </w:trPr>
        <w:tc>
          <w:tcPr>
            <w:tcW w:w="1578" w:type="dxa"/>
            <w:tcBorders>
              <w:top w:val="single" w:sz="4" w:space="0" w:color="000000"/>
              <w:left w:val="nil" w:sz="6" w:space="0" w:color="auto"/>
              <w:bottom w:val="nil" w:sz="6" w:space="0" w:color="auto"/>
              <w:right w:val="nil" w:sz="6" w:space="0" w:color="auto"/>
            </w:tcBorders>
          </w:tcPr>
          <w:p>
            <w:pPr>
              <w:pStyle w:val="TableParagraph"/>
              <w:spacing w:line="400" w:lineRule="exact" w:before="6"/>
              <w:ind w:left="321" w:right="174"/>
              <w:jc w:val="left"/>
              <w:rPr>
                <w:rFonts w:ascii="宋体" w:hAnsi="宋体" w:cs="宋体" w:eastAsia="宋体" w:hint="default"/>
                <w:sz w:val="18"/>
                <w:szCs w:val="18"/>
              </w:rPr>
            </w:pPr>
            <w:r>
              <w:rPr>
                <w:rFonts w:ascii="宋体" w:hAnsi="宋体" w:cs="宋体" w:eastAsia="宋体" w:hint="default"/>
                <w:sz w:val="18"/>
                <w:szCs w:val="18"/>
              </w:rPr>
              <w:t>湖南天鸿投资 集团有限公司</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350" w:lineRule="atLeast" w:before="23"/>
              <w:ind w:left="416" w:right="103" w:hanging="269"/>
              <w:jc w:val="left"/>
              <w:rPr>
                <w:rFonts w:ascii="宋体" w:hAnsi="宋体" w:cs="宋体" w:eastAsia="宋体" w:hint="default"/>
                <w:sz w:val="18"/>
                <w:szCs w:val="18"/>
              </w:rPr>
            </w:pPr>
            <w:r>
              <w:rPr>
                <w:rFonts w:ascii="宋体" w:hAnsi="宋体" w:cs="宋体" w:eastAsia="宋体" w:hint="default"/>
                <w:sz w:val="18"/>
                <w:szCs w:val="18"/>
              </w:rPr>
              <w:t>长沙县星沙镇茶 叶大市场</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3179" w:type="dxa"/>
            <w:tcBorders>
              <w:top w:val="single" w:sz="4" w:space="0" w:color="000000"/>
              <w:left w:val="nil" w:sz="6" w:space="0" w:color="auto"/>
              <w:bottom w:val="nil" w:sz="6" w:space="0" w:color="auto"/>
              <w:right w:val="nil" w:sz="6" w:space="0" w:color="auto"/>
            </w:tcBorders>
          </w:tcPr>
          <w:p>
            <w:pPr>
              <w:pStyle w:val="TableParagraph"/>
              <w:spacing w:line="350" w:lineRule="atLeast" w:before="23"/>
              <w:ind w:left="88" w:right="76"/>
              <w:jc w:val="left"/>
              <w:rPr>
                <w:rFonts w:ascii="宋体" w:hAnsi="宋体" w:cs="宋体" w:eastAsia="宋体" w:hint="default"/>
                <w:sz w:val="18"/>
                <w:szCs w:val="18"/>
              </w:rPr>
            </w:pPr>
            <w:r>
              <w:rPr>
                <w:rFonts w:ascii="宋体" w:hAnsi="宋体" w:cs="宋体" w:eastAsia="宋体" w:hint="default"/>
                <w:spacing w:val="-3"/>
                <w:sz w:val="18"/>
                <w:szCs w:val="18"/>
              </w:rPr>
              <w:t>投资高新技术产业、农业、文教产业，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提供企业管理咨询服务</w:t>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5558"/>
        <w:jc w:val="left"/>
      </w:pPr>
      <w:r>
        <w:rPr/>
        <w:t>接上表：</w:t>
      </w:r>
    </w:p>
    <w:p>
      <w:pPr>
        <w:spacing w:line="240" w:lineRule="auto" w:before="10"/>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456"/>
        <w:gridCol w:w="2547"/>
        <w:gridCol w:w="2769"/>
        <w:gridCol w:w="1928"/>
      </w:tblGrid>
      <w:tr>
        <w:trPr>
          <w:trHeight w:val="673" w:hRule="exact"/>
        </w:trPr>
        <w:tc>
          <w:tcPr>
            <w:tcW w:w="2456"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47" w:type="dxa"/>
            <w:tcBorders>
              <w:top w:val="nil" w:sz="6" w:space="0" w:color="auto"/>
              <w:left w:val="nil" w:sz="6" w:space="0" w:color="auto"/>
              <w:bottom w:val="single" w:sz="4" w:space="0" w:color="000000"/>
              <w:right w:val="nil" w:sz="6" w:space="0" w:color="auto"/>
            </w:tcBorders>
          </w:tcPr>
          <w:p>
            <w:pPr>
              <w:pStyle w:val="TableParagraph"/>
              <w:spacing w:line="180" w:lineRule="exact"/>
              <w:ind w:left="57"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母公司对本公司的表决权</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6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05"/>
              <w:jc w:val="center"/>
              <w:rPr>
                <w:rFonts w:ascii="宋体" w:hAnsi="宋体" w:cs="宋体" w:eastAsia="宋体" w:hint="default"/>
                <w:sz w:val="18"/>
                <w:szCs w:val="18"/>
              </w:rPr>
            </w:pPr>
            <w:r>
              <w:rPr>
                <w:rFonts w:ascii="宋体" w:hAnsi="宋体" w:cs="宋体" w:eastAsia="宋体" w:hint="default"/>
                <w:b/>
                <w:bCs/>
                <w:sz w:val="18"/>
                <w:szCs w:val="18"/>
              </w:rPr>
              <w:t>本企业最终控制方</w:t>
            </w:r>
            <w:r>
              <w:rPr>
                <w:rFonts w:ascii="宋体" w:hAnsi="宋体" w:cs="宋体" w:eastAsia="宋体" w:hint="default"/>
                <w:sz w:val="18"/>
                <w:szCs w:val="18"/>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25"/>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366" w:hRule="exact"/>
        </w:trPr>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3" w:right="0"/>
              <w:jc w:val="center"/>
              <w:rPr>
                <w:rFonts w:ascii="Times New Roman" w:hAnsi="Times New Roman" w:cs="Times New Roman" w:eastAsia="Times New Roman" w:hint="default"/>
                <w:sz w:val="18"/>
                <w:szCs w:val="18"/>
              </w:rPr>
            </w:pPr>
            <w:r>
              <w:rPr>
                <w:rFonts w:ascii="Times New Roman"/>
                <w:sz w:val="18"/>
              </w:rPr>
              <w:t>65.17</w:t>
            </w:r>
          </w:p>
        </w:tc>
        <w:tc>
          <w:tcPr>
            <w:tcW w:w="254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56" w:right="0"/>
              <w:jc w:val="center"/>
              <w:rPr>
                <w:rFonts w:ascii="Times New Roman" w:hAnsi="Times New Roman" w:cs="Times New Roman" w:eastAsia="Times New Roman" w:hint="default"/>
                <w:sz w:val="18"/>
                <w:szCs w:val="18"/>
              </w:rPr>
            </w:pPr>
            <w:r>
              <w:rPr>
                <w:rFonts w:ascii="Times New Roman"/>
                <w:sz w:val="18"/>
              </w:rPr>
              <w:t>65.17</w:t>
            </w:r>
          </w:p>
        </w:tc>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4"/>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26"/>
              <w:jc w:val="center"/>
              <w:rPr>
                <w:rFonts w:ascii="Times New Roman" w:hAnsi="Times New Roman" w:cs="Times New Roman" w:eastAsia="Times New Roman" w:hint="default"/>
                <w:sz w:val="18"/>
                <w:szCs w:val="18"/>
              </w:rPr>
            </w:pPr>
            <w:r>
              <w:rPr>
                <w:rFonts w:ascii="Times New Roman"/>
                <w:sz w:val="18"/>
              </w:rPr>
              <w:t>73477424-0</w:t>
            </w:r>
          </w:p>
        </w:tc>
      </w:tr>
    </w:tbl>
    <w:p>
      <w:pPr>
        <w:spacing w:line="240" w:lineRule="auto" w:before="10"/>
        <w:rPr>
          <w:rFonts w:ascii="宋体" w:hAnsi="宋体" w:cs="宋体" w:eastAsia="宋体" w:hint="default"/>
          <w:sz w:val="27"/>
          <w:szCs w:val="27"/>
        </w:rPr>
      </w:pPr>
    </w:p>
    <w:p>
      <w:pPr>
        <w:pStyle w:val="Heading6"/>
        <w:spacing w:line="240" w:lineRule="auto"/>
        <w:ind w:right="5558"/>
        <w:jc w:val="left"/>
      </w:pPr>
      <w:r>
        <w:rPr>
          <w:rFonts w:ascii="Times New Roman" w:hAnsi="Times New Roman" w:cs="Times New Roman" w:eastAsia="Times New Roman" w:hint="default"/>
        </w:rPr>
        <w:t>3</w:t>
      </w:r>
      <w:r>
        <w:rPr/>
        <w:t>、本公司的子公司情况</w:t>
      </w:r>
    </w:p>
    <w:p>
      <w:pPr>
        <w:spacing w:line="240" w:lineRule="auto" w:before="3"/>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517"/>
        <w:gridCol w:w="1984"/>
        <w:gridCol w:w="1515"/>
        <w:gridCol w:w="1396"/>
        <w:gridCol w:w="1445"/>
      </w:tblGrid>
      <w:tr>
        <w:trPr>
          <w:trHeight w:val="272" w:hRule="exact"/>
        </w:trPr>
        <w:tc>
          <w:tcPr>
            <w:tcW w:w="3517"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984" w:type="dxa"/>
            <w:tcBorders>
              <w:top w:val="nil" w:sz="6" w:space="0" w:color="auto"/>
              <w:left w:val="nil" w:sz="6" w:space="0" w:color="auto"/>
              <w:bottom w:val="single" w:sz="4" w:space="0" w:color="000000"/>
              <w:right w:val="nil" w:sz="6" w:space="0" w:color="auto"/>
            </w:tcBorders>
          </w:tcPr>
          <w:p>
            <w:pPr>
              <w:pStyle w:val="TableParagraph"/>
              <w:spacing w:line="180" w:lineRule="exact"/>
              <w:ind w:left="60"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1515" w:type="dxa"/>
            <w:tcBorders>
              <w:top w:val="nil" w:sz="6" w:space="0" w:color="auto"/>
              <w:left w:val="nil" w:sz="6" w:space="0" w:color="auto"/>
              <w:bottom w:val="single" w:sz="4" w:space="0" w:color="000000"/>
              <w:right w:val="nil" w:sz="6" w:space="0" w:color="auto"/>
            </w:tcBorders>
          </w:tcPr>
          <w:p>
            <w:pPr>
              <w:pStyle w:val="TableParagraph"/>
              <w:spacing w:line="18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396" w:type="dxa"/>
            <w:tcBorders>
              <w:top w:val="nil" w:sz="6" w:space="0" w:color="auto"/>
              <w:left w:val="nil" w:sz="6" w:space="0" w:color="auto"/>
              <w:bottom w:val="single" w:sz="4" w:space="0" w:color="000000"/>
              <w:right w:val="nil" w:sz="6" w:space="0" w:color="auto"/>
            </w:tcBorders>
          </w:tcPr>
          <w:p>
            <w:pPr>
              <w:pStyle w:val="TableParagraph"/>
              <w:spacing w:line="180" w:lineRule="exact"/>
              <w:ind w:left="70"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180" w:lineRule="exact"/>
              <w:ind w:left="59"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r>
      <w:tr>
        <w:trPr>
          <w:trHeight w:val="493" w:hRule="exact"/>
        </w:trPr>
        <w:tc>
          <w:tcPr>
            <w:tcW w:w="351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湖南天舟华文俪制传媒有限责任公司</w:t>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3" w:right="0"/>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3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8" w:right="0"/>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0" w:right="0"/>
              <w:jc w:val="center"/>
              <w:rPr>
                <w:rFonts w:ascii="宋体" w:hAnsi="宋体" w:cs="宋体" w:eastAsia="宋体" w:hint="default"/>
                <w:sz w:val="18"/>
                <w:szCs w:val="18"/>
              </w:rPr>
            </w:pPr>
            <w:r>
              <w:rPr>
                <w:rFonts w:ascii="宋体" w:hAnsi="宋体" w:cs="宋体" w:eastAsia="宋体" w:hint="default"/>
                <w:sz w:val="18"/>
                <w:szCs w:val="18"/>
              </w:rPr>
              <w:t>赵伟立</w:t>
            </w:r>
          </w:p>
        </w:tc>
      </w:tr>
      <w:tr>
        <w:trPr>
          <w:trHeight w:val="439"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北京北方天舟文化有限责任公司</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 w:right="0"/>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8"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 w:right="0"/>
              <w:jc w:val="center"/>
              <w:rPr>
                <w:rFonts w:ascii="宋体" w:hAnsi="宋体" w:cs="宋体" w:eastAsia="宋体" w:hint="default"/>
                <w:sz w:val="18"/>
                <w:szCs w:val="18"/>
              </w:rPr>
            </w:pPr>
            <w:r>
              <w:rPr>
                <w:rFonts w:ascii="宋体" w:hAnsi="宋体" w:cs="宋体" w:eastAsia="宋体" w:hint="default"/>
                <w:sz w:val="18"/>
                <w:szCs w:val="18"/>
              </w:rPr>
              <w:t>肖 </w:t>
            </w:r>
            <w:r>
              <w:rPr>
                <w:rFonts w:ascii="宋体" w:hAnsi="宋体" w:cs="宋体" w:eastAsia="宋体" w:hint="default"/>
                <w:spacing w:val="2"/>
                <w:sz w:val="18"/>
                <w:szCs w:val="18"/>
              </w:rPr>
              <w:t> </w:t>
            </w:r>
            <w:r>
              <w:rPr>
                <w:rFonts w:ascii="宋体" w:hAnsi="宋体" w:cs="宋体" w:eastAsia="宋体" w:hint="default"/>
                <w:sz w:val="18"/>
                <w:szCs w:val="18"/>
              </w:rPr>
              <w:t>欢</w:t>
            </w:r>
          </w:p>
        </w:tc>
      </w:tr>
      <w:tr>
        <w:trPr>
          <w:trHeight w:val="314"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湖南天舟教育科技研究有限责任公司</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 w:right="0"/>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8" w:right="0"/>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 w:right="0"/>
              <w:jc w:val="center"/>
              <w:rPr>
                <w:rFonts w:ascii="宋体" w:hAnsi="宋体" w:cs="宋体" w:eastAsia="宋体" w:hint="default"/>
                <w:sz w:val="18"/>
                <w:szCs w:val="18"/>
              </w:rPr>
            </w:pPr>
            <w:r>
              <w:rPr>
                <w:rFonts w:ascii="宋体" w:hAnsi="宋体" w:cs="宋体" w:eastAsia="宋体" w:hint="default"/>
                <w:sz w:val="18"/>
                <w:szCs w:val="18"/>
              </w:rPr>
              <w:t>赵伟立</w:t>
            </w:r>
          </w:p>
        </w:tc>
      </w:tr>
    </w:tbl>
    <w:p>
      <w:pPr>
        <w:spacing w:after="0" w:line="240" w:lineRule="auto"/>
        <w:jc w:val="center"/>
        <w:rPr>
          <w:rFonts w:ascii="宋体" w:hAnsi="宋体" w:cs="宋体" w:eastAsia="宋体" w:hint="default"/>
          <w:sz w:val="18"/>
          <w:szCs w:val="18"/>
        </w:rPr>
        <w:sectPr>
          <w:pgSz w:w="11910" w:h="16840"/>
          <w:pgMar w:header="918" w:footer="979" w:top="1100" w:bottom="1180" w:left="92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668"/>
        <w:gridCol w:w="1925"/>
        <w:gridCol w:w="1514"/>
        <w:gridCol w:w="1440"/>
        <w:gridCol w:w="1181"/>
      </w:tblGrid>
      <w:tr>
        <w:trPr>
          <w:trHeight w:val="315" w:hRule="exact"/>
        </w:trPr>
        <w:tc>
          <w:tcPr>
            <w:tcW w:w="3668"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广州天瑞文化传播有限责任公司</w:t>
            </w:r>
          </w:p>
        </w:tc>
        <w:tc>
          <w:tcPr>
            <w:tcW w:w="1925" w:type="dxa"/>
            <w:tcBorders>
              <w:top w:val="nil" w:sz="6" w:space="0" w:color="auto"/>
              <w:left w:val="nil" w:sz="6" w:space="0" w:color="auto"/>
              <w:bottom w:val="nil" w:sz="6" w:space="0" w:color="auto"/>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440" w:type="dxa"/>
            <w:tcBorders>
              <w:top w:val="nil" w:sz="6" w:space="0" w:color="auto"/>
              <w:left w:val="nil" w:sz="6" w:space="0" w:color="auto"/>
              <w:bottom w:val="nil" w:sz="6" w:space="0" w:color="auto"/>
              <w:right w:val="nil" w:sz="6" w:space="0" w:color="auto"/>
            </w:tcBorders>
          </w:tcPr>
          <w:p>
            <w:pPr>
              <w:pStyle w:val="TableParagraph"/>
              <w:spacing w:line="180" w:lineRule="exact"/>
              <w:ind w:left="46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181"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宋体" w:hAnsi="宋体" w:cs="宋体" w:eastAsia="宋体" w:hint="default"/>
                <w:sz w:val="18"/>
                <w:szCs w:val="18"/>
              </w:rPr>
            </w:pPr>
            <w:r>
              <w:rPr>
                <w:rFonts w:ascii="宋体" w:hAnsi="宋体" w:cs="宋体" w:eastAsia="宋体" w:hint="default"/>
                <w:sz w:val="18"/>
                <w:szCs w:val="18"/>
              </w:rPr>
              <w:t>喻宇汉</w:t>
            </w:r>
          </w:p>
        </w:tc>
      </w:tr>
      <w:tr>
        <w:trPr>
          <w:trHeight w:val="441" w:hRule="exact"/>
        </w:trPr>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怀化天舟教育有限责任公司</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1"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2" w:right="0"/>
              <w:jc w:val="left"/>
              <w:rPr>
                <w:rFonts w:ascii="宋体" w:hAnsi="宋体" w:cs="宋体" w:eastAsia="宋体" w:hint="default"/>
                <w:sz w:val="18"/>
                <w:szCs w:val="18"/>
              </w:rPr>
            </w:pPr>
            <w:r>
              <w:rPr>
                <w:rFonts w:ascii="宋体" w:hAnsi="宋体" w:cs="宋体" w:eastAsia="宋体" w:hint="default"/>
                <w:sz w:val="18"/>
                <w:szCs w:val="18"/>
              </w:rPr>
              <w:t>怀化市</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8"/>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强</w:t>
            </w:r>
          </w:p>
        </w:tc>
      </w:tr>
      <w:tr>
        <w:trPr>
          <w:trHeight w:val="440" w:hRule="exact"/>
        </w:trPr>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浙江天舟图书有限责任公司</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33"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31"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sz w:val="18"/>
                <w:szCs w:val="18"/>
              </w:rPr>
              <w:t>马永杰</w:t>
            </w:r>
          </w:p>
        </w:tc>
      </w:tr>
      <w:tr>
        <w:trPr>
          <w:trHeight w:val="415" w:hRule="exact"/>
        </w:trPr>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北京永载文化有限责任公司</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1"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宋体" w:hAnsi="宋体" w:cs="宋体" w:eastAsia="宋体" w:hint="default"/>
                <w:sz w:val="18"/>
                <w:szCs w:val="18"/>
              </w:rPr>
            </w:pPr>
            <w:r>
              <w:rPr>
                <w:rFonts w:ascii="宋体" w:hAnsi="宋体" w:cs="宋体" w:eastAsia="宋体" w:hint="default"/>
                <w:sz w:val="18"/>
                <w:szCs w:val="18"/>
              </w:rPr>
              <w:t>陈四清</w:t>
            </w:r>
          </w:p>
        </w:tc>
      </w:tr>
      <w:tr>
        <w:trPr>
          <w:trHeight w:val="477" w:hRule="exact"/>
        </w:trPr>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北京东方天舟教育科技有限责任公司</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33"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31"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6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00"/>
              <w:jc w:val="right"/>
              <w:rPr>
                <w:rFonts w:ascii="宋体" w:hAnsi="宋体" w:cs="宋体" w:eastAsia="宋体" w:hint="default"/>
                <w:sz w:val="18"/>
                <w:szCs w:val="18"/>
              </w:rPr>
            </w:pPr>
            <w:r>
              <w:rPr>
                <w:rFonts w:ascii="宋体" w:hAnsi="宋体" w:cs="宋体" w:eastAsia="宋体" w:hint="default"/>
                <w:sz w:val="18"/>
                <w:szCs w:val="18"/>
              </w:rPr>
              <w:t>喻宇汉</w:t>
            </w:r>
          </w:p>
        </w:tc>
      </w:tr>
      <w:tr>
        <w:trPr>
          <w:trHeight w:val="377" w:hRule="exact"/>
        </w:trPr>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云上森林信息技术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33"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31"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6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0"/>
              <w:jc w:val="right"/>
              <w:rPr>
                <w:rFonts w:ascii="宋体" w:hAnsi="宋体" w:cs="宋体" w:eastAsia="宋体" w:hint="default"/>
                <w:sz w:val="18"/>
                <w:szCs w:val="18"/>
              </w:rPr>
            </w:pPr>
            <w:r>
              <w:rPr>
                <w:rFonts w:ascii="宋体" w:hAnsi="宋体" w:cs="宋体" w:eastAsia="宋体" w:hint="default"/>
                <w:sz w:val="18"/>
                <w:szCs w:val="18"/>
              </w:rPr>
              <w:t>喻宇汉</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673" w:right="0"/>
        <w:jc w:val="left"/>
      </w:pPr>
      <w:r>
        <w:rPr/>
        <w:t>接上表：</w:t>
      </w:r>
    </w:p>
    <w:p>
      <w:pPr>
        <w:spacing w:line="240" w:lineRule="auto" w:before="8"/>
        <w:rPr>
          <w:rFonts w:ascii="宋体" w:hAnsi="宋体" w:cs="宋体" w:eastAsia="宋体" w:hint="default"/>
          <w:sz w:val="28"/>
          <w:szCs w:val="28"/>
        </w:rPr>
      </w:pPr>
    </w:p>
    <w:tbl>
      <w:tblPr>
        <w:tblW w:w="0" w:type="auto"/>
        <w:jc w:val="left"/>
        <w:tblInd w:w="204" w:type="dxa"/>
        <w:tblLayout w:type="fixed"/>
        <w:tblCellMar>
          <w:top w:w="0" w:type="dxa"/>
          <w:left w:w="0" w:type="dxa"/>
          <w:bottom w:w="0" w:type="dxa"/>
          <w:right w:w="0" w:type="dxa"/>
        </w:tblCellMar>
        <w:tblLook w:val="01E0"/>
      </w:tblPr>
      <w:tblGrid>
        <w:gridCol w:w="1878"/>
        <w:gridCol w:w="2108"/>
        <w:gridCol w:w="1881"/>
        <w:gridCol w:w="2105"/>
        <w:gridCol w:w="1883"/>
      </w:tblGrid>
      <w:tr>
        <w:trPr>
          <w:trHeight w:val="275" w:hRule="exact"/>
        </w:trPr>
        <w:tc>
          <w:tcPr>
            <w:tcW w:w="1878" w:type="dxa"/>
            <w:tcBorders>
              <w:top w:val="nil" w:sz="6" w:space="0" w:color="auto"/>
              <w:left w:val="nil" w:sz="6" w:space="0" w:color="auto"/>
              <w:bottom w:val="single" w:sz="4" w:space="0" w:color="000000"/>
              <w:right w:val="nil" w:sz="6" w:space="0" w:color="auto"/>
            </w:tcBorders>
          </w:tcPr>
          <w:p>
            <w:pPr>
              <w:pStyle w:val="TableParagraph"/>
              <w:spacing w:line="180" w:lineRule="exact"/>
              <w:ind w:left="62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注册资本（万元）</w:t>
            </w:r>
            <w:r>
              <w:rPr>
                <w:rFonts w:ascii="宋体" w:hAnsi="宋体" w:cs="宋体" w:eastAsia="宋体" w:hint="default"/>
                <w:sz w:val="18"/>
                <w:szCs w:val="18"/>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19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05" w:type="dxa"/>
            <w:tcBorders>
              <w:top w:val="nil" w:sz="6" w:space="0" w:color="auto"/>
              <w:left w:val="nil" w:sz="6" w:space="0" w:color="auto"/>
              <w:bottom w:val="single" w:sz="4" w:space="0" w:color="000000"/>
              <w:right w:val="nil" w:sz="6" w:space="0" w:color="auto"/>
            </w:tcBorders>
          </w:tcPr>
          <w:p>
            <w:pPr>
              <w:pStyle w:val="TableParagraph"/>
              <w:spacing w:line="194" w:lineRule="exact"/>
              <w:ind w:right="43"/>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83" w:type="dxa"/>
            <w:tcBorders>
              <w:top w:val="nil" w:sz="6" w:space="0" w:color="auto"/>
              <w:left w:val="nil" w:sz="6" w:space="0" w:color="auto"/>
              <w:bottom w:val="single" w:sz="4" w:space="0" w:color="000000"/>
              <w:right w:val="nil" w:sz="6" w:space="0" w:color="auto"/>
            </w:tcBorders>
          </w:tcPr>
          <w:p>
            <w:pPr>
              <w:pStyle w:val="TableParagraph"/>
              <w:spacing w:line="180" w:lineRule="exact"/>
              <w:ind w:right="88"/>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92" w:hRule="exact"/>
        </w:trPr>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028" w:right="0"/>
              <w:jc w:val="left"/>
              <w:rPr>
                <w:rFonts w:ascii="Times New Roman" w:hAnsi="Times New Roman" w:cs="Times New Roman" w:eastAsia="Times New Roman" w:hint="default"/>
                <w:sz w:val="18"/>
                <w:szCs w:val="18"/>
              </w:rPr>
            </w:pPr>
            <w:r>
              <w:rPr>
                <w:rFonts w:ascii="Times New Roman"/>
                <w:sz w:val="18"/>
              </w:rPr>
              <w:t>3,000</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5"/>
              <w:jc w:val="center"/>
              <w:rPr>
                <w:rFonts w:ascii="Times New Roman" w:hAnsi="Times New Roman" w:cs="Times New Roman" w:eastAsia="Times New Roman" w:hint="default"/>
                <w:sz w:val="18"/>
                <w:szCs w:val="18"/>
              </w:rPr>
            </w:pPr>
            <w:r>
              <w:rPr>
                <w:rFonts w:ascii="Times New Roman"/>
                <w:sz w:val="18"/>
              </w:rPr>
              <w:t>100</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9"/>
              <w:jc w:val="center"/>
              <w:rPr>
                <w:rFonts w:ascii="Times New Roman" w:hAnsi="Times New Roman" w:cs="Times New Roman" w:eastAsia="Times New Roman" w:hint="default"/>
                <w:sz w:val="18"/>
                <w:szCs w:val="18"/>
              </w:rPr>
            </w:pPr>
            <w:r>
              <w:rPr>
                <w:rFonts w:ascii="Times New Roman"/>
                <w:sz w:val="18"/>
              </w:rPr>
              <w:t>100</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7"/>
              <w:jc w:val="center"/>
              <w:rPr>
                <w:rFonts w:ascii="Times New Roman" w:hAnsi="Times New Roman" w:cs="Times New Roman" w:eastAsia="Times New Roman" w:hint="default"/>
                <w:sz w:val="18"/>
                <w:szCs w:val="18"/>
              </w:rPr>
            </w:pPr>
            <w:r>
              <w:rPr>
                <w:rFonts w:ascii="Times New Roman"/>
                <w:sz w:val="18"/>
              </w:rPr>
              <w:t>670786188</w:t>
            </w:r>
          </w:p>
        </w:tc>
      </w:tr>
      <w:tr>
        <w:trPr>
          <w:trHeight w:val="44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63" w:right="0"/>
              <w:jc w:val="left"/>
              <w:rPr>
                <w:rFonts w:ascii="Times New Roman" w:hAnsi="Times New Roman" w:cs="Times New Roman" w:eastAsia="Times New Roman" w:hint="default"/>
                <w:sz w:val="18"/>
                <w:szCs w:val="18"/>
              </w:rPr>
            </w:pPr>
            <w:r>
              <w:rPr>
                <w:rFonts w:ascii="Times New Roman"/>
                <w:sz w:val="18"/>
              </w:rPr>
              <w:t>500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
              <w:jc w:val="center"/>
              <w:rPr>
                <w:rFonts w:ascii="Times New Roman" w:hAnsi="Times New Roman" w:cs="Times New Roman" w:eastAsia="Times New Roman" w:hint="default"/>
                <w:sz w:val="18"/>
                <w:szCs w:val="18"/>
              </w:rPr>
            </w:pPr>
            <w:r>
              <w:rPr>
                <w:rFonts w:ascii="Times New Roman"/>
                <w:sz w:val="18"/>
              </w:rPr>
              <w:t>100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
              <w:jc w:val="center"/>
              <w:rPr>
                <w:rFonts w:ascii="Times New Roman" w:hAnsi="Times New Roman" w:cs="Times New Roman" w:eastAsia="Times New Roman" w:hint="default"/>
                <w:sz w:val="18"/>
                <w:szCs w:val="18"/>
              </w:rPr>
            </w:pPr>
            <w:r>
              <w:rPr>
                <w:rFonts w:ascii="Times New Roman"/>
                <w:sz w:val="18"/>
              </w:rPr>
              <w:t>100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
              <w:jc w:val="center"/>
              <w:rPr>
                <w:rFonts w:ascii="Times New Roman" w:hAnsi="Times New Roman" w:cs="Times New Roman" w:eastAsia="Times New Roman" w:hint="default"/>
                <w:sz w:val="18"/>
                <w:szCs w:val="18"/>
              </w:rPr>
            </w:pPr>
            <w:r>
              <w:rPr>
                <w:rFonts w:ascii="Times New Roman"/>
                <w:sz w:val="18"/>
              </w:rPr>
              <w:t>67875551-1</w:t>
            </w:r>
          </w:p>
        </w:tc>
      </w:tr>
      <w:tr>
        <w:trPr>
          <w:trHeight w:val="44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44" w:right="0"/>
              <w:jc w:val="left"/>
              <w:rPr>
                <w:rFonts w:ascii="宋体" w:hAnsi="宋体" w:cs="宋体" w:eastAsia="宋体" w:hint="default"/>
                <w:sz w:val="18"/>
                <w:szCs w:val="18"/>
              </w:rPr>
            </w:pPr>
            <w:r>
              <w:rPr>
                <w:rFonts w:ascii="宋体" w:hAnsi="宋体" w:cs="宋体" w:eastAsia="宋体" w:hint="default"/>
                <w:sz w:val="18"/>
                <w:szCs w:val="18"/>
              </w:rPr>
              <w:t>图书内容策划</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28" w:right="0"/>
              <w:jc w:val="left"/>
              <w:rPr>
                <w:rFonts w:ascii="Times New Roman" w:hAnsi="Times New Roman" w:cs="Times New Roman" w:eastAsia="Times New Roman" w:hint="default"/>
                <w:sz w:val="18"/>
                <w:szCs w:val="18"/>
              </w:rPr>
            </w:pPr>
            <w:r>
              <w:rPr>
                <w:rFonts w:ascii="Times New Roman"/>
                <w:sz w:val="18"/>
              </w:rPr>
              <w:t>1,450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
              <w:jc w:val="center"/>
              <w:rPr>
                <w:rFonts w:ascii="Times New Roman" w:hAnsi="Times New Roman" w:cs="Times New Roman" w:eastAsia="Times New Roman" w:hint="default"/>
                <w:sz w:val="18"/>
                <w:szCs w:val="18"/>
              </w:rPr>
            </w:pPr>
            <w:r>
              <w:rPr>
                <w:rFonts w:ascii="Times New Roman"/>
                <w:sz w:val="18"/>
              </w:rPr>
              <w:t>100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9"/>
              <w:jc w:val="center"/>
              <w:rPr>
                <w:rFonts w:ascii="Times New Roman" w:hAnsi="Times New Roman" w:cs="Times New Roman" w:eastAsia="Times New Roman" w:hint="default"/>
                <w:sz w:val="18"/>
                <w:szCs w:val="18"/>
              </w:rPr>
            </w:pPr>
            <w:r>
              <w:rPr>
                <w:rFonts w:ascii="Times New Roman"/>
                <w:sz w:val="18"/>
              </w:rPr>
              <w:t>100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9"/>
              <w:jc w:val="center"/>
              <w:rPr>
                <w:rFonts w:ascii="Times New Roman" w:hAnsi="Times New Roman" w:cs="Times New Roman" w:eastAsia="Times New Roman" w:hint="default"/>
                <w:sz w:val="18"/>
                <w:szCs w:val="18"/>
              </w:rPr>
            </w:pPr>
            <w:r>
              <w:rPr>
                <w:rFonts w:ascii="Times New Roman"/>
                <w:sz w:val="18"/>
              </w:rPr>
              <w:t>68952820-X</w:t>
            </w:r>
          </w:p>
        </w:tc>
      </w:tr>
      <w:tr>
        <w:trPr>
          <w:trHeight w:val="43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63" w:right="0"/>
              <w:jc w:val="left"/>
              <w:rPr>
                <w:rFonts w:ascii="Times New Roman" w:hAnsi="Times New Roman" w:cs="Times New Roman" w:eastAsia="Times New Roman" w:hint="default"/>
                <w:sz w:val="18"/>
                <w:szCs w:val="18"/>
              </w:rPr>
            </w:pPr>
            <w:r>
              <w:rPr>
                <w:rFonts w:ascii="Times New Roman"/>
                <w:sz w:val="18"/>
              </w:rPr>
              <w:t>300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
              <w:jc w:val="center"/>
              <w:rPr>
                <w:rFonts w:ascii="Times New Roman" w:hAnsi="Times New Roman" w:cs="Times New Roman" w:eastAsia="Times New Roman" w:hint="default"/>
                <w:sz w:val="18"/>
                <w:szCs w:val="18"/>
              </w:rPr>
            </w:pPr>
            <w:r>
              <w:rPr>
                <w:rFonts w:ascii="Times New Roman"/>
                <w:sz w:val="18"/>
              </w:rPr>
              <w:t>60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
              <w:jc w:val="center"/>
              <w:rPr>
                <w:rFonts w:ascii="Times New Roman" w:hAnsi="Times New Roman" w:cs="Times New Roman" w:eastAsia="Times New Roman" w:hint="default"/>
                <w:sz w:val="18"/>
                <w:szCs w:val="18"/>
              </w:rPr>
            </w:pPr>
            <w:r>
              <w:rPr>
                <w:rFonts w:ascii="Times New Roman"/>
                <w:sz w:val="18"/>
              </w:rPr>
              <w:t>60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
              <w:jc w:val="center"/>
              <w:rPr>
                <w:rFonts w:ascii="Times New Roman" w:hAnsi="Times New Roman" w:cs="Times New Roman" w:eastAsia="Times New Roman" w:hint="default"/>
                <w:sz w:val="18"/>
                <w:szCs w:val="18"/>
              </w:rPr>
            </w:pPr>
            <w:r>
              <w:rPr>
                <w:rFonts w:ascii="Times New Roman"/>
                <w:sz w:val="18"/>
              </w:rPr>
              <w:t>69355325-6</w:t>
            </w:r>
          </w:p>
        </w:tc>
      </w:tr>
      <w:tr>
        <w:trPr>
          <w:trHeight w:val="44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63" w:right="0"/>
              <w:jc w:val="left"/>
              <w:rPr>
                <w:rFonts w:ascii="Times New Roman" w:hAnsi="Times New Roman" w:cs="Times New Roman" w:eastAsia="Times New Roman" w:hint="default"/>
                <w:sz w:val="18"/>
                <w:szCs w:val="18"/>
              </w:rPr>
            </w:pPr>
            <w:r>
              <w:rPr>
                <w:rFonts w:ascii="Times New Roman"/>
                <w:sz w:val="18"/>
              </w:rPr>
              <w:t>500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
              <w:jc w:val="center"/>
              <w:rPr>
                <w:rFonts w:ascii="Times New Roman" w:hAnsi="Times New Roman" w:cs="Times New Roman" w:eastAsia="Times New Roman" w:hint="default"/>
                <w:sz w:val="18"/>
                <w:szCs w:val="18"/>
              </w:rPr>
            </w:pPr>
            <w:r>
              <w:rPr>
                <w:rFonts w:ascii="Times New Roman"/>
                <w:sz w:val="18"/>
              </w:rPr>
              <w:t>100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
              <w:jc w:val="center"/>
              <w:rPr>
                <w:rFonts w:ascii="Times New Roman" w:hAnsi="Times New Roman" w:cs="Times New Roman" w:eastAsia="Times New Roman" w:hint="default"/>
                <w:sz w:val="18"/>
                <w:szCs w:val="18"/>
              </w:rPr>
            </w:pPr>
            <w:r>
              <w:rPr>
                <w:rFonts w:ascii="Times New Roman"/>
                <w:sz w:val="18"/>
              </w:rPr>
              <w:t>100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
              <w:jc w:val="center"/>
              <w:rPr>
                <w:rFonts w:ascii="Times New Roman" w:hAnsi="Times New Roman" w:cs="Times New Roman" w:eastAsia="Times New Roman" w:hint="default"/>
                <w:sz w:val="18"/>
                <w:szCs w:val="18"/>
              </w:rPr>
            </w:pPr>
            <w:r>
              <w:rPr>
                <w:rFonts w:ascii="Times New Roman"/>
                <w:sz w:val="18"/>
              </w:rPr>
              <w:t>75063413-3</w:t>
            </w:r>
          </w:p>
        </w:tc>
      </w:tr>
      <w:tr>
        <w:trPr>
          <w:trHeight w:val="44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63" w:right="0"/>
              <w:jc w:val="left"/>
              <w:rPr>
                <w:rFonts w:ascii="Times New Roman" w:hAnsi="Times New Roman" w:cs="Times New Roman" w:eastAsia="Times New Roman" w:hint="default"/>
                <w:sz w:val="18"/>
                <w:szCs w:val="18"/>
              </w:rPr>
            </w:pPr>
            <w:r>
              <w:rPr>
                <w:rFonts w:ascii="Times New Roman"/>
                <w:sz w:val="18"/>
              </w:rPr>
              <w:t>500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
              <w:jc w:val="center"/>
              <w:rPr>
                <w:rFonts w:ascii="Times New Roman" w:hAnsi="Times New Roman" w:cs="Times New Roman" w:eastAsia="Times New Roman" w:hint="default"/>
                <w:sz w:val="18"/>
                <w:szCs w:val="18"/>
              </w:rPr>
            </w:pPr>
            <w:r>
              <w:rPr>
                <w:rFonts w:ascii="Times New Roman"/>
                <w:sz w:val="18"/>
              </w:rPr>
              <w:t>70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9"/>
              <w:jc w:val="center"/>
              <w:rPr>
                <w:rFonts w:ascii="Times New Roman" w:hAnsi="Times New Roman" w:cs="Times New Roman" w:eastAsia="Times New Roman" w:hint="default"/>
                <w:sz w:val="18"/>
                <w:szCs w:val="18"/>
              </w:rPr>
            </w:pPr>
            <w:r>
              <w:rPr>
                <w:rFonts w:ascii="Times New Roman"/>
                <w:sz w:val="18"/>
              </w:rPr>
              <w:t>70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
              <w:jc w:val="center"/>
              <w:rPr>
                <w:rFonts w:ascii="Times New Roman" w:hAnsi="Times New Roman" w:cs="Times New Roman" w:eastAsia="Times New Roman" w:hint="default"/>
                <w:sz w:val="18"/>
                <w:szCs w:val="18"/>
              </w:rPr>
            </w:pPr>
            <w:r>
              <w:rPr>
                <w:rFonts w:ascii="Times New Roman"/>
                <w:sz w:val="18"/>
              </w:rPr>
              <w:t>57731369-3</w:t>
            </w:r>
          </w:p>
        </w:tc>
      </w:tr>
      <w:tr>
        <w:trPr>
          <w:trHeight w:val="42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63" w:right="0"/>
              <w:jc w:val="left"/>
              <w:rPr>
                <w:rFonts w:ascii="Times New Roman" w:hAnsi="Times New Roman" w:cs="Times New Roman" w:eastAsia="Times New Roman" w:hint="default"/>
                <w:sz w:val="18"/>
                <w:szCs w:val="18"/>
              </w:rPr>
            </w:pPr>
            <w:r>
              <w:rPr>
                <w:rFonts w:ascii="Times New Roman"/>
                <w:sz w:val="18"/>
              </w:rPr>
              <w:t>500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
              <w:jc w:val="center"/>
              <w:rPr>
                <w:rFonts w:ascii="Times New Roman" w:hAnsi="Times New Roman" w:cs="Times New Roman" w:eastAsia="Times New Roman" w:hint="default"/>
                <w:sz w:val="18"/>
                <w:szCs w:val="18"/>
              </w:rPr>
            </w:pPr>
            <w:r>
              <w:rPr>
                <w:rFonts w:ascii="Times New Roman"/>
                <w:sz w:val="18"/>
              </w:rPr>
              <w:t>51</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
              <w:jc w:val="center"/>
              <w:rPr>
                <w:rFonts w:ascii="Times New Roman" w:hAnsi="Times New Roman" w:cs="Times New Roman" w:eastAsia="Times New Roman" w:hint="default"/>
                <w:sz w:val="18"/>
                <w:szCs w:val="18"/>
              </w:rPr>
            </w:pPr>
            <w:r>
              <w:rPr>
                <w:rFonts w:ascii="Times New Roman"/>
                <w:sz w:val="18"/>
              </w:rPr>
              <w:t>51</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
              <w:jc w:val="center"/>
              <w:rPr>
                <w:rFonts w:ascii="Times New Roman" w:hAnsi="Times New Roman" w:cs="Times New Roman" w:eastAsia="Times New Roman" w:hint="default"/>
                <w:sz w:val="18"/>
                <w:szCs w:val="18"/>
              </w:rPr>
            </w:pPr>
            <w:r>
              <w:rPr>
                <w:rFonts w:ascii="Times New Roman"/>
                <w:sz w:val="18"/>
              </w:rPr>
              <w:t>58443692-3</w:t>
            </w:r>
          </w:p>
        </w:tc>
      </w:tr>
      <w:tr>
        <w:trPr>
          <w:trHeight w:val="44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44"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28" w:right="0"/>
              <w:jc w:val="left"/>
              <w:rPr>
                <w:rFonts w:ascii="Times New Roman" w:hAnsi="Times New Roman" w:cs="Times New Roman" w:eastAsia="Times New Roman" w:hint="default"/>
                <w:sz w:val="18"/>
                <w:szCs w:val="18"/>
              </w:rPr>
            </w:pPr>
            <w:r>
              <w:rPr>
                <w:rFonts w:ascii="Times New Roman"/>
                <w:sz w:val="18"/>
              </w:rPr>
              <w:t>2,000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 w:right="0"/>
              <w:jc w:val="center"/>
              <w:rPr>
                <w:rFonts w:ascii="Times New Roman" w:hAnsi="Times New Roman" w:cs="Times New Roman" w:eastAsia="Times New Roman" w:hint="default"/>
                <w:sz w:val="18"/>
                <w:szCs w:val="18"/>
              </w:rPr>
            </w:pPr>
            <w:r>
              <w:rPr>
                <w:rFonts w:ascii="Times New Roman"/>
                <w:sz w:val="18"/>
              </w:rPr>
              <w:t>96.77</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7"/>
              <w:jc w:val="center"/>
              <w:rPr>
                <w:rFonts w:ascii="Times New Roman" w:hAnsi="Times New Roman" w:cs="Times New Roman" w:eastAsia="Times New Roman" w:hint="default"/>
                <w:sz w:val="18"/>
                <w:szCs w:val="18"/>
              </w:rPr>
            </w:pPr>
            <w:r>
              <w:rPr>
                <w:rFonts w:ascii="Times New Roman"/>
                <w:sz w:val="18"/>
              </w:rPr>
              <w:t>96.77</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8"/>
              <w:jc w:val="center"/>
              <w:rPr>
                <w:rFonts w:ascii="Times New Roman" w:hAnsi="Times New Roman" w:cs="Times New Roman" w:eastAsia="Times New Roman" w:hint="default"/>
                <w:sz w:val="18"/>
                <w:szCs w:val="18"/>
              </w:rPr>
            </w:pPr>
            <w:r>
              <w:rPr>
                <w:rFonts w:ascii="Times New Roman"/>
                <w:sz w:val="18"/>
              </w:rPr>
              <w:t>59767093-8</w:t>
            </w:r>
          </w:p>
        </w:tc>
      </w:tr>
      <w:tr>
        <w:trPr>
          <w:trHeight w:val="32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4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63" w:right="0"/>
              <w:jc w:val="left"/>
              <w:rPr>
                <w:rFonts w:ascii="Times New Roman" w:hAnsi="Times New Roman" w:cs="Times New Roman" w:eastAsia="Times New Roman" w:hint="default"/>
                <w:sz w:val="18"/>
                <w:szCs w:val="18"/>
              </w:rPr>
            </w:pPr>
            <w:r>
              <w:rPr>
                <w:rFonts w:ascii="Times New Roman"/>
                <w:sz w:val="18"/>
              </w:rPr>
              <w:t>300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86.67</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
              <w:jc w:val="center"/>
              <w:rPr>
                <w:rFonts w:ascii="Times New Roman" w:hAnsi="Times New Roman" w:cs="Times New Roman" w:eastAsia="Times New Roman" w:hint="default"/>
                <w:sz w:val="18"/>
                <w:szCs w:val="18"/>
              </w:rPr>
            </w:pPr>
            <w:r>
              <w:rPr>
                <w:rFonts w:ascii="Times New Roman"/>
                <w:sz w:val="18"/>
              </w:rPr>
              <w:t>86.67</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8"/>
              <w:jc w:val="center"/>
              <w:rPr>
                <w:rFonts w:ascii="Times New Roman" w:hAnsi="Times New Roman" w:cs="Times New Roman" w:eastAsia="Times New Roman" w:hint="default"/>
                <w:sz w:val="18"/>
                <w:szCs w:val="18"/>
              </w:rPr>
            </w:pPr>
            <w:r>
              <w:rPr>
                <w:rFonts w:ascii="Times New Roman"/>
                <w:sz w:val="18"/>
              </w:rPr>
              <w:t>59767984-4</w:t>
            </w:r>
          </w:p>
        </w:tc>
      </w:tr>
    </w:tbl>
    <w:p>
      <w:pPr>
        <w:spacing w:line="240" w:lineRule="auto" w:before="9"/>
        <w:rPr>
          <w:rFonts w:ascii="宋体" w:hAnsi="宋体" w:cs="宋体" w:eastAsia="宋体" w:hint="default"/>
          <w:sz w:val="27"/>
          <w:szCs w:val="27"/>
        </w:rPr>
      </w:pPr>
    </w:p>
    <w:p>
      <w:pPr>
        <w:pStyle w:val="Heading6"/>
        <w:spacing w:line="240" w:lineRule="auto"/>
        <w:ind w:left="733" w:right="0"/>
        <w:jc w:val="left"/>
      </w:pPr>
      <w:r>
        <w:rPr>
          <w:rFonts w:ascii="Times New Roman" w:hAnsi="Times New Roman" w:cs="Times New Roman" w:eastAsia="Times New Roman" w:hint="default"/>
        </w:rPr>
        <w:t>4</w:t>
      </w:r>
      <w:r>
        <w:rPr/>
        <w:t>、本公司的联营企业情况</w:t>
      </w:r>
    </w:p>
    <w:p>
      <w:pPr>
        <w:spacing w:line="240" w:lineRule="auto" w:before="3"/>
        <w:rPr>
          <w:rFonts w:ascii="宋体" w:hAnsi="宋体" w:cs="宋体" w:eastAsia="宋体" w:hint="default"/>
          <w:sz w:val="27"/>
          <w:szCs w:val="27"/>
        </w:rPr>
      </w:pPr>
    </w:p>
    <w:tbl>
      <w:tblPr>
        <w:tblW w:w="0" w:type="auto"/>
        <w:jc w:val="left"/>
        <w:tblInd w:w="204" w:type="dxa"/>
        <w:tblLayout w:type="fixed"/>
        <w:tblCellMar>
          <w:top w:w="0" w:type="dxa"/>
          <w:left w:w="0" w:type="dxa"/>
          <w:bottom w:w="0" w:type="dxa"/>
          <w:right w:w="0" w:type="dxa"/>
        </w:tblCellMar>
        <w:tblLook w:val="01E0"/>
      </w:tblPr>
      <w:tblGrid>
        <w:gridCol w:w="3494"/>
        <w:gridCol w:w="1311"/>
        <w:gridCol w:w="1048"/>
        <w:gridCol w:w="1281"/>
        <w:gridCol w:w="1372"/>
        <w:gridCol w:w="1352"/>
      </w:tblGrid>
      <w:tr>
        <w:trPr>
          <w:trHeight w:val="678" w:hRule="exact"/>
        </w:trPr>
        <w:tc>
          <w:tcPr>
            <w:tcW w:w="3494" w:type="dxa"/>
            <w:tcBorders>
              <w:top w:val="nil" w:sz="6" w:space="0" w:color="auto"/>
              <w:left w:val="nil" w:sz="6" w:space="0" w:color="auto"/>
              <w:bottom w:val="single" w:sz="8" w:space="0" w:color="000000"/>
              <w:right w:val="nil" w:sz="6" w:space="0" w:color="auto"/>
            </w:tcBorders>
          </w:tcPr>
          <w:p>
            <w:pPr>
              <w:pStyle w:val="TableParagraph"/>
              <w:spacing w:line="240" w:lineRule="auto" w:before="143"/>
              <w:ind w:left="112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11" w:type="dxa"/>
            <w:tcBorders>
              <w:top w:val="nil" w:sz="6" w:space="0" w:color="auto"/>
              <w:left w:val="nil" w:sz="6" w:space="0" w:color="auto"/>
              <w:bottom w:val="single" w:sz="8" w:space="0" w:color="000000"/>
              <w:right w:val="nil" w:sz="6" w:space="0" w:color="auto"/>
            </w:tcBorders>
          </w:tcPr>
          <w:p>
            <w:pPr>
              <w:pStyle w:val="TableParagraph"/>
              <w:spacing w:line="240" w:lineRule="auto" w:before="143"/>
              <w:ind w:right="261"/>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048" w:type="dxa"/>
            <w:tcBorders>
              <w:top w:val="nil" w:sz="6" w:space="0" w:color="auto"/>
              <w:left w:val="nil" w:sz="6" w:space="0" w:color="auto"/>
              <w:bottom w:val="single" w:sz="8" w:space="0" w:color="000000"/>
              <w:right w:val="nil" w:sz="6" w:space="0" w:color="auto"/>
            </w:tcBorders>
          </w:tcPr>
          <w:p>
            <w:pPr>
              <w:pStyle w:val="TableParagraph"/>
              <w:spacing w:line="240" w:lineRule="auto" w:before="143"/>
              <w:ind w:left="20"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81" w:type="dxa"/>
            <w:tcBorders>
              <w:top w:val="nil" w:sz="6" w:space="0" w:color="auto"/>
              <w:left w:val="nil" w:sz="6" w:space="0" w:color="auto"/>
              <w:bottom w:val="single" w:sz="8" w:space="0" w:color="000000"/>
              <w:right w:val="nil" w:sz="6" w:space="0" w:color="auto"/>
            </w:tcBorders>
          </w:tcPr>
          <w:p>
            <w:pPr>
              <w:pStyle w:val="TableParagraph"/>
              <w:spacing w:line="240" w:lineRule="auto" w:before="143"/>
              <w:ind w:right="71"/>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72" w:type="dxa"/>
            <w:tcBorders>
              <w:top w:val="nil" w:sz="6" w:space="0" w:color="auto"/>
              <w:left w:val="nil" w:sz="6" w:space="0" w:color="auto"/>
              <w:bottom w:val="single" w:sz="8" w:space="0" w:color="000000"/>
              <w:right w:val="nil" w:sz="6" w:space="0" w:color="auto"/>
            </w:tcBorders>
          </w:tcPr>
          <w:p>
            <w:pPr>
              <w:pStyle w:val="TableParagraph"/>
              <w:spacing w:line="240" w:lineRule="auto" w:before="143"/>
              <w:ind w:right="15"/>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352" w:type="dxa"/>
            <w:tcBorders>
              <w:top w:val="nil" w:sz="6" w:space="0" w:color="auto"/>
              <w:left w:val="nil" w:sz="6" w:space="0" w:color="auto"/>
              <w:bottom w:val="single" w:sz="8" w:space="0" w:color="000000"/>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496" w:hRule="exact"/>
        </w:trPr>
        <w:tc>
          <w:tcPr>
            <w:tcW w:w="3494"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311"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263"/>
              <w:jc w:val="right"/>
              <w:rPr>
                <w:rFonts w:ascii="宋体" w:hAnsi="宋体" w:cs="宋体" w:eastAsia="宋体" w:hint="default"/>
                <w:sz w:val="18"/>
                <w:szCs w:val="18"/>
              </w:rPr>
            </w:pPr>
            <w:r>
              <w:rPr>
                <w:rFonts w:ascii="宋体" w:hAnsi="宋体" w:cs="宋体" w:eastAsia="宋体" w:hint="default"/>
                <w:sz w:val="18"/>
                <w:szCs w:val="18"/>
              </w:rPr>
              <w:t>国有控股</w:t>
            </w:r>
          </w:p>
        </w:tc>
        <w:tc>
          <w:tcPr>
            <w:tcW w:w="1048"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23"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281"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71"/>
              <w:jc w:val="center"/>
              <w:rPr>
                <w:rFonts w:ascii="宋体" w:hAnsi="宋体" w:cs="宋体" w:eastAsia="宋体" w:hint="default"/>
                <w:sz w:val="18"/>
                <w:szCs w:val="18"/>
              </w:rPr>
            </w:pPr>
            <w:r>
              <w:rPr>
                <w:rFonts w:ascii="宋体" w:hAnsi="宋体" w:cs="宋体" w:eastAsia="宋体" w:hint="default"/>
                <w:sz w:val="18"/>
                <w:szCs w:val="18"/>
              </w:rPr>
              <w:t>黄小初</w:t>
            </w:r>
          </w:p>
        </w:tc>
        <w:tc>
          <w:tcPr>
            <w:tcW w:w="1372"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13"/>
              <w:jc w:val="center"/>
              <w:rPr>
                <w:rFonts w:ascii="宋体" w:hAnsi="宋体" w:cs="宋体" w:eastAsia="宋体" w:hint="default"/>
                <w:sz w:val="18"/>
                <w:szCs w:val="18"/>
              </w:rPr>
            </w:pPr>
            <w:r>
              <w:rPr>
                <w:rFonts w:ascii="宋体" w:hAnsi="宋体" w:cs="宋体" w:eastAsia="宋体" w:hint="default"/>
                <w:sz w:val="18"/>
                <w:szCs w:val="18"/>
              </w:rPr>
              <w:t>图书销售</w:t>
            </w:r>
          </w:p>
        </w:tc>
        <w:tc>
          <w:tcPr>
            <w:tcW w:w="1352"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39" w:right="0"/>
              <w:jc w:val="center"/>
              <w:rPr>
                <w:rFonts w:ascii="Times New Roman" w:hAnsi="Times New Roman" w:cs="Times New Roman" w:eastAsia="Times New Roman" w:hint="default"/>
                <w:sz w:val="18"/>
                <w:szCs w:val="18"/>
              </w:rPr>
            </w:pPr>
            <w:r>
              <w:rPr>
                <w:rFonts w:ascii="Times New Roman"/>
                <w:sz w:val="18"/>
              </w:rPr>
              <w:t>1,000</w:t>
            </w:r>
          </w:p>
        </w:tc>
      </w:tr>
      <w:tr>
        <w:trPr>
          <w:trHeight w:val="315" w:hRule="exact"/>
        </w:trPr>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3"/>
              <w:jc w:val="right"/>
              <w:rPr>
                <w:rFonts w:ascii="宋体" w:hAnsi="宋体" w:cs="宋体" w:eastAsia="宋体" w:hint="default"/>
                <w:sz w:val="18"/>
                <w:szCs w:val="18"/>
              </w:rPr>
            </w:pPr>
            <w:r>
              <w:rPr>
                <w:rFonts w:ascii="宋体" w:hAnsi="宋体" w:cs="宋体" w:eastAsia="宋体" w:hint="default"/>
                <w:sz w:val="18"/>
                <w:szCs w:val="18"/>
              </w:rPr>
              <w:t>国有控股</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3"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1"/>
              <w:jc w:val="center"/>
              <w:rPr>
                <w:rFonts w:ascii="宋体" w:hAnsi="宋体" w:cs="宋体" w:eastAsia="宋体" w:hint="default"/>
                <w:sz w:val="18"/>
                <w:szCs w:val="18"/>
              </w:rPr>
            </w:pPr>
            <w:r>
              <w:rPr>
                <w:rFonts w:ascii="宋体" w:hAnsi="宋体" w:cs="宋体" w:eastAsia="宋体" w:hint="default"/>
                <w:sz w:val="18"/>
                <w:szCs w:val="18"/>
              </w:rPr>
              <w:t>李建峰</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center"/>
              <w:rPr>
                <w:rFonts w:ascii="宋体" w:hAnsi="宋体" w:cs="宋体" w:eastAsia="宋体" w:hint="default"/>
                <w:sz w:val="18"/>
                <w:szCs w:val="18"/>
              </w:rPr>
            </w:pPr>
            <w:r>
              <w:rPr>
                <w:rFonts w:ascii="宋体" w:hAnsi="宋体" w:cs="宋体" w:eastAsia="宋体" w:hint="default"/>
                <w:sz w:val="18"/>
                <w:szCs w:val="18"/>
              </w:rPr>
              <w:t>图书销售</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9" w:right="0"/>
              <w:jc w:val="center"/>
              <w:rPr>
                <w:rFonts w:ascii="Times New Roman" w:hAnsi="Times New Roman" w:cs="Times New Roman" w:eastAsia="Times New Roman" w:hint="default"/>
                <w:sz w:val="18"/>
                <w:szCs w:val="18"/>
              </w:rPr>
            </w:pPr>
            <w:r>
              <w:rPr>
                <w:rFonts w:ascii="Times New Roman"/>
                <w:sz w:val="18"/>
              </w:rPr>
              <w:t>6,000</w:t>
            </w:r>
          </w:p>
        </w:tc>
      </w:tr>
    </w:tbl>
    <w:p>
      <w:pPr>
        <w:spacing w:line="240" w:lineRule="auto" w:before="12"/>
        <w:rPr>
          <w:rFonts w:ascii="宋体" w:hAnsi="宋体" w:cs="宋体" w:eastAsia="宋体" w:hint="default"/>
          <w:sz w:val="27"/>
          <w:szCs w:val="27"/>
        </w:rPr>
      </w:pPr>
    </w:p>
    <w:p>
      <w:pPr>
        <w:pStyle w:val="Heading6"/>
        <w:spacing w:line="240" w:lineRule="auto"/>
        <w:ind w:left="733" w:right="0"/>
        <w:jc w:val="left"/>
      </w:pPr>
      <w:r>
        <w:rPr/>
        <w:t>接上表：</w:t>
      </w:r>
    </w:p>
    <w:p>
      <w:pPr>
        <w:spacing w:line="240" w:lineRule="auto" w:before="4"/>
        <w:rPr>
          <w:rFonts w:ascii="宋体" w:hAnsi="宋体" w:cs="宋体" w:eastAsia="宋体" w:hint="default"/>
          <w:sz w:val="28"/>
          <w:szCs w:val="28"/>
        </w:rPr>
      </w:pPr>
    </w:p>
    <w:tbl>
      <w:tblPr>
        <w:tblW w:w="0" w:type="auto"/>
        <w:jc w:val="left"/>
        <w:tblInd w:w="204" w:type="dxa"/>
        <w:tblLayout w:type="fixed"/>
        <w:tblCellMar>
          <w:top w:w="0" w:type="dxa"/>
          <w:left w:w="0" w:type="dxa"/>
          <w:bottom w:w="0" w:type="dxa"/>
          <w:right w:w="0" w:type="dxa"/>
        </w:tblCellMar>
        <w:tblLook w:val="01E0"/>
      </w:tblPr>
      <w:tblGrid>
        <w:gridCol w:w="2611"/>
        <w:gridCol w:w="3931"/>
        <w:gridCol w:w="1588"/>
        <w:gridCol w:w="1727"/>
      </w:tblGrid>
      <w:tr>
        <w:trPr>
          <w:trHeight w:val="275" w:hRule="exact"/>
        </w:trPr>
        <w:tc>
          <w:tcPr>
            <w:tcW w:w="2611" w:type="dxa"/>
            <w:tcBorders>
              <w:top w:val="nil" w:sz="6" w:space="0" w:color="auto"/>
              <w:left w:val="nil" w:sz="6" w:space="0" w:color="auto"/>
              <w:bottom w:val="single" w:sz="4" w:space="0" w:color="000000"/>
              <w:right w:val="nil" w:sz="6" w:space="0" w:color="auto"/>
            </w:tcBorders>
          </w:tcPr>
          <w:p>
            <w:pPr>
              <w:pStyle w:val="TableParagraph"/>
              <w:spacing w:line="194"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本公司持股比例（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931" w:type="dxa"/>
            <w:tcBorders>
              <w:top w:val="nil" w:sz="6" w:space="0" w:color="auto"/>
              <w:left w:val="nil" w:sz="6" w:space="0" w:color="auto"/>
              <w:bottom w:val="single" w:sz="4" w:space="0" w:color="000000"/>
              <w:right w:val="nil" w:sz="6" w:space="0" w:color="auto"/>
            </w:tcBorders>
          </w:tcPr>
          <w:p>
            <w:pPr>
              <w:pStyle w:val="TableParagraph"/>
              <w:spacing w:line="194" w:lineRule="exact"/>
              <w:ind w:right="68"/>
              <w:jc w:val="center"/>
              <w:rPr>
                <w:rFonts w:ascii="宋体" w:hAnsi="宋体" w:cs="宋体" w:eastAsia="宋体" w:hint="default"/>
                <w:sz w:val="18"/>
                <w:szCs w:val="18"/>
              </w:rPr>
            </w:pPr>
            <w:r>
              <w:rPr>
                <w:rFonts w:ascii="宋体" w:hAnsi="宋体" w:cs="宋体" w:eastAsia="宋体" w:hint="default"/>
                <w:b/>
                <w:bCs/>
                <w:sz w:val="18"/>
                <w:szCs w:val="18"/>
              </w:rPr>
              <w:t>本公司在被投资单位表决权比例（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88" w:type="dxa"/>
            <w:tcBorders>
              <w:top w:val="nil" w:sz="6" w:space="0" w:color="auto"/>
              <w:left w:val="nil" w:sz="6" w:space="0" w:color="auto"/>
              <w:bottom w:val="single" w:sz="4" w:space="0" w:color="000000"/>
              <w:right w:val="nil" w:sz="6" w:space="0" w:color="auto"/>
            </w:tcBorders>
          </w:tcPr>
          <w:p>
            <w:pPr>
              <w:pStyle w:val="TableParagraph"/>
              <w:spacing w:line="180" w:lineRule="exact"/>
              <w:ind w:left="66"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180" w:lineRule="exact"/>
              <w:ind w:left="159"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91" w:hRule="exact"/>
        </w:trPr>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25" w:right="0"/>
              <w:jc w:val="center"/>
              <w:rPr>
                <w:rFonts w:ascii="Times New Roman" w:hAnsi="Times New Roman" w:cs="Times New Roman" w:eastAsia="Times New Roman" w:hint="default"/>
                <w:sz w:val="18"/>
                <w:szCs w:val="18"/>
              </w:rPr>
            </w:pPr>
            <w:r>
              <w:rPr>
                <w:rFonts w:ascii="Times New Roman"/>
                <w:sz w:val="18"/>
              </w:rPr>
              <w:t>49</w:t>
            </w:r>
          </w:p>
        </w:tc>
        <w:tc>
          <w:tcPr>
            <w:tcW w:w="393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3"/>
              <w:jc w:val="center"/>
              <w:rPr>
                <w:rFonts w:ascii="Times New Roman" w:hAnsi="Times New Roman" w:cs="Times New Roman" w:eastAsia="Times New Roman" w:hint="default"/>
                <w:sz w:val="18"/>
                <w:szCs w:val="18"/>
              </w:rPr>
            </w:pPr>
            <w:r>
              <w:rPr>
                <w:rFonts w:ascii="Times New Roman"/>
                <w:sz w:val="18"/>
              </w:rPr>
              <w:t>49</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4"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60" w:right="0"/>
              <w:jc w:val="center"/>
              <w:rPr>
                <w:rFonts w:ascii="Times New Roman" w:hAnsi="Times New Roman" w:cs="Times New Roman" w:eastAsia="Times New Roman" w:hint="default"/>
                <w:sz w:val="18"/>
                <w:szCs w:val="18"/>
              </w:rPr>
            </w:pPr>
            <w:r>
              <w:rPr>
                <w:rFonts w:ascii="Times New Roman"/>
                <w:sz w:val="18"/>
              </w:rPr>
              <w:t>57135636-9</w:t>
            </w:r>
          </w:p>
        </w:tc>
      </w:tr>
      <w:tr>
        <w:trPr>
          <w:trHeight w:val="315"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5" w:right="0"/>
              <w:jc w:val="center"/>
              <w:rPr>
                <w:rFonts w:ascii="Times New Roman" w:hAnsi="Times New Roman" w:cs="Times New Roman" w:eastAsia="Times New Roman" w:hint="default"/>
                <w:sz w:val="18"/>
                <w:szCs w:val="18"/>
              </w:rPr>
            </w:pPr>
            <w:r>
              <w:rPr>
                <w:rFonts w:ascii="Times New Roman"/>
                <w:sz w:val="18"/>
              </w:rPr>
              <w:t>49</w:t>
            </w:r>
          </w:p>
        </w:tc>
        <w:tc>
          <w:tcPr>
            <w:tcW w:w="39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3"/>
              <w:jc w:val="center"/>
              <w:rPr>
                <w:rFonts w:ascii="Times New Roman" w:hAnsi="Times New Roman" w:cs="Times New Roman" w:eastAsia="Times New Roman" w:hint="default"/>
                <w:sz w:val="18"/>
                <w:szCs w:val="18"/>
              </w:rPr>
            </w:pPr>
            <w:r>
              <w:rPr>
                <w:rFonts w:ascii="Times New Roman"/>
                <w:sz w:val="18"/>
              </w:rPr>
              <w:t>49</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0" w:right="0"/>
              <w:jc w:val="center"/>
              <w:rPr>
                <w:rFonts w:ascii="Times New Roman" w:hAnsi="Times New Roman" w:cs="Times New Roman" w:eastAsia="Times New Roman" w:hint="default"/>
                <w:sz w:val="18"/>
                <w:szCs w:val="18"/>
              </w:rPr>
            </w:pPr>
            <w:r>
              <w:rPr>
                <w:rFonts w:ascii="Times New Roman"/>
                <w:sz w:val="18"/>
              </w:rPr>
              <w:t>58085638-1</w:t>
            </w:r>
          </w:p>
        </w:tc>
      </w:tr>
    </w:tbl>
    <w:p>
      <w:pPr>
        <w:spacing w:line="240" w:lineRule="auto" w:before="5"/>
        <w:rPr>
          <w:rFonts w:ascii="宋体" w:hAnsi="宋体" w:cs="宋体" w:eastAsia="宋体" w:hint="default"/>
          <w:sz w:val="18"/>
          <w:szCs w:val="18"/>
        </w:rPr>
      </w:pPr>
    </w:p>
    <w:p>
      <w:pPr>
        <w:pStyle w:val="Heading6"/>
        <w:spacing w:line="240" w:lineRule="auto"/>
        <w:ind w:left="733" w:right="0"/>
        <w:jc w:val="left"/>
      </w:pPr>
      <w:r>
        <w:rPr/>
        <w:pict>
          <v:group style="position:absolute;margin-left:50.28001pt;margin-top:47.539696pt;width:494.05pt;height:.5pt;mso-position-horizontal-relative:page;mso-position-vertical-relative:paragraph;z-index:-686224" coordorigin="1006,951" coordsize="9881,10">
            <v:group style="position:absolute;left:1010;top:956;width:4300;height:2" coordorigin="1010,956" coordsize="4300,2">
              <v:shape style="position:absolute;left:1010;top:956;width:4300;height:2" coordorigin="1010,956" coordsize="4300,0" path="m1010,956l5310,956e" filled="false" stroked="true" strokeweight=".47998pt" strokecolor="#000000">
                <v:path arrowok="t"/>
              </v:shape>
            </v:group>
            <v:group style="position:absolute;left:5295;top:956;width:10;height:2" coordorigin="5295,956" coordsize="10,2">
              <v:shape style="position:absolute;left:5295;top:956;width:10;height:2" coordorigin="5295,956" coordsize="10,0" path="m5295,956l5305,956e" filled="false" stroked="true" strokeweight=".47998pt" strokecolor="#000000">
                <v:path arrowok="t"/>
              </v:shape>
            </v:group>
            <v:group style="position:absolute;left:5305;top:956;width:2819;height:2" coordorigin="5305,956" coordsize="2819,2">
              <v:shape style="position:absolute;left:5305;top:956;width:2819;height:2" coordorigin="5305,956" coordsize="2819,0" path="m5305,956l8124,956e" filled="false" stroked="true" strokeweight=".47998pt" strokecolor="#000000">
                <v:path arrowok="t"/>
              </v:shape>
            </v:group>
            <v:group style="position:absolute;left:8109;top:956;width:10;height:2" coordorigin="8109,956" coordsize="10,2">
              <v:shape style="position:absolute;left:8109;top:956;width:10;height:2" coordorigin="8109,956" coordsize="10,0" path="m8109,956l8119,956e" filled="false" stroked="true" strokeweight=".47998pt" strokecolor="#000000">
                <v:path arrowok="t"/>
              </v:shape>
            </v:group>
            <v:group style="position:absolute;left:8119;top:956;width:2763;height:2" coordorigin="8119,956" coordsize="2763,2">
              <v:shape style="position:absolute;left:8119;top:956;width:2763;height:2" coordorigin="8119,956" coordsize="2763,0" path="m8119,956l10882,956e" filled="false" stroked="true" strokeweight=".47998pt" strokecolor="#000000">
                <v:path arrowok="t"/>
              </v:shape>
            </v:group>
            <w10:wrap type="none"/>
          </v:group>
        </w:pict>
      </w:r>
      <w:r>
        <w:rPr>
          <w:rFonts w:ascii="Times New Roman" w:hAnsi="Times New Roman" w:cs="Times New Roman" w:eastAsia="Times New Roman" w:hint="default"/>
        </w:rPr>
        <w:t>5</w:t>
      </w:r>
      <w:r>
        <w:rPr/>
        <w:t>、本公司的其他关联方情况</w:t>
      </w:r>
    </w:p>
    <w:p>
      <w:pPr>
        <w:spacing w:line="240" w:lineRule="auto" w:before="1"/>
        <w:rPr>
          <w:rFonts w:ascii="宋体" w:hAnsi="宋体" w:cs="宋体" w:eastAsia="宋体" w:hint="default"/>
          <w:sz w:val="27"/>
          <w:szCs w:val="27"/>
        </w:rPr>
      </w:pPr>
    </w:p>
    <w:tbl>
      <w:tblPr>
        <w:tblW w:w="0" w:type="auto"/>
        <w:jc w:val="left"/>
        <w:tblInd w:w="1514" w:type="dxa"/>
        <w:tblLayout w:type="fixed"/>
        <w:tblCellMar>
          <w:top w:w="0" w:type="dxa"/>
          <w:left w:w="0" w:type="dxa"/>
          <w:bottom w:w="0" w:type="dxa"/>
          <w:right w:w="0" w:type="dxa"/>
        </w:tblCellMar>
        <w:tblLook w:val="01E0"/>
      </w:tblPr>
      <w:tblGrid>
        <w:gridCol w:w="2427"/>
        <w:gridCol w:w="3574"/>
        <w:gridCol w:w="1909"/>
      </w:tblGrid>
      <w:tr>
        <w:trPr>
          <w:trHeight w:val="275"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574" w:type="dxa"/>
            <w:tcBorders>
              <w:top w:val="nil" w:sz="6" w:space="0" w:color="auto"/>
              <w:left w:val="nil" w:sz="6" w:space="0" w:color="auto"/>
              <w:bottom w:val="nil" w:sz="6" w:space="0" w:color="auto"/>
              <w:right w:val="nil" w:sz="6" w:space="0" w:color="auto"/>
            </w:tcBorders>
          </w:tcPr>
          <w:p>
            <w:pPr>
              <w:pStyle w:val="TableParagraph"/>
              <w:spacing w:line="180" w:lineRule="exact"/>
              <w:ind w:left="963"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c>
          <w:tcPr>
            <w:tcW w:w="1909" w:type="dxa"/>
            <w:tcBorders>
              <w:top w:val="nil" w:sz="6" w:space="0" w:color="auto"/>
              <w:left w:val="nil" w:sz="6" w:space="0" w:color="auto"/>
              <w:bottom w:val="nil" w:sz="6" w:space="0" w:color="auto"/>
              <w:right w:val="nil" w:sz="6" w:space="0" w:color="auto"/>
            </w:tcBorders>
          </w:tcPr>
          <w:p>
            <w:pPr>
              <w:pStyle w:val="TableParagraph"/>
              <w:spacing w:line="180" w:lineRule="exact"/>
              <w:ind w:left="624"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918" w:footer="979" w:top="1100" w:bottom="1180" w:left="820" w:right="920"/>
        </w:sectPr>
      </w:pPr>
    </w:p>
    <w:p>
      <w:pPr>
        <w:spacing w:line="240" w:lineRule="auto" w:before="12"/>
        <w:rPr>
          <w:rFonts w:ascii="宋体" w:hAnsi="宋体" w:cs="宋体" w:eastAsia="宋体" w:hint="default"/>
          <w:sz w:val="24"/>
          <w:szCs w:val="24"/>
        </w:rPr>
      </w:pPr>
      <w:r>
        <w:rPr/>
        <w:pict>
          <v:group style="position:absolute;margin-left:51pt;margin-top:71.999985pt;width:493.35pt;height:.5pt;mso-position-horizontal-relative:page;mso-position-vertical-relative:page;z-index:-686200" coordorigin="1020,1440" coordsize="9867,10">
            <v:group style="position:absolute;left:1025;top:1445;width:4285;height:2" coordorigin="1025,1445" coordsize="4285,2">
              <v:shape style="position:absolute;left:1025;top:1445;width:4285;height:2" coordorigin="1025,1445" coordsize="4285,0" path="m1025,1445l5310,1445e" filled="false" stroked="true" strokeweight=".48pt" strokecolor="#000000">
                <v:path arrowok="t"/>
              </v:shape>
            </v:group>
            <v:group style="position:absolute;left:5310;top:1445;width:10;height:2" coordorigin="5310,1445" coordsize="10,2">
              <v:shape style="position:absolute;left:5310;top:1445;width:10;height:2" coordorigin="5310,1445" coordsize="10,0" path="m5310,1445l5319,1445e" filled="false" stroked="true" strokeweight=".48pt" strokecolor="#000000">
                <v:path arrowok="t"/>
              </v:shape>
            </v:group>
            <v:group style="position:absolute;left:5319;top:1445;width:2805;height:2" coordorigin="5319,1445" coordsize="2805,2">
              <v:shape style="position:absolute;left:5319;top:1445;width:2805;height:2" coordorigin="5319,1445" coordsize="2805,0" path="m5319,1445l8124,1445e" filled="false" stroked="true" strokeweight=".48pt" strokecolor="#000000">
                <v:path arrowok="t"/>
              </v:shape>
            </v:group>
            <v:group style="position:absolute;left:8124;top:1445;width:10;height:2" coordorigin="8124,1445" coordsize="10,2">
              <v:shape style="position:absolute;left:8124;top:1445;width:10;height:2" coordorigin="8124,1445" coordsize="10,0" path="m8124,1445l8133,1445e" filled="false" stroked="true" strokeweight=".48pt" strokecolor="#000000">
                <v:path arrowok="t"/>
              </v:shape>
            </v:group>
            <v:group style="position:absolute;left:8133;top:1445;width:2749;height:2" coordorigin="8133,1445" coordsize="2749,2">
              <v:shape style="position:absolute;left:8133;top:1445;width:2749;height:2" coordorigin="8133,1445" coordsize="2749,0" path="m8133,1445l10882,1445e" filled="false" stroked="true" strokeweight=".48pt" strokecolor="#000000">
                <v:path arrowok="t"/>
              </v:shape>
            </v:group>
            <w10:wrap type="none"/>
          </v:group>
        </w:pict>
      </w:r>
    </w:p>
    <w:tbl>
      <w:tblPr>
        <w:tblW w:w="0" w:type="auto"/>
        <w:jc w:val="left"/>
        <w:tblInd w:w="124" w:type="dxa"/>
        <w:tblLayout w:type="fixed"/>
        <w:tblCellMar>
          <w:top w:w="0" w:type="dxa"/>
          <w:left w:w="0" w:type="dxa"/>
          <w:bottom w:w="0" w:type="dxa"/>
          <w:right w:w="0" w:type="dxa"/>
        </w:tblCellMar>
        <w:tblLook w:val="01E0"/>
      </w:tblPr>
      <w:tblGrid>
        <w:gridCol w:w="4206"/>
        <w:gridCol w:w="2978"/>
        <w:gridCol w:w="1933"/>
      </w:tblGrid>
      <w:tr>
        <w:trPr>
          <w:trHeight w:val="492"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长沙鸿远建筑材料有限责任公司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74318676-6</w:t>
            </w:r>
          </w:p>
        </w:tc>
      </w:tr>
      <w:tr>
        <w:trPr>
          <w:trHeight w:val="441"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湖南星沙中小企业信用担保有限责任公司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pacing w:val="-1"/>
                <w:sz w:val="18"/>
              </w:rPr>
              <w:t>75580342-6</w:t>
            </w:r>
          </w:p>
        </w:tc>
      </w:tr>
      <w:tr>
        <w:trPr>
          <w:trHeight w:val="439"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18414441-1</w:t>
            </w:r>
          </w:p>
        </w:tc>
      </w:tr>
      <w:tr>
        <w:trPr>
          <w:trHeight w:val="440"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湖南天能电机制造有限责任公司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72252127-0</w:t>
            </w:r>
          </w:p>
        </w:tc>
      </w:tr>
      <w:tr>
        <w:trPr>
          <w:trHeight w:val="440"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湖南磐鸿置业有限责任公司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pacing w:val="-1"/>
                <w:sz w:val="18"/>
              </w:rPr>
              <w:t>75803307-6</w:t>
            </w:r>
          </w:p>
        </w:tc>
      </w:tr>
      <w:tr>
        <w:trPr>
          <w:trHeight w:val="315"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湖南鸿大茶叶有限责任公司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72254379-5</w:t>
            </w:r>
          </w:p>
        </w:tc>
      </w:tr>
    </w:tbl>
    <w:p>
      <w:pPr>
        <w:spacing w:line="240" w:lineRule="auto" w:before="9"/>
        <w:rPr>
          <w:rFonts w:ascii="宋体" w:hAnsi="宋体" w:cs="宋体" w:eastAsia="宋体" w:hint="default"/>
          <w:sz w:val="27"/>
          <w:szCs w:val="27"/>
        </w:rPr>
      </w:pPr>
    </w:p>
    <w:p>
      <w:pPr>
        <w:pStyle w:val="Heading6"/>
        <w:spacing w:line="240" w:lineRule="auto"/>
        <w:ind w:left="653" w:right="283"/>
        <w:jc w:val="left"/>
      </w:pPr>
      <w:r>
        <w:rPr>
          <w:rFonts w:ascii="Times New Roman" w:hAnsi="Times New Roman" w:cs="Times New Roman" w:eastAsia="Times New Roman" w:hint="default"/>
        </w:rPr>
        <w:t>6</w:t>
      </w:r>
      <w:r>
        <w:rPr/>
        <w:t>、关联方交易</w:t>
      </w:r>
    </w:p>
    <w:p>
      <w:pPr>
        <w:spacing w:line="240" w:lineRule="auto" w:before="1"/>
        <w:rPr>
          <w:rFonts w:ascii="宋体" w:hAnsi="宋体" w:cs="宋体" w:eastAsia="宋体" w:hint="default"/>
          <w:sz w:val="20"/>
          <w:szCs w:val="20"/>
        </w:rPr>
      </w:pPr>
    </w:p>
    <w:p>
      <w:pPr>
        <w:pStyle w:val="BodyText"/>
        <w:spacing w:line="240" w:lineRule="auto"/>
        <w:ind w:left="593" w:right="283"/>
        <w:jc w:val="left"/>
      </w:pPr>
      <w:r>
        <w:rPr/>
        <w:t>（</w:t>
      </w:r>
      <w:r>
        <w:rPr>
          <w:rFonts w:ascii="Times New Roman" w:hAnsi="Times New Roman" w:cs="Times New Roman" w:eastAsia="Times New Roman" w:hint="default"/>
        </w:rPr>
        <w:t>1</w:t>
      </w:r>
      <w:r>
        <w:rPr/>
        <w:t>）采购商品情况表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tbl>
      <w:tblPr>
        <w:tblW w:w="0" w:type="auto"/>
        <w:jc w:val="left"/>
        <w:tblInd w:w="202" w:type="dxa"/>
        <w:tblLayout w:type="fixed"/>
        <w:tblCellMar>
          <w:top w:w="0" w:type="dxa"/>
          <w:left w:w="0" w:type="dxa"/>
          <w:bottom w:w="0" w:type="dxa"/>
          <w:right w:w="0" w:type="dxa"/>
        </w:tblCellMar>
        <w:tblLook w:val="01E0"/>
      </w:tblPr>
      <w:tblGrid>
        <w:gridCol w:w="2739"/>
        <w:gridCol w:w="928"/>
        <w:gridCol w:w="1459"/>
        <w:gridCol w:w="1121"/>
        <w:gridCol w:w="1292"/>
        <w:gridCol w:w="1033"/>
        <w:gridCol w:w="1128"/>
      </w:tblGrid>
      <w:tr>
        <w:trPr>
          <w:trHeight w:val="186" w:hRule="exact"/>
        </w:trPr>
        <w:tc>
          <w:tcPr>
            <w:tcW w:w="7540" w:type="dxa"/>
            <w:gridSpan w:val="5"/>
            <w:tcBorders>
              <w:top w:val="nil" w:sz="6" w:space="0" w:color="auto"/>
              <w:left w:val="nil" w:sz="6" w:space="0" w:color="auto"/>
              <w:bottom w:val="nil" w:sz="6" w:space="0" w:color="auto"/>
              <w:right w:val="nil" w:sz="6" w:space="0" w:color="auto"/>
            </w:tcBorders>
          </w:tcPr>
          <w:p>
            <w:pPr>
              <w:pStyle w:val="TableParagraph"/>
              <w:spacing w:line="151" w:lineRule="exact"/>
              <w:ind w:right="958"/>
              <w:jc w:val="right"/>
              <w:rPr>
                <w:rFonts w:ascii="宋体" w:hAnsi="宋体" w:cs="宋体" w:eastAsia="宋体" w:hint="default"/>
                <w:sz w:val="15"/>
                <w:szCs w:val="15"/>
              </w:rPr>
            </w:pPr>
            <w:r>
              <w:rPr>
                <w:rFonts w:ascii="宋体" w:hAnsi="宋体" w:cs="宋体" w:eastAsia="宋体" w:hint="default"/>
                <w:b/>
                <w:bCs/>
                <w:sz w:val="15"/>
                <w:szCs w:val="15"/>
              </w:rPr>
              <w:t>本期发生额</w:t>
            </w:r>
            <w:r>
              <w:rPr>
                <w:rFonts w:ascii="宋体" w:hAnsi="宋体" w:cs="宋体" w:eastAsia="宋体" w:hint="default"/>
                <w:sz w:val="15"/>
                <w:szCs w:val="15"/>
              </w:rPr>
            </w:r>
          </w:p>
        </w:tc>
        <w:tc>
          <w:tcPr>
            <w:tcW w:w="2161"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643" w:right="0"/>
              <w:jc w:val="left"/>
              <w:rPr>
                <w:rFonts w:ascii="宋体" w:hAnsi="宋体" w:cs="宋体" w:eastAsia="宋体" w:hint="default"/>
                <w:sz w:val="15"/>
                <w:szCs w:val="15"/>
              </w:rPr>
            </w:pPr>
            <w:r>
              <w:rPr>
                <w:rFonts w:ascii="宋体" w:hAnsi="宋体" w:cs="宋体" w:eastAsia="宋体" w:hint="default"/>
                <w:b/>
                <w:bCs/>
                <w:sz w:val="15"/>
                <w:szCs w:val="15"/>
              </w:rPr>
              <w:t>上期发生额</w:t>
            </w:r>
            <w:r>
              <w:rPr>
                <w:rFonts w:ascii="宋体" w:hAnsi="宋体" w:cs="宋体" w:eastAsia="宋体" w:hint="default"/>
                <w:sz w:val="15"/>
                <w:szCs w:val="15"/>
              </w:rPr>
            </w:r>
          </w:p>
        </w:tc>
      </w:tr>
      <w:tr>
        <w:trPr>
          <w:trHeight w:val="400"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1" w:right="0"/>
              <w:jc w:val="center"/>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tc>
        <w:tc>
          <w:tcPr>
            <w:tcW w:w="928" w:type="dxa"/>
            <w:vMerge w:val="restart"/>
            <w:tcBorders>
              <w:top w:val="nil" w:sz="6" w:space="0" w:color="auto"/>
              <w:left w:val="nil" w:sz="6" w:space="0" w:color="auto"/>
              <w:right w:val="nil" w:sz="6" w:space="0" w:color="auto"/>
            </w:tcBorders>
          </w:tcPr>
          <w:p>
            <w:pPr>
              <w:pStyle w:val="TableParagraph"/>
              <w:spacing w:line="186" w:lineRule="exact"/>
              <w:ind w:left="176" w:right="0"/>
              <w:jc w:val="center"/>
              <w:rPr>
                <w:rFonts w:ascii="宋体" w:hAnsi="宋体" w:cs="宋体" w:eastAsia="宋体" w:hint="default"/>
                <w:sz w:val="15"/>
                <w:szCs w:val="15"/>
              </w:rPr>
            </w:pPr>
            <w:r>
              <w:rPr>
                <w:rFonts w:ascii="宋体" w:hAnsi="宋体" w:cs="宋体" w:eastAsia="宋体" w:hint="default"/>
                <w:b/>
                <w:bCs/>
                <w:sz w:val="15"/>
                <w:szCs w:val="15"/>
              </w:rPr>
              <w:t>关联交易</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67" w:right="0"/>
              <w:jc w:val="center"/>
              <w:rPr>
                <w:rFonts w:ascii="宋体" w:hAnsi="宋体" w:cs="宋体" w:eastAsia="宋体" w:hint="default"/>
                <w:sz w:val="15"/>
                <w:szCs w:val="15"/>
              </w:rPr>
            </w:pPr>
            <w:r>
              <w:rPr>
                <w:rFonts w:ascii="宋体" w:hAnsi="宋体" w:cs="宋体" w:eastAsia="宋体" w:hint="default"/>
                <w:b/>
                <w:bCs/>
                <w:sz w:val="15"/>
                <w:szCs w:val="15"/>
              </w:rPr>
              <w:t>内容</w:t>
            </w:r>
            <w:r>
              <w:rPr>
                <w:rFonts w:ascii="宋体" w:hAnsi="宋体" w:cs="宋体" w:eastAsia="宋体" w:hint="default"/>
                <w:sz w:val="15"/>
                <w:szCs w:val="15"/>
              </w:rPr>
            </w:r>
          </w:p>
        </w:tc>
        <w:tc>
          <w:tcPr>
            <w:tcW w:w="1459" w:type="dxa"/>
            <w:vMerge w:val="restart"/>
            <w:tcBorders>
              <w:top w:val="nil" w:sz="6" w:space="0" w:color="auto"/>
              <w:left w:val="nil" w:sz="6" w:space="0" w:color="auto"/>
              <w:right w:val="nil" w:sz="6" w:space="0" w:color="auto"/>
            </w:tcBorders>
          </w:tcPr>
          <w:p>
            <w:pPr>
              <w:pStyle w:val="TableParagraph"/>
              <w:spacing w:line="186" w:lineRule="exact"/>
              <w:ind w:right="103"/>
              <w:jc w:val="center"/>
              <w:rPr>
                <w:rFonts w:ascii="宋体" w:hAnsi="宋体" w:cs="宋体" w:eastAsia="宋体" w:hint="default"/>
                <w:sz w:val="15"/>
                <w:szCs w:val="15"/>
              </w:rPr>
            </w:pPr>
            <w:r>
              <w:rPr>
                <w:rFonts w:ascii="宋体" w:hAnsi="宋体" w:cs="宋体" w:eastAsia="宋体" w:hint="default"/>
                <w:b/>
                <w:bCs/>
                <w:sz w:val="15"/>
                <w:szCs w:val="15"/>
              </w:rPr>
              <w:t>关联方定价方式及</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5"/>
              <w:jc w:val="center"/>
              <w:rPr>
                <w:rFonts w:ascii="宋体" w:hAnsi="宋体" w:cs="宋体" w:eastAsia="宋体" w:hint="default"/>
                <w:sz w:val="15"/>
                <w:szCs w:val="15"/>
              </w:rPr>
            </w:pPr>
            <w:r>
              <w:rPr>
                <w:rFonts w:ascii="宋体" w:hAnsi="宋体" w:cs="宋体" w:eastAsia="宋体" w:hint="default"/>
                <w:b/>
                <w:bCs/>
                <w:sz w:val="15"/>
                <w:szCs w:val="15"/>
              </w:rPr>
              <w:t>决策程序</w:t>
            </w:r>
            <w:r>
              <w:rPr>
                <w:rFonts w:ascii="宋体" w:hAnsi="宋体" w:cs="宋体" w:eastAsia="宋体" w:hint="default"/>
                <w:sz w:val="15"/>
                <w:szCs w:val="15"/>
              </w:rPr>
            </w:r>
          </w:p>
        </w:tc>
        <w:tc>
          <w:tcPr>
            <w:tcW w:w="1121" w:type="dxa"/>
            <w:tcBorders>
              <w:top w:val="nil" w:sz="6" w:space="0" w:color="auto"/>
              <w:left w:val="nil" w:sz="6" w:space="0" w:color="auto"/>
              <w:bottom w:val="nil" w:sz="6" w:space="0" w:color="auto"/>
              <w:right w:val="nil" w:sz="6" w:space="0" w:color="auto"/>
            </w:tcBorders>
          </w:tcPr>
          <w:p>
            <w:pPr/>
          </w:p>
        </w:tc>
        <w:tc>
          <w:tcPr>
            <w:tcW w:w="1292" w:type="dxa"/>
            <w:vMerge w:val="restart"/>
            <w:tcBorders>
              <w:top w:val="nil" w:sz="6" w:space="0" w:color="auto"/>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192" w:right="154" w:hanging="113"/>
              <w:jc w:val="left"/>
              <w:rPr>
                <w:rFonts w:ascii="宋体" w:hAnsi="宋体" w:cs="宋体" w:eastAsia="宋体" w:hint="default"/>
                <w:sz w:val="15"/>
                <w:szCs w:val="15"/>
              </w:rPr>
            </w:pPr>
            <w:r>
              <w:rPr>
                <w:rFonts w:ascii="宋体" w:hAnsi="宋体" w:cs="宋体" w:eastAsia="宋体" w:hint="default"/>
                <w:b/>
                <w:bCs/>
                <w:spacing w:val="-1"/>
                <w:sz w:val="15"/>
                <w:szCs w:val="15"/>
              </w:rPr>
              <w:t>占同类交易金额</w:t>
            </w:r>
            <w:r>
              <w:rPr>
                <w:rFonts w:ascii="宋体" w:hAnsi="宋体" w:cs="宋体" w:eastAsia="宋体" w:hint="default"/>
                <w:b/>
                <w:bCs/>
                <w:spacing w:val="-68"/>
                <w:sz w:val="15"/>
                <w:szCs w:val="15"/>
              </w:rPr>
              <w:t> </w:t>
            </w:r>
            <w:r>
              <w:rPr>
                <w:rFonts w:ascii="宋体" w:hAnsi="宋体" w:cs="宋体" w:eastAsia="宋体" w:hint="default"/>
                <w:b/>
                <w:bCs/>
                <w:spacing w:val="-68"/>
                <w:sz w:val="15"/>
                <w:szCs w:val="15"/>
              </w:rPr>
            </w:r>
            <w:r>
              <w:rPr>
                <w:rFonts w:ascii="宋体" w:hAnsi="宋体" w:cs="宋体" w:eastAsia="宋体" w:hint="default"/>
                <w:b/>
                <w:bCs/>
                <w:sz w:val="15"/>
                <w:szCs w:val="15"/>
              </w:rPr>
              <w:t>的比例（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33" w:type="dxa"/>
            <w:tcBorders>
              <w:top w:val="nil" w:sz="6" w:space="0" w:color="auto"/>
              <w:left w:val="nil" w:sz="6" w:space="0" w:color="auto"/>
              <w:bottom w:val="nil" w:sz="6" w:space="0" w:color="auto"/>
              <w:right w:val="nil" w:sz="6" w:space="0" w:color="auto"/>
            </w:tcBorders>
          </w:tcPr>
          <w:p>
            <w:pPr/>
          </w:p>
        </w:tc>
        <w:tc>
          <w:tcPr>
            <w:tcW w:w="1128" w:type="dxa"/>
            <w:vMerge w:val="restart"/>
            <w:tcBorders>
              <w:top w:val="nil" w:sz="6" w:space="0" w:color="auto"/>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439" w:lineRule="auto"/>
              <w:ind w:left="88" w:right="55" w:firstLine="38"/>
              <w:jc w:val="left"/>
              <w:rPr>
                <w:rFonts w:ascii="宋体" w:hAnsi="宋体" w:cs="宋体" w:eastAsia="宋体" w:hint="default"/>
                <w:sz w:val="15"/>
                <w:szCs w:val="15"/>
              </w:rPr>
            </w:pPr>
            <w:r>
              <w:rPr>
                <w:rFonts w:ascii="宋体" w:hAnsi="宋体" w:cs="宋体" w:eastAsia="宋体" w:hint="default"/>
                <w:b/>
                <w:bCs/>
                <w:sz w:val="15"/>
                <w:szCs w:val="15"/>
              </w:rPr>
              <w:t>占同类交易金</w:t>
            </w:r>
            <w:r>
              <w:rPr>
                <w:rFonts w:ascii="宋体" w:hAnsi="宋体" w:cs="宋体" w:eastAsia="宋体" w:hint="default"/>
                <w:b/>
                <w:bCs/>
                <w:w w:val="100"/>
                <w:sz w:val="15"/>
                <w:szCs w:val="15"/>
              </w:rPr>
              <w:t> </w:t>
            </w:r>
            <w:r>
              <w:rPr>
                <w:rFonts w:ascii="宋体" w:hAnsi="宋体" w:cs="宋体" w:eastAsia="宋体" w:hint="default"/>
                <w:b/>
                <w:bCs/>
                <w:sz w:val="15"/>
                <w:szCs w:val="15"/>
              </w:rPr>
              <w:t>额的比例（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64" w:hRule="exact"/>
        </w:trPr>
        <w:tc>
          <w:tcPr>
            <w:tcW w:w="2739" w:type="dxa"/>
            <w:tcBorders>
              <w:top w:val="nil" w:sz="6" w:space="0" w:color="auto"/>
              <w:left w:val="nil" w:sz="6" w:space="0" w:color="auto"/>
              <w:bottom w:val="single" w:sz="4" w:space="0" w:color="000000"/>
              <w:right w:val="nil" w:sz="6" w:space="0" w:color="auto"/>
            </w:tcBorders>
          </w:tcPr>
          <w:p>
            <w:pPr/>
          </w:p>
        </w:tc>
        <w:tc>
          <w:tcPr>
            <w:tcW w:w="928" w:type="dxa"/>
            <w:vMerge/>
            <w:tcBorders>
              <w:left w:val="nil" w:sz="6" w:space="0" w:color="auto"/>
              <w:bottom w:val="single" w:sz="4" w:space="0" w:color="000000"/>
              <w:right w:val="nil" w:sz="6" w:space="0" w:color="auto"/>
            </w:tcBorders>
          </w:tcPr>
          <w:p>
            <w:pPr/>
          </w:p>
        </w:tc>
        <w:tc>
          <w:tcPr>
            <w:tcW w:w="1459" w:type="dxa"/>
            <w:vMerge/>
            <w:tcBorders>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Style w:val="TableParagraph"/>
              <w:spacing w:line="185" w:lineRule="exact"/>
              <w:ind w:left="356"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292" w:type="dxa"/>
            <w:vMerge/>
            <w:tcBorders>
              <w:left w:val="nil" w:sz="6" w:space="0" w:color="auto"/>
              <w:bottom w:val="single" w:sz="4" w:space="0" w:color="000000"/>
              <w:right w:val="nil" w:sz="6" w:space="0" w:color="auto"/>
            </w:tcBorders>
          </w:tcPr>
          <w:p>
            <w:pPr/>
          </w:p>
        </w:tc>
        <w:tc>
          <w:tcPr>
            <w:tcW w:w="1033" w:type="dxa"/>
            <w:tcBorders>
              <w:top w:val="nil" w:sz="6" w:space="0" w:color="auto"/>
              <w:left w:val="nil" w:sz="6" w:space="0" w:color="auto"/>
              <w:bottom w:val="single" w:sz="4" w:space="0" w:color="000000"/>
              <w:right w:val="nil" w:sz="6" w:space="0" w:color="auto"/>
            </w:tcBorders>
          </w:tcPr>
          <w:p>
            <w:pPr>
              <w:pStyle w:val="TableParagraph"/>
              <w:spacing w:line="185" w:lineRule="exact"/>
              <w:ind w:left="321"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28" w:type="dxa"/>
            <w:vMerge/>
            <w:tcBorders>
              <w:left w:val="nil" w:sz="6" w:space="0" w:color="auto"/>
              <w:bottom w:val="single" w:sz="4" w:space="0" w:color="000000"/>
              <w:right w:val="nil" w:sz="6" w:space="0" w:color="auto"/>
            </w:tcBorders>
          </w:tcPr>
          <w:p>
            <w:pPr/>
          </w:p>
        </w:tc>
      </w:tr>
      <w:tr>
        <w:trPr>
          <w:trHeight w:val="501" w:hRule="exact"/>
        </w:trPr>
        <w:tc>
          <w:tcPr>
            <w:tcW w:w="273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江苏凤凰天舟新媒体发展有限责任公司</w:t>
            </w: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采购图书</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2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8"/>
              <w:jc w:val="right"/>
              <w:rPr>
                <w:rFonts w:ascii="Times New Roman" w:hAnsi="Times New Roman" w:cs="Times New Roman" w:eastAsia="Times New Roman" w:hint="default"/>
                <w:sz w:val="15"/>
                <w:szCs w:val="15"/>
              </w:rPr>
            </w:pPr>
            <w:r>
              <w:rPr>
                <w:rFonts w:ascii="Times New Roman"/>
                <w:spacing w:val="-1"/>
                <w:sz w:val="15"/>
              </w:rPr>
              <w:t>20,569,696.27</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14"/>
              <w:jc w:val="right"/>
              <w:rPr>
                <w:rFonts w:ascii="Times New Roman" w:hAnsi="Times New Roman" w:cs="Times New Roman" w:eastAsia="Times New Roman" w:hint="default"/>
                <w:sz w:val="15"/>
                <w:szCs w:val="15"/>
              </w:rPr>
            </w:pPr>
            <w:r>
              <w:rPr>
                <w:rFonts w:ascii="Times New Roman"/>
                <w:spacing w:val="-1"/>
                <w:sz w:val="15"/>
              </w:rPr>
              <w:t>10.66</w:t>
            </w:r>
          </w:p>
        </w:tc>
        <w:tc>
          <w:tcPr>
            <w:tcW w:w="103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spacing w:val="-1"/>
                <w:sz w:val="15"/>
              </w:rPr>
              <w:t>5,579,127.29</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85"/>
              <w:jc w:val="right"/>
              <w:rPr>
                <w:rFonts w:ascii="Times New Roman" w:hAnsi="Times New Roman" w:cs="Times New Roman" w:eastAsia="Times New Roman" w:hint="default"/>
                <w:sz w:val="15"/>
                <w:szCs w:val="15"/>
              </w:rPr>
            </w:pPr>
            <w:r>
              <w:rPr>
                <w:rFonts w:ascii="Times New Roman"/>
                <w:spacing w:val="-1"/>
                <w:sz w:val="15"/>
              </w:rPr>
              <w:t>2.65</w:t>
            </w:r>
          </w:p>
        </w:tc>
      </w:tr>
      <w:tr>
        <w:trPr>
          <w:trHeight w:val="439"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1" w:right="0"/>
              <w:jc w:val="left"/>
              <w:rPr>
                <w:rFonts w:ascii="宋体" w:hAnsi="宋体" w:cs="宋体" w:eastAsia="宋体" w:hint="default"/>
                <w:sz w:val="15"/>
                <w:szCs w:val="15"/>
              </w:rPr>
            </w:pPr>
            <w:r>
              <w:rPr>
                <w:rFonts w:ascii="宋体" w:hAnsi="宋体" w:cs="宋体" w:eastAsia="宋体" w:hint="default"/>
                <w:sz w:val="15"/>
                <w:szCs w:val="15"/>
              </w:rPr>
              <w:t>北京北舟文化传媒有限责任公司</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 w:right="0"/>
              <w:jc w:val="center"/>
              <w:rPr>
                <w:rFonts w:ascii="宋体" w:hAnsi="宋体" w:cs="宋体" w:eastAsia="宋体" w:hint="default"/>
                <w:sz w:val="15"/>
                <w:szCs w:val="15"/>
              </w:rPr>
            </w:pPr>
            <w:r>
              <w:rPr>
                <w:rFonts w:ascii="宋体" w:hAnsi="宋体" w:cs="宋体" w:eastAsia="宋体" w:hint="default"/>
                <w:sz w:val="15"/>
                <w:szCs w:val="15"/>
              </w:rPr>
              <w:t>采购图书</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3"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8"/>
              <w:jc w:val="right"/>
              <w:rPr>
                <w:rFonts w:ascii="Times New Roman" w:hAnsi="Times New Roman" w:cs="Times New Roman" w:eastAsia="Times New Roman" w:hint="default"/>
                <w:sz w:val="15"/>
                <w:szCs w:val="15"/>
              </w:rPr>
            </w:pPr>
            <w:r>
              <w:rPr>
                <w:rFonts w:ascii="Times New Roman"/>
                <w:spacing w:val="-1"/>
                <w:sz w:val="15"/>
              </w:rPr>
              <w:t>3,863,591.15</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14"/>
              <w:jc w:val="right"/>
              <w:rPr>
                <w:rFonts w:ascii="Times New Roman" w:hAnsi="Times New Roman" w:cs="Times New Roman" w:eastAsia="Times New Roman" w:hint="default"/>
                <w:sz w:val="15"/>
                <w:szCs w:val="15"/>
              </w:rPr>
            </w:pPr>
            <w:r>
              <w:rPr>
                <w:rFonts w:ascii="Times New Roman"/>
                <w:spacing w:val="-1"/>
                <w:sz w:val="15"/>
              </w:rPr>
              <w:t>2.00</w:t>
            </w:r>
          </w:p>
        </w:tc>
        <w:tc>
          <w:tcPr>
            <w:tcW w:w="103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440"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3"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28"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24,433,287.42</w:t>
            </w:r>
            <w:r>
              <w:rPr>
                <w:rFonts w:ascii="Times New Roman"/>
                <w:spacing w:val="-1"/>
                <w:sz w:val="15"/>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1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12.66</w:t>
            </w:r>
            <w:r>
              <w:rPr>
                <w:rFonts w:ascii="Times New Roman"/>
                <w:spacing w:val="-1"/>
                <w:sz w:val="15"/>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5,579,127.29</w:t>
            </w:r>
            <w:r>
              <w:rPr>
                <w:rFonts w:ascii="Times New Roman"/>
                <w:spacing w:val="-1"/>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8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2.65</w:t>
            </w:r>
            <w:r>
              <w:rPr>
                <w:rFonts w:ascii="Times New Roman"/>
                <w:spacing w:val="-1"/>
                <w:sz w:val="15"/>
              </w:rPr>
            </w:r>
          </w:p>
        </w:tc>
      </w:tr>
      <w:tr>
        <w:trPr>
          <w:trHeight w:val="441"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1" w:right="0"/>
              <w:jc w:val="left"/>
              <w:rPr>
                <w:rFonts w:ascii="宋体" w:hAnsi="宋体" w:cs="宋体" w:eastAsia="宋体" w:hint="default"/>
                <w:sz w:val="15"/>
                <w:szCs w:val="15"/>
              </w:rPr>
            </w:pPr>
            <w:r>
              <w:rPr>
                <w:rFonts w:ascii="宋体" w:hAnsi="宋体" w:cs="宋体" w:eastAsia="宋体" w:hint="default"/>
                <w:sz w:val="15"/>
                <w:szCs w:val="15"/>
              </w:rPr>
              <w:t>湖南鸿大茶叶有限责任公司</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 w:right="0"/>
              <w:jc w:val="center"/>
              <w:rPr>
                <w:rFonts w:ascii="宋体" w:hAnsi="宋体" w:cs="宋体" w:eastAsia="宋体" w:hint="default"/>
                <w:sz w:val="15"/>
                <w:szCs w:val="15"/>
              </w:rPr>
            </w:pPr>
            <w:r>
              <w:rPr>
                <w:rFonts w:ascii="宋体" w:hAnsi="宋体" w:cs="宋体" w:eastAsia="宋体" w:hint="default"/>
                <w:sz w:val="15"/>
                <w:szCs w:val="15"/>
              </w:rPr>
              <w:t>采购茶叶</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3"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78"/>
              <w:jc w:val="right"/>
              <w:rPr>
                <w:rFonts w:ascii="Times New Roman" w:hAnsi="Times New Roman" w:cs="Times New Roman" w:eastAsia="Times New Roman" w:hint="default"/>
                <w:sz w:val="15"/>
                <w:szCs w:val="15"/>
              </w:rPr>
            </w:pPr>
            <w:r>
              <w:rPr>
                <w:rFonts w:ascii="Times New Roman"/>
                <w:spacing w:val="-2"/>
                <w:sz w:val="15"/>
              </w:rPr>
              <w:t>113,697.00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414"/>
              <w:jc w:val="right"/>
              <w:rPr>
                <w:rFonts w:ascii="Times New Roman" w:hAnsi="Times New Roman" w:cs="Times New Roman" w:eastAsia="Times New Roman" w:hint="default"/>
                <w:sz w:val="15"/>
                <w:szCs w:val="15"/>
              </w:rPr>
            </w:pPr>
            <w:r>
              <w:rPr>
                <w:rFonts w:ascii="Times New Roman"/>
                <w:spacing w:val="-1"/>
                <w:sz w:val="15"/>
              </w:rPr>
              <w:t>45.25</w:t>
            </w:r>
          </w:p>
        </w:tc>
        <w:tc>
          <w:tcPr>
            <w:tcW w:w="103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300"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3"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28"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113,697.00</w:t>
            </w:r>
            <w:r>
              <w:rPr>
                <w:rFonts w:ascii="Times New Roman"/>
                <w:spacing w:val="-2"/>
                <w:sz w:val="15"/>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1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45.25</w:t>
            </w:r>
            <w:r>
              <w:rPr>
                <w:rFonts w:ascii="Times New Roman"/>
                <w:spacing w:val="-1"/>
                <w:sz w:val="15"/>
              </w:rPr>
            </w:r>
          </w:p>
        </w:tc>
        <w:tc>
          <w:tcPr>
            <w:tcW w:w="103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0"/>
          <w:szCs w:val="20"/>
        </w:rPr>
      </w:pPr>
    </w:p>
    <w:p>
      <w:pPr>
        <w:pStyle w:val="BodyText"/>
        <w:spacing w:line="240" w:lineRule="auto" w:before="44"/>
        <w:ind w:left="593" w:right="283"/>
        <w:jc w:val="left"/>
      </w:pPr>
      <w:r>
        <w:rPr/>
        <w:t>（</w:t>
      </w:r>
      <w:r>
        <w:rPr>
          <w:rFonts w:ascii="Times New Roman" w:hAnsi="Times New Roman" w:cs="Times New Roman" w:eastAsia="Times New Roman" w:hint="default"/>
        </w:rPr>
        <w:t>2</w:t>
      </w:r>
      <w:r>
        <w:rPr/>
        <w:t>）出售商品情况表</w:t>
      </w:r>
    </w:p>
    <w:p>
      <w:pPr>
        <w:spacing w:line="240" w:lineRule="auto" w:before="6"/>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451"/>
        <w:gridCol w:w="1200"/>
        <w:gridCol w:w="1320"/>
        <w:gridCol w:w="1052"/>
        <w:gridCol w:w="1591"/>
        <w:gridCol w:w="797"/>
        <w:gridCol w:w="1474"/>
      </w:tblGrid>
      <w:tr>
        <w:trPr>
          <w:trHeight w:val="186" w:hRule="exact"/>
        </w:trPr>
        <w:tc>
          <w:tcPr>
            <w:tcW w:w="7614" w:type="dxa"/>
            <w:gridSpan w:val="5"/>
            <w:tcBorders>
              <w:top w:val="nil" w:sz="6" w:space="0" w:color="auto"/>
              <w:left w:val="nil" w:sz="6" w:space="0" w:color="auto"/>
              <w:bottom w:val="nil" w:sz="6" w:space="0" w:color="auto"/>
              <w:right w:val="nil" w:sz="6" w:space="0" w:color="auto"/>
            </w:tcBorders>
          </w:tcPr>
          <w:p>
            <w:pPr>
              <w:pStyle w:val="TableParagraph"/>
              <w:spacing w:line="151" w:lineRule="exact"/>
              <w:ind w:right="1061"/>
              <w:jc w:val="right"/>
              <w:rPr>
                <w:rFonts w:ascii="宋体" w:hAnsi="宋体" w:cs="宋体" w:eastAsia="宋体" w:hint="default"/>
                <w:sz w:val="15"/>
                <w:szCs w:val="15"/>
              </w:rPr>
            </w:pPr>
            <w:r>
              <w:rPr>
                <w:rFonts w:ascii="宋体" w:hAnsi="宋体" w:cs="宋体" w:eastAsia="宋体" w:hint="default"/>
                <w:b/>
                <w:bCs/>
                <w:sz w:val="15"/>
                <w:szCs w:val="15"/>
              </w:rPr>
              <w:t>本期发生额</w:t>
            </w:r>
            <w:r>
              <w:rPr>
                <w:rFonts w:ascii="宋体" w:hAnsi="宋体" w:cs="宋体" w:eastAsia="宋体" w:hint="default"/>
                <w:sz w:val="15"/>
                <w:szCs w:val="15"/>
              </w:rPr>
            </w:r>
          </w:p>
        </w:tc>
        <w:tc>
          <w:tcPr>
            <w:tcW w:w="2271"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662" w:right="0"/>
              <w:jc w:val="left"/>
              <w:rPr>
                <w:rFonts w:ascii="宋体" w:hAnsi="宋体" w:cs="宋体" w:eastAsia="宋体" w:hint="default"/>
                <w:sz w:val="15"/>
                <w:szCs w:val="15"/>
              </w:rPr>
            </w:pPr>
            <w:r>
              <w:rPr>
                <w:rFonts w:ascii="宋体" w:hAnsi="宋体" w:cs="宋体" w:eastAsia="宋体" w:hint="default"/>
                <w:b/>
                <w:bCs/>
                <w:sz w:val="15"/>
                <w:szCs w:val="15"/>
              </w:rPr>
              <w:t>上期发生额</w:t>
            </w:r>
            <w:r>
              <w:rPr>
                <w:rFonts w:ascii="宋体" w:hAnsi="宋体" w:cs="宋体" w:eastAsia="宋体" w:hint="default"/>
                <w:sz w:val="15"/>
                <w:szCs w:val="15"/>
              </w:rPr>
            </w:r>
          </w:p>
        </w:tc>
      </w:tr>
      <w:tr>
        <w:trPr>
          <w:trHeight w:val="401" w:hRule="exact"/>
        </w:trPr>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1" w:right="0"/>
              <w:jc w:val="center"/>
              <w:rPr>
                <w:rFonts w:ascii="宋体" w:hAnsi="宋体" w:cs="宋体" w:eastAsia="宋体" w:hint="default"/>
                <w:sz w:val="15"/>
                <w:szCs w:val="15"/>
              </w:rPr>
            </w:pPr>
            <w:r>
              <w:rPr>
                <w:rFonts w:ascii="宋体" w:hAnsi="宋体" w:cs="宋体" w:eastAsia="宋体" w:hint="default"/>
                <w:b/>
                <w:bCs/>
                <w:sz w:val="15"/>
                <w:szCs w:val="15"/>
              </w:rPr>
              <w:t>关联交易内容</w:t>
            </w:r>
            <w:r>
              <w:rPr>
                <w:rFonts w:ascii="宋体" w:hAnsi="宋体" w:cs="宋体" w:eastAsia="宋体" w:hint="default"/>
                <w:sz w:val="15"/>
                <w:szCs w:val="15"/>
              </w:rPr>
            </w:r>
          </w:p>
        </w:tc>
        <w:tc>
          <w:tcPr>
            <w:tcW w:w="1320" w:type="dxa"/>
            <w:vMerge w:val="restart"/>
            <w:tcBorders>
              <w:top w:val="nil" w:sz="6" w:space="0" w:color="auto"/>
              <w:left w:val="nil" w:sz="6" w:space="0" w:color="auto"/>
              <w:right w:val="nil" w:sz="6" w:space="0" w:color="auto"/>
            </w:tcBorders>
          </w:tcPr>
          <w:p>
            <w:pPr>
              <w:pStyle w:val="TableParagraph"/>
              <w:spacing w:line="186" w:lineRule="exact"/>
              <w:ind w:right="7"/>
              <w:jc w:val="center"/>
              <w:rPr>
                <w:rFonts w:ascii="宋体" w:hAnsi="宋体" w:cs="宋体" w:eastAsia="宋体" w:hint="default"/>
                <w:sz w:val="15"/>
                <w:szCs w:val="15"/>
              </w:rPr>
            </w:pPr>
            <w:r>
              <w:rPr>
                <w:rFonts w:ascii="宋体" w:hAnsi="宋体" w:cs="宋体" w:eastAsia="宋体" w:hint="default"/>
                <w:b/>
                <w:bCs/>
                <w:sz w:val="15"/>
                <w:szCs w:val="15"/>
              </w:rPr>
              <w:t>关联方定价方式</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b/>
                <w:bCs/>
                <w:sz w:val="15"/>
                <w:szCs w:val="15"/>
              </w:rPr>
              <w:t>及决策程序</w:t>
            </w:r>
            <w:r>
              <w:rPr>
                <w:rFonts w:ascii="宋体" w:hAnsi="宋体" w:cs="宋体" w:eastAsia="宋体" w:hint="default"/>
                <w:sz w:val="15"/>
                <w:szCs w:val="15"/>
              </w:rPr>
            </w:r>
          </w:p>
        </w:tc>
        <w:tc>
          <w:tcPr>
            <w:tcW w:w="1052" w:type="dxa"/>
            <w:tcBorders>
              <w:top w:val="nil" w:sz="6" w:space="0" w:color="auto"/>
              <w:left w:val="nil" w:sz="6" w:space="0" w:color="auto"/>
              <w:bottom w:val="nil" w:sz="6" w:space="0" w:color="auto"/>
              <w:right w:val="nil" w:sz="6" w:space="0" w:color="auto"/>
            </w:tcBorders>
          </w:tcPr>
          <w:p>
            <w:pPr/>
          </w:p>
        </w:tc>
        <w:tc>
          <w:tcPr>
            <w:tcW w:w="1591" w:type="dxa"/>
            <w:vMerge w:val="restart"/>
            <w:tcBorders>
              <w:top w:val="nil" w:sz="6" w:space="0" w:color="auto"/>
              <w:left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436" w:lineRule="auto"/>
              <w:ind w:left="390" w:right="255" w:hanging="264"/>
              <w:jc w:val="left"/>
              <w:rPr>
                <w:rFonts w:ascii="宋体" w:hAnsi="宋体" w:cs="宋体" w:eastAsia="宋体" w:hint="default"/>
                <w:sz w:val="15"/>
                <w:szCs w:val="15"/>
              </w:rPr>
            </w:pPr>
            <w:r>
              <w:rPr>
                <w:rFonts w:ascii="宋体" w:hAnsi="宋体" w:cs="宋体" w:eastAsia="宋体" w:hint="default"/>
                <w:b/>
                <w:bCs/>
                <w:spacing w:val="-1"/>
                <w:sz w:val="15"/>
                <w:szCs w:val="15"/>
              </w:rPr>
              <w:t>占同类交易金额的</w:t>
            </w:r>
            <w:r>
              <w:rPr>
                <w:rFonts w:ascii="宋体" w:hAnsi="宋体" w:cs="宋体" w:eastAsia="宋体" w:hint="default"/>
                <w:b/>
                <w:bCs/>
                <w:spacing w:val="-66"/>
                <w:sz w:val="15"/>
                <w:szCs w:val="15"/>
              </w:rPr>
              <w:t> </w:t>
            </w:r>
            <w:r>
              <w:rPr>
                <w:rFonts w:ascii="宋体" w:hAnsi="宋体" w:cs="宋体" w:eastAsia="宋体" w:hint="default"/>
                <w:b/>
                <w:bCs/>
                <w:spacing w:val="-66"/>
                <w:sz w:val="15"/>
                <w:szCs w:val="15"/>
              </w:rPr>
            </w:r>
            <w:r>
              <w:rPr>
                <w:rFonts w:ascii="宋体" w:hAnsi="宋体" w:cs="宋体" w:eastAsia="宋体" w:hint="default"/>
                <w:b/>
                <w:bCs/>
                <w:sz w:val="15"/>
                <w:szCs w:val="15"/>
              </w:rPr>
              <w:t>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797" w:type="dxa"/>
            <w:tcBorders>
              <w:top w:val="nil" w:sz="6" w:space="0" w:color="auto"/>
              <w:left w:val="nil" w:sz="6" w:space="0" w:color="auto"/>
              <w:bottom w:val="nil" w:sz="6" w:space="0" w:color="auto"/>
              <w:right w:val="nil" w:sz="6" w:space="0" w:color="auto"/>
            </w:tcBorders>
          </w:tcPr>
          <w:p>
            <w:pPr/>
          </w:p>
        </w:tc>
        <w:tc>
          <w:tcPr>
            <w:tcW w:w="1474" w:type="dxa"/>
            <w:vMerge w:val="restart"/>
            <w:tcBorders>
              <w:top w:val="nil" w:sz="6" w:space="0" w:color="auto"/>
              <w:left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436" w:lineRule="auto"/>
              <w:ind w:left="501" w:right="27" w:hanging="265"/>
              <w:jc w:val="left"/>
              <w:rPr>
                <w:rFonts w:ascii="宋体" w:hAnsi="宋体" w:cs="宋体" w:eastAsia="宋体" w:hint="default"/>
                <w:sz w:val="15"/>
                <w:szCs w:val="15"/>
              </w:rPr>
            </w:pPr>
            <w:r>
              <w:rPr>
                <w:rFonts w:ascii="宋体" w:hAnsi="宋体" w:cs="宋体" w:eastAsia="宋体" w:hint="default"/>
                <w:b/>
                <w:bCs/>
                <w:spacing w:val="-1"/>
                <w:sz w:val="15"/>
                <w:szCs w:val="15"/>
              </w:rPr>
              <w:t>占同类交易金额的</w:t>
            </w:r>
            <w:r>
              <w:rPr>
                <w:rFonts w:ascii="宋体" w:hAnsi="宋体" w:cs="宋体" w:eastAsia="宋体" w:hint="default"/>
                <w:b/>
                <w:bCs/>
                <w:spacing w:val="-66"/>
                <w:sz w:val="15"/>
                <w:szCs w:val="15"/>
              </w:rPr>
              <w:t> </w:t>
            </w:r>
            <w:r>
              <w:rPr>
                <w:rFonts w:ascii="宋体" w:hAnsi="宋体" w:cs="宋体" w:eastAsia="宋体" w:hint="default"/>
                <w:b/>
                <w:bCs/>
                <w:spacing w:val="-66"/>
                <w:sz w:val="15"/>
                <w:szCs w:val="15"/>
              </w:rPr>
            </w:r>
            <w:r>
              <w:rPr>
                <w:rFonts w:ascii="宋体" w:hAnsi="宋体" w:cs="宋体" w:eastAsia="宋体" w:hint="default"/>
                <w:b/>
                <w:bCs/>
                <w:sz w:val="15"/>
                <w:szCs w:val="15"/>
              </w:rPr>
              <w:t>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62" w:hRule="exact"/>
        </w:trPr>
        <w:tc>
          <w:tcPr>
            <w:tcW w:w="2451" w:type="dxa"/>
            <w:tcBorders>
              <w:top w:val="nil" w:sz="6" w:space="0" w:color="auto"/>
              <w:left w:val="nil" w:sz="6" w:space="0" w:color="auto"/>
              <w:bottom w:val="single" w:sz="4" w:space="0" w:color="000000"/>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
        </w:tc>
        <w:tc>
          <w:tcPr>
            <w:tcW w:w="1320" w:type="dxa"/>
            <w:vMerge/>
            <w:tcBorders>
              <w:left w:val="nil" w:sz="6" w:space="0" w:color="auto"/>
              <w:bottom w:val="single" w:sz="4" w:space="0" w:color="000000"/>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Style w:val="TableParagraph"/>
              <w:spacing w:line="186" w:lineRule="exact"/>
              <w:ind w:left="14"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591" w:type="dxa"/>
            <w:vMerge/>
            <w:tcBorders>
              <w:left w:val="nil" w:sz="6" w:space="0" w:color="auto"/>
              <w:bottom w:val="single" w:sz="4" w:space="0" w:color="000000"/>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Style w:val="TableParagraph"/>
              <w:spacing w:line="186" w:lineRule="exact"/>
              <w:ind w:left="257"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474" w:type="dxa"/>
            <w:vMerge/>
            <w:tcBorders>
              <w:left w:val="nil" w:sz="6" w:space="0" w:color="auto"/>
              <w:bottom w:val="single" w:sz="4" w:space="0" w:color="000000"/>
              <w:right w:val="nil" w:sz="6" w:space="0" w:color="auto"/>
            </w:tcBorders>
          </w:tcPr>
          <w:p>
            <w:pPr/>
          </w:p>
        </w:tc>
      </w:tr>
      <w:tr>
        <w:trPr>
          <w:trHeight w:val="502" w:hRule="exact"/>
        </w:trPr>
        <w:tc>
          <w:tcPr>
            <w:tcW w:w="245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北京北舟文化传媒有限责任公司</w:t>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1" w:right="0"/>
              <w:jc w:val="center"/>
              <w:rPr>
                <w:rFonts w:ascii="宋体" w:hAnsi="宋体" w:cs="宋体" w:eastAsia="宋体" w:hint="default"/>
                <w:sz w:val="15"/>
                <w:szCs w:val="15"/>
              </w:rPr>
            </w:pPr>
            <w:r>
              <w:rPr>
                <w:rFonts w:ascii="宋体" w:hAnsi="宋体" w:cs="宋体" w:eastAsia="宋体" w:hint="default"/>
                <w:sz w:val="15"/>
                <w:szCs w:val="15"/>
              </w:rPr>
              <w:t>销售图书</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71"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1,747,756.24</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97" w:right="0"/>
              <w:jc w:val="left"/>
              <w:rPr>
                <w:rFonts w:ascii="Times New Roman" w:hAnsi="Times New Roman" w:cs="Times New Roman" w:eastAsia="Times New Roman" w:hint="default"/>
                <w:sz w:val="15"/>
                <w:szCs w:val="15"/>
              </w:rPr>
            </w:pPr>
            <w:r>
              <w:rPr>
                <w:rFonts w:ascii="Times New Roman"/>
                <w:sz w:val="15"/>
              </w:rPr>
              <w:t>0.62</w:t>
            </w:r>
          </w:p>
        </w:tc>
        <w:tc>
          <w:tcPr>
            <w:tcW w:w="797" w:type="dxa"/>
            <w:tcBorders>
              <w:top w:val="single" w:sz="4" w:space="0" w:color="000000"/>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
        </w:tc>
      </w:tr>
      <w:tr>
        <w:trPr>
          <w:trHeight w:val="301" w:hRule="exact"/>
        </w:trPr>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9"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0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0"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1,747,756.24</w:t>
            </w:r>
            <w:r>
              <w:rPr>
                <w:rFonts w:ascii="Times New Roman"/>
                <w:sz w:val="15"/>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59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0.62</w:t>
            </w:r>
            <w:r>
              <w:rPr>
                <w:rFonts w:ascii="Times New Roman"/>
                <w:sz w:val="15"/>
              </w:rPr>
            </w:r>
          </w:p>
        </w:tc>
        <w:tc>
          <w:tcPr>
            <w:tcW w:w="797"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93" w:right="283"/>
        <w:jc w:val="left"/>
      </w:pPr>
      <w:r>
        <w:rPr/>
        <w:t>（</w:t>
      </w:r>
      <w:r>
        <w:rPr>
          <w:rFonts w:ascii="Times New Roman" w:hAnsi="Times New Roman" w:cs="Times New Roman" w:eastAsia="Times New Roman" w:hint="default"/>
        </w:rPr>
        <w:t>3</w:t>
      </w:r>
      <w:r>
        <w:rPr/>
        <w:t>）关联租赁情况</w:t>
      </w:r>
    </w:p>
    <w:p>
      <w:pPr>
        <w:spacing w:line="240" w:lineRule="auto" w:before="9"/>
        <w:rPr>
          <w:rFonts w:ascii="宋体" w:hAnsi="宋体" w:cs="宋体" w:eastAsia="宋体" w:hint="default"/>
          <w:sz w:val="29"/>
          <w:szCs w:val="29"/>
        </w:rPr>
      </w:pPr>
    </w:p>
    <w:tbl>
      <w:tblPr>
        <w:tblW w:w="0" w:type="auto"/>
        <w:jc w:val="left"/>
        <w:tblInd w:w="202" w:type="dxa"/>
        <w:tblLayout w:type="fixed"/>
        <w:tblCellMar>
          <w:top w:w="0" w:type="dxa"/>
          <w:left w:w="0" w:type="dxa"/>
          <w:bottom w:w="0" w:type="dxa"/>
          <w:right w:w="0" w:type="dxa"/>
        </w:tblCellMar>
        <w:tblLook w:val="01E0"/>
      </w:tblPr>
      <w:tblGrid>
        <w:gridCol w:w="1742"/>
        <w:gridCol w:w="2027"/>
        <w:gridCol w:w="1351"/>
        <w:gridCol w:w="1265"/>
        <w:gridCol w:w="1186"/>
        <w:gridCol w:w="925"/>
        <w:gridCol w:w="1204"/>
      </w:tblGrid>
      <w:tr>
        <w:trPr>
          <w:trHeight w:val="608" w:hRule="exact"/>
        </w:trPr>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1" w:right="0"/>
              <w:jc w:val="center"/>
              <w:rPr>
                <w:rFonts w:ascii="宋体" w:hAnsi="宋体" w:cs="宋体" w:eastAsia="宋体" w:hint="default"/>
                <w:sz w:val="15"/>
                <w:szCs w:val="15"/>
              </w:rPr>
            </w:pPr>
            <w:r>
              <w:rPr>
                <w:rFonts w:ascii="宋体" w:hAnsi="宋体" w:cs="宋体" w:eastAsia="宋体" w:hint="default"/>
                <w:b/>
                <w:bCs/>
                <w:sz w:val="15"/>
                <w:szCs w:val="15"/>
              </w:rPr>
              <w:t>出租方名称</w:t>
            </w:r>
            <w:r>
              <w:rPr>
                <w:rFonts w:ascii="宋体" w:hAnsi="宋体" w:cs="宋体" w:eastAsia="宋体" w:hint="default"/>
                <w:sz w:val="15"/>
                <w:szCs w:val="15"/>
              </w:rPr>
            </w:r>
          </w:p>
        </w:tc>
        <w:tc>
          <w:tcPr>
            <w:tcW w:w="202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93" w:right="0"/>
              <w:jc w:val="left"/>
              <w:rPr>
                <w:rFonts w:ascii="宋体" w:hAnsi="宋体" w:cs="宋体" w:eastAsia="宋体" w:hint="default"/>
                <w:sz w:val="15"/>
                <w:szCs w:val="15"/>
              </w:rPr>
            </w:pPr>
            <w:r>
              <w:rPr>
                <w:rFonts w:ascii="宋体" w:hAnsi="宋体" w:cs="宋体" w:eastAsia="宋体" w:hint="default"/>
                <w:b/>
                <w:bCs/>
                <w:sz w:val="15"/>
                <w:szCs w:val="15"/>
              </w:rPr>
              <w:t>承租方名称</w:t>
            </w:r>
            <w:r>
              <w:rPr>
                <w:rFonts w:ascii="宋体" w:hAnsi="宋体" w:cs="宋体" w:eastAsia="宋体" w:hint="default"/>
                <w:sz w:val="15"/>
                <w:szCs w:val="15"/>
              </w:rPr>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9"/>
              <w:jc w:val="center"/>
              <w:rPr>
                <w:rFonts w:ascii="宋体" w:hAnsi="宋体" w:cs="宋体" w:eastAsia="宋体" w:hint="default"/>
                <w:sz w:val="15"/>
                <w:szCs w:val="15"/>
              </w:rPr>
            </w:pPr>
            <w:r>
              <w:rPr>
                <w:rFonts w:ascii="宋体" w:hAnsi="宋体" w:cs="宋体" w:eastAsia="宋体" w:hint="default"/>
                <w:b/>
                <w:bCs/>
                <w:sz w:val="15"/>
                <w:szCs w:val="15"/>
              </w:rPr>
              <w:t>租赁资产种类</w:t>
            </w:r>
            <w:r>
              <w:rPr>
                <w:rFonts w:ascii="宋体" w:hAnsi="宋体" w:cs="宋体" w:eastAsia="宋体" w:hint="default"/>
                <w:sz w:val="15"/>
                <w:szCs w:val="15"/>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7" w:right="0"/>
              <w:jc w:val="center"/>
              <w:rPr>
                <w:rFonts w:ascii="宋体" w:hAnsi="宋体" w:cs="宋体" w:eastAsia="宋体" w:hint="default"/>
                <w:sz w:val="15"/>
                <w:szCs w:val="15"/>
              </w:rPr>
            </w:pPr>
            <w:r>
              <w:rPr>
                <w:rFonts w:ascii="宋体" w:hAnsi="宋体" w:cs="宋体" w:eastAsia="宋体" w:hint="default"/>
                <w:b/>
                <w:bCs/>
                <w:sz w:val="15"/>
                <w:szCs w:val="15"/>
              </w:rPr>
              <w:t>租赁起始日</w:t>
            </w:r>
            <w:r>
              <w:rPr>
                <w:rFonts w:ascii="宋体" w:hAnsi="宋体" w:cs="宋体" w:eastAsia="宋体" w:hint="default"/>
                <w:sz w:val="15"/>
                <w:szCs w:val="15"/>
              </w:rPr>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1" w:right="0"/>
              <w:jc w:val="center"/>
              <w:rPr>
                <w:rFonts w:ascii="宋体" w:hAnsi="宋体" w:cs="宋体" w:eastAsia="宋体" w:hint="default"/>
                <w:sz w:val="15"/>
                <w:szCs w:val="15"/>
              </w:rPr>
            </w:pPr>
            <w:r>
              <w:rPr>
                <w:rFonts w:ascii="宋体" w:hAnsi="宋体" w:cs="宋体" w:eastAsia="宋体" w:hint="default"/>
                <w:b/>
                <w:bCs/>
                <w:sz w:val="15"/>
                <w:szCs w:val="15"/>
              </w:rPr>
              <w:t>租赁终止日</w:t>
            </w:r>
            <w:r>
              <w:rPr>
                <w:rFonts w:ascii="宋体" w:hAnsi="宋体" w:cs="宋体" w:eastAsia="宋体" w:hint="default"/>
                <w:sz w:val="15"/>
                <w:szCs w:val="15"/>
              </w:rPr>
            </w: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19"/>
              <w:jc w:val="right"/>
              <w:rPr>
                <w:rFonts w:ascii="宋体" w:hAnsi="宋体" w:cs="宋体" w:eastAsia="宋体" w:hint="default"/>
                <w:sz w:val="15"/>
                <w:szCs w:val="15"/>
              </w:rPr>
            </w:pPr>
            <w:r>
              <w:rPr>
                <w:rFonts w:ascii="宋体" w:hAnsi="宋体" w:cs="宋体" w:eastAsia="宋体" w:hint="default"/>
                <w:b/>
                <w:bCs/>
                <w:sz w:val="15"/>
                <w:szCs w:val="15"/>
              </w:rPr>
              <w:t>定价依据</w:t>
            </w:r>
            <w:r>
              <w:rPr>
                <w:rFonts w:ascii="宋体" w:hAnsi="宋体" w:cs="宋体" w:eastAsia="宋体" w:hint="default"/>
                <w:sz w:val="15"/>
                <w:szCs w:val="15"/>
              </w:rPr>
            </w:r>
          </w:p>
        </w:tc>
        <w:tc>
          <w:tcPr>
            <w:tcW w:w="1204" w:type="dxa"/>
            <w:tcBorders>
              <w:top w:val="nil" w:sz="6" w:space="0" w:color="auto"/>
              <w:left w:val="nil" w:sz="6" w:space="0" w:color="auto"/>
              <w:bottom w:val="single" w:sz="4" w:space="0" w:color="000000"/>
              <w:right w:val="nil" w:sz="6" w:space="0" w:color="auto"/>
            </w:tcBorders>
          </w:tcPr>
          <w:p>
            <w:pPr>
              <w:pStyle w:val="TableParagraph"/>
              <w:spacing w:line="151" w:lineRule="exact"/>
              <w:ind w:left="94" w:right="0"/>
              <w:jc w:val="center"/>
              <w:rPr>
                <w:rFonts w:ascii="宋体" w:hAnsi="宋体" w:cs="宋体" w:eastAsia="宋体" w:hint="default"/>
                <w:sz w:val="15"/>
                <w:szCs w:val="15"/>
              </w:rPr>
            </w:pPr>
            <w:r>
              <w:rPr>
                <w:rFonts w:ascii="宋体" w:hAnsi="宋体" w:cs="宋体" w:eastAsia="宋体" w:hint="default"/>
                <w:b/>
                <w:bCs/>
                <w:sz w:val="15"/>
                <w:szCs w:val="15"/>
              </w:rPr>
              <w:t>本期确认的租赁</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5"/>
                <w:szCs w:val="15"/>
              </w:rPr>
            </w:pPr>
            <w:r>
              <w:rPr>
                <w:rFonts w:ascii="宋体" w:hAnsi="宋体" w:cs="宋体" w:eastAsia="宋体" w:hint="default"/>
                <w:b/>
                <w:bCs/>
                <w:w w:val="100"/>
                <w:sz w:val="15"/>
                <w:szCs w:val="15"/>
              </w:rPr>
              <w:t>费</w:t>
            </w:r>
            <w:r>
              <w:rPr>
                <w:rFonts w:ascii="宋体" w:hAnsi="宋体" w:cs="宋体" w:eastAsia="宋体" w:hint="default"/>
                <w:w w:val="100"/>
                <w:sz w:val="15"/>
                <w:szCs w:val="15"/>
              </w:rPr>
            </w:r>
          </w:p>
        </w:tc>
      </w:tr>
      <w:tr>
        <w:trPr>
          <w:trHeight w:val="856"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39" w:lineRule="auto"/>
              <w:ind w:left="31" w:right="55"/>
              <w:jc w:val="left"/>
              <w:rPr>
                <w:rFonts w:ascii="宋体" w:hAnsi="宋体" w:cs="宋体" w:eastAsia="宋体" w:hint="default"/>
                <w:sz w:val="15"/>
                <w:szCs w:val="15"/>
              </w:rPr>
            </w:pPr>
            <w:r>
              <w:rPr>
                <w:rFonts w:ascii="宋体" w:hAnsi="宋体" w:cs="宋体" w:eastAsia="宋体" w:hint="default"/>
                <w:spacing w:val="-2"/>
                <w:sz w:val="15"/>
                <w:szCs w:val="15"/>
              </w:rPr>
              <w:t>长沙鸿发印务实业有限责</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任公司</w:t>
            </w:r>
          </w:p>
        </w:tc>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39" w:lineRule="auto"/>
              <w:ind w:left="57" w:right="165"/>
              <w:jc w:val="left"/>
              <w:rPr>
                <w:rFonts w:ascii="宋体" w:hAnsi="宋体" w:cs="宋体" w:eastAsia="宋体" w:hint="default"/>
                <w:sz w:val="15"/>
                <w:szCs w:val="15"/>
              </w:rPr>
            </w:pPr>
            <w:r>
              <w:rPr>
                <w:rFonts w:ascii="宋体" w:hAnsi="宋体" w:cs="宋体" w:eastAsia="宋体" w:hint="default"/>
                <w:spacing w:val="-2"/>
                <w:sz w:val="15"/>
                <w:szCs w:val="15"/>
              </w:rPr>
              <w:t>湖南天舟华文俪制传媒有限</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责任公司</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9"/>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 w:right="0"/>
              <w:jc w:val="center"/>
              <w:rPr>
                <w:rFonts w:ascii="Times New Roman" w:hAnsi="Times New Roman" w:cs="Times New Roman" w:eastAsia="Times New Roman" w:hint="default"/>
                <w:sz w:val="15"/>
                <w:szCs w:val="15"/>
              </w:rPr>
            </w:pPr>
            <w:r>
              <w:rPr>
                <w:rFonts w:ascii="Times New Roman"/>
                <w:sz w:val="15"/>
              </w:rPr>
              <w:t>2012-1-1</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t>2012-12-31</w:t>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7"/>
              <w:jc w:val="right"/>
              <w:rPr>
                <w:rFonts w:ascii="宋体" w:hAnsi="宋体" w:cs="宋体" w:eastAsia="宋体" w:hint="default"/>
                <w:sz w:val="15"/>
                <w:szCs w:val="15"/>
              </w:rPr>
            </w:pPr>
            <w:r>
              <w:rPr>
                <w:rFonts w:ascii="宋体" w:hAnsi="宋体" w:cs="宋体" w:eastAsia="宋体" w:hint="default"/>
                <w:sz w:val="15"/>
                <w:szCs w:val="15"/>
              </w:rPr>
              <w:t>市场价</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8"/>
              <w:jc w:val="right"/>
              <w:rPr>
                <w:rFonts w:ascii="Times New Roman" w:hAnsi="Times New Roman" w:cs="Times New Roman" w:eastAsia="Times New Roman" w:hint="default"/>
                <w:sz w:val="15"/>
                <w:szCs w:val="15"/>
              </w:rPr>
            </w:pPr>
            <w:r>
              <w:rPr>
                <w:rFonts w:ascii="Times New Roman"/>
                <w:spacing w:val="-1"/>
                <w:sz w:val="15"/>
              </w:rPr>
              <w:t>486,000.00</w:t>
            </w:r>
          </w:p>
        </w:tc>
      </w:tr>
      <w:tr>
        <w:trPr>
          <w:trHeight w:val="303"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2027"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486,000.00</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918" w:footer="979" w:top="1100" w:bottom="1180" w:left="900" w:right="900"/>
        </w:sectPr>
      </w:pPr>
    </w:p>
    <w:p>
      <w:pPr>
        <w:spacing w:line="240" w:lineRule="auto" w:before="12"/>
        <w:rPr>
          <w:rFonts w:ascii="宋体" w:hAnsi="宋体" w:cs="宋体" w:eastAsia="宋体" w:hint="default"/>
          <w:sz w:val="26"/>
          <w:szCs w:val="26"/>
        </w:rPr>
      </w:pPr>
    </w:p>
    <w:p>
      <w:pPr>
        <w:pStyle w:val="BodyText"/>
        <w:spacing w:line="348" w:lineRule="auto" w:before="44"/>
        <w:ind w:left="213" w:right="211" w:firstLine="360"/>
        <w:jc w:val="both"/>
      </w:pPr>
      <w:r>
        <w:rPr>
          <w:spacing w:val="-2"/>
        </w:rPr>
        <w:t>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日，本公司的子公司湖南天舟华文俪制传媒有限责任公司与长沙鸿发印务实业有限责任公司签订仓储设</w:t>
      </w:r>
      <w:r>
        <w:rPr/>
        <w:t> 施租赁协议，租赁长沙鸿发印务实业有限责任公司面积</w:t>
      </w:r>
      <w:r>
        <w:rPr>
          <w:rFonts w:ascii="Times New Roman" w:hAnsi="Times New Roman" w:cs="Times New Roman" w:eastAsia="Times New Roman" w:hint="default"/>
        </w:rPr>
        <w:t>3,000</w:t>
      </w:r>
      <w:r>
        <w:rPr/>
        <w:t>平方米仓库，租赁价格为</w:t>
      </w:r>
      <w:r>
        <w:rPr>
          <w:rFonts w:ascii="Times New Roman" w:hAnsi="Times New Roman" w:cs="Times New Roman" w:eastAsia="Times New Roman" w:hint="default"/>
        </w:rPr>
        <w:t>13.5</w:t>
      </w:r>
      <w:r>
        <w:rPr/>
        <w:t>元</w:t>
      </w:r>
      <w:r>
        <w:rPr>
          <w:rFonts w:ascii="Times New Roman" w:hAnsi="Times New Roman" w:cs="Times New Roman" w:eastAsia="Times New Roman" w:hint="default"/>
        </w:rPr>
        <w:t>/</w:t>
      </w:r>
      <w:r>
        <w:rPr/>
        <w:t>平米，每月租金</w:t>
      </w:r>
      <w:r>
        <w:rPr>
          <w:rFonts w:ascii="Times New Roman" w:hAnsi="Times New Roman" w:cs="Times New Roman" w:eastAsia="Times New Roman" w:hint="default"/>
        </w:rPr>
        <w:t>40,500.00</w:t>
      </w:r>
      <w:r>
        <w:rPr/>
        <w:t>元，</w:t>
      </w:r>
      <w:r>
        <w:rPr>
          <w:spacing w:val="-3"/>
        </w:rPr>
        <w:t> </w:t>
      </w:r>
      <w:r>
        <w:rPr/>
        <w:t>租赁期限一年。</w:t>
      </w:r>
    </w:p>
    <w:p>
      <w:pPr>
        <w:spacing w:line="240" w:lineRule="auto" w:before="1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671"/>
        <w:gridCol w:w="1798"/>
        <w:gridCol w:w="1004"/>
        <w:gridCol w:w="2384"/>
      </w:tblGrid>
      <w:tr>
        <w:trPr>
          <w:trHeight w:val="988" w:hRule="exact"/>
        </w:trPr>
        <w:tc>
          <w:tcPr>
            <w:tcW w:w="46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、关联方应收应付款项</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）应收关联方款项</w:t>
            </w:r>
          </w:p>
        </w:tc>
        <w:tc>
          <w:tcPr>
            <w:tcW w:w="5186" w:type="dxa"/>
            <w:gridSpan w:val="3"/>
            <w:tcBorders>
              <w:top w:val="nil" w:sz="6" w:space="0" w:color="auto"/>
              <w:left w:val="nil" w:sz="6" w:space="0" w:color="auto"/>
              <w:bottom w:val="nil" w:sz="6" w:space="0" w:color="auto"/>
              <w:right w:val="nil" w:sz="6" w:space="0" w:color="auto"/>
            </w:tcBorders>
          </w:tcPr>
          <w:p>
            <w:pPr/>
          </w:p>
        </w:tc>
      </w:tr>
      <w:tr>
        <w:trPr>
          <w:trHeight w:val="896" w:hRule="exact"/>
        </w:trPr>
        <w:tc>
          <w:tcPr>
            <w:tcW w:w="467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tabs>
                <w:tab w:pos="2912" w:val="left" w:leader="none"/>
              </w:tabs>
              <w:spacing w:line="240" w:lineRule="auto"/>
              <w:ind w:left="406" w:right="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092" w:right="-17"/>
              <w:jc w:val="left"/>
              <w:rPr>
                <w:rFonts w:ascii="宋体" w:hAnsi="宋体" w:cs="宋体" w:eastAsia="宋体" w:hint="default"/>
                <w:sz w:val="18"/>
                <w:szCs w:val="18"/>
              </w:rPr>
            </w:pPr>
            <w:r>
              <w:rPr>
                <w:rFonts w:ascii="宋体" w:hAnsi="宋体" w:cs="宋体" w:eastAsia="宋体" w:hint="default"/>
                <w:b/>
                <w:bCs/>
                <w:w w:val="95"/>
                <w:sz w:val="18"/>
                <w:szCs w:val="18"/>
              </w:rPr>
              <w:t>期末金额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56"/>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252" w:val="left" w:leader="none"/>
              </w:tabs>
              <w:spacing w:line="240" w:lineRule="auto"/>
              <w:ind w:left="33" w:right="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91" w:hRule="exact"/>
        </w:trPr>
        <w:tc>
          <w:tcPr>
            <w:tcW w:w="4671" w:type="dxa"/>
            <w:tcBorders>
              <w:top w:val="single" w:sz="4" w:space="0" w:color="000000"/>
              <w:left w:val="nil" w:sz="6" w:space="0" w:color="auto"/>
              <w:bottom w:val="nil" w:sz="6" w:space="0" w:color="auto"/>
              <w:right w:val="nil" w:sz="6" w:space="0" w:color="auto"/>
            </w:tcBorders>
          </w:tcPr>
          <w:p>
            <w:pPr>
              <w:pStyle w:val="TableParagraph"/>
              <w:tabs>
                <w:tab w:pos="1235" w:val="left" w:leader="none"/>
              </w:tabs>
              <w:spacing w:line="240" w:lineRule="auto" w:before="116"/>
              <w:ind w:right="507"/>
              <w:jc w:val="right"/>
              <w:rPr>
                <w:rFonts w:ascii="宋体" w:hAnsi="宋体" w:cs="宋体" w:eastAsia="宋体" w:hint="default"/>
                <w:sz w:val="18"/>
                <w:szCs w:val="18"/>
              </w:rPr>
            </w:pPr>
            <w:r>
              <w:rPr>
                <w:rFonts w:ascii="宋体" w:hAnsi="宋体" w:cs="宋体" w:eastAsia="宋体" w:hint="default"/>
                <w:sz w:val="18"/>
                <w:szCs w:val="18"/>
              </w:rPr>
              <w:t>应收账款</w:t>
              <w:tab/>
              <w:t>北京北舟文化传媒有限责任公司</w:t>
            </w: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98"/>
              <w:jc w:val="right"/>
              <w:rPr>
                <w:rFonts w:ascii="Times New Roman" w:hAnsi="Times New Roman" w:cs="Times New Roman" w:eastAsia="Times New Roman" w:hint="default"/>
                <w:sz w:val="18"/>
                <w:szCs w:val="18"/>
              </w:rPr>
            </w:pPr>
            <w:r>
              <w:rPr>
                <w:rFonts w:ascii="Times New Roman"/>
                <w:spacing w:val="-1"/>
                <w:sz w:val="18"/>
              </w:rPr>
              <w:t>357,434.15</w:t>
            </w: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35"/>
              <w:jc w:val="right"/>
              <w:rPr>
                <w:rFonts w:ascii="Times New Roman" w:hAnsi="Times New Roman" w:cs="Times New Roman" w:eastAsia="Times New Roman" w:hint="default"/>
                <w:sz w:val="18"/>
                <w:szCs w:val="18"/>
              </w:rPr>
            </w:pPr>
            <w:r>
              <w:rPr>
                <w:rFonts w:ascii="Times New Roman"/>
                <w:w w:val="95"/>
                <w:sz w:val="18"/>
              </w:rPr>
              <w:t>3,574.34</w:t>
            </w:r>
          </w:p>
        </w:tc>
        <w:tc>
          <w:tcPr>
            <w:tcW w:w="2384" w:type="dxa"/>
            <w:tcBorders>
              <w:top w:val="single" w:sz="4" w:space="0" w:color="000000"/>
              <w:left w:val="nil" w:sz="6" w:space="0" w:color="auto"/>
              <w:bottom w:val="nil" w:sz="6" w:space="0" w:color="auto"/>
              <w:right w:val="nil" w:sz="6" w:space="0" w:color="auto"/>
            </w:tcBorders>
          </w:tcPr>
          <w:p>
            <w:pPr/>
          </w:p>
        </w:tc>
      </w:tr>
      <w:tr>
        <w:trPr>
          <w:trHeight w:val="441" w:hRule="exact"/>
        </w:trPr>
        <w:tc>
          <w:tcPr>
            <w:tcW w:w="46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应收账款合计</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357,434.15</w:t>
            </w:r>
            <w:r>
              <w:rPr>
                <w:rFonts w:ascii="Times New Roman"/>
                <w:spacing w:val="-1"/>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5"/>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thick" w:color="000000"/>
              </w:rPr>
              <w:t>3,574.34</w:t>
            </w:r>
            <w:r>
              <w:rPr>
                <w:rFonts w:ascii="Times New Roman"/>
                <w:w w:val="95"/>
                <w:sz w:val="18"/>
              </w:rPr>
            </w:r>
          </w:p>
        </w:tc>
        <w:tc>
          <w:tcPr>
            <w:tcW w:w="2384" w:type="dxa"/>
            <w:tcBorders>
              <w:top w:val="nil" w:sz="6" w:space="0" w:color="auto"/>
              <w:left w:val="nil" w:sz="6" w:space="0" w:color="auto"/>
              <w:bottom w:val="nil" w:sz="6" w:space="0" w:color="auto"/>
              <w:right w:val="nil" w:sz="6" w:space="0" w:color="auto"/>
            </w:tcBorders>
          </w:tcPr>
          <w:p>
            <w:pPr/>
          </w:p>
        </w:tc>
      </w:tr>
      <w:tr>
        <w:trPr>
          <w:trHeight w:val="441" w:hRule="exact"/>
        </w:trPr>
        <w:tc>
          <w:tcPr>
            <w:tcW w:w="4671"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70"/>
              <w:ind w:right="507"/>
              <w:jc w:val="right"/>
              <w:rPr>
                <w:rFonts w:ascii="宋体" w:hAnsi="宋体" w:cs="宋体" w:eastAsia="宋体" w:hint="default"/>
                <w:sz w:val="18"/>
                <w:szCs w:val="18"/>
              </w:rPr>
            </w:pPr>
            <w:r>
              <w:rPr>
                <w:rFonts w:ascii="宋体" w:hAnsi="宋体" w:cs="宋体" w:eastAsia="宋体" w:hint="default"/>
                <w:sz w:val="18"/>
                <w:szCs w:val="18"/>
              </w:rPr>
              <w:t>其他应收款</w:t>
              <w:tab/>
              <w:t>北京北舟文化传媒有限责任公司</w:t>
            </w:r>
          </w:p>
        </w:tc>
        <w:tc>
          <w:tcPr>
            <w:tcW w:w="1798"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13"/>
              <w:ind w:right="177"/>
              <w:jc w:val="right"/>
              <w:rPr>
                <w:rFonts w:ascii="Times New Roman" w:hAnsi="Times New Roman" w:cs="Times New Roman" w:eastAsia="Times New Roman" w:hint="default"/>
                <w:sz w:val="18"/>
                <w:szCs w:val="18"/>
              </w:rPr>
            </w:pPr>
            <w:r>
              <w:rPr>
                <w:rFonts w:ascii="Times New Roman"/>
                <w:spacing w:val="-1"/>
                <w:sz w:val="18"/>
              </w:rPr>
              <w:t>82,000.00</w:t>
              <w:tab/>
              <w:t>820.00</w:t>
            </w:r>
          </w:p>
        </w:tc>
      </w:tr>
      <w:tr>
        <w:trPr>
          <w:trHeight w:val="439" w:hRule="exact"/>
        </w:trPr>
        <w:tc>
          <w:tcPr>
            <w:tcW w:w="4671"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69"/>
              <w:ind w:right="507"/>
              <w:jc w:val="right"/>
              <w:rPr>
                <w:rFonts w:ascii="宋体" w:hAnsi="宋体" w:cs="宋体" w:eastAsia="宋体" w:hint="default"/>
                <w:sz w:val="18"/>
                <w:szCs w:val="18"/>
              </w:rPr>
            </w:pPr>
            <w:r>
              <w:rPr>
                <w:rFonts w:ascii="宋体" w:hAnsi="宋体" w:cs="宋体" w:eastAsia="宋体" w:hint="default"/>
                <w:sz w:val="18"/>
                <w:szCs w:val="18"/>
              </w:rPr>
              <w:t>其他应收款</w:t>
              <w:tab/>
              <w:t>长沙鸿发印务实业有限责任公司</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8"/>
              <w:jc w:val="right"/>
              <w:rPr>
                <w:rFonts w:ascii="Times New Roman" w:hAnsi="Times New Roman" w:cs="Times New Roman" w:eastAsia="Times New Roman" w:hint="default"/>
                <w:sz w:val="18"/>
                <w:szCs w:val="18"/>
              </w:rPr>
            </w:pPr>
            <w:r>
              <w:rPr>
                <w:rFonts w:ascii="Times New Roman"/>
                <w:spacing w:val="-1"/>
                <w:sz w:val="18"/>
              </w:rPr>
              <w:t>100,000.00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5"/>
              <w:jc w:val="right"/>
              <w:rPr>
                <w:rFonts w:ascii="Times New Roman" w:hAnsi="Times New Roman" w:cs="Times New Roman" w:eastAsia="Times New Roman" w:hint="default"/>
                <w:sz w:val="18"/>
                <w:szCs w:val="18"/>
              </w:rPr>
            </w:pPr>
            <w:r>
              <w:rPr>
                <w:rFonts w:ascii="Times New Roman"/>
                <w:w w:val="95"/>
                <w:sz w:val="18"/>
              </w:rPr>
              <w:t>5,000.00</w:t>
            </w:r>
          </w:p>
        </w:tc>
        <w:tc>
          <w:tcPr>
            <w:tcW w:w="2384" w:type="dxa"/>
            <w:tcBorders>
              <w:top w:val="nil" w:sz="6" w:space="0" w:color="auto"/>
              <w:left w:val="nil" w:sz="6" w:space="0" w:color="auto"/>
              <w:bottom w:val="nil" w:sz="6" w:space="0" w:color="auto"/>
              <w:right w:val="nil" w:sz="6" w:space="0" w:color="auto"/>
            </w:tcBorders>
          </w:tcPr>
          <w:p>
            <w:pPr>
              <w:pStyle w:val="TableParagraph"/>
              <w:tabs>
                <w:tab w:pos="1308" w:val="left" w:leader="none"/>
              </w:tabs>
              <w:spacing w:line="240" w:lineRule="auto" w:before="111"/>
              <w:ind w:right="177"/>
              <w:jc w:val="right"/>
              <w:rPr>
                <w:rFonts w:ascii="Times New Roman" w:hAnsi="Times New Roman" w:cs="Times New Roman" w:eastAsia="Times New Roman" w:hint="default"/>
                <w:sz w:val="18"/>
                <w:szCs w:val="18"/>
              </w:rPr>
            </w:pPr>
            <w:r>
              <w:rPr>
                <w:rFonts w:ascii="Times New Roman"/>
                <w:spacing w:val="-1"/>
                <w:sz w:val="18"/>
              </w:rPr>
              <w:t>100,000.00</w:t>
              <w:tab/>
            </w:r>
            <w:r>
              <w:rPr>
                <w:rFonts w:ascii="Times New Roman"/>
                <w:w w:val="95"/>
                <w:sz w:val="18"/>
              </w:rPr>
              <w:t>1,000.00</w:t>
            </w:r>
          </w:p>
        </w:tc>
      </w:tr>
      <w:tr>
        <w:trPr>
          <w:trHeight w:val="415" w:hRule="exact"/>
        </w:trPr>
        <w:tc>
          <w:tcPr>
            <w:tcW w:w="46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其他应收款合计</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100,000.00</w:t>
            </w:r>
            <w:r>
              <w:rPr>
                <w:rFonts w:ascii="Times New Roman"/>
                <w:spacing w:val="-1"/>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5"/>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thick" w:color="000000"/>
              </w:rPr>
              <w:t>5,000.00</w:t>
            </w:r>
            <w:r>
              <w:rPr>
                <w:rFonts w:ascii="Times New Roman"/>
                <w:w w:val="95"/>
                <w:sz w:val="18"/>
              </w:rPr>
            </w:r>
          </w:p>
        </w:tc>
        <w:tc>
          <w:tcPr>
            <w:tcW w:w="2384" w:type="dxa"/>
            <w:tcBorders>
              <w:top w:val="nil" w:sz="6" w:space="0" w:color="auto"/>
              <w:left w:val="nil" w:sz="6" w:space="0" w:color="auto"/>
              <w:bottom w:val="nil" w:sz="6" w:space="0" w:color="auto"/>
              <w:right w:val="nil" w:sz="6" w:space="0" w:color="auto"/>
            </w:tcBorders>
          </w:tcPr>
          <w:p>
            <w:pPr>
              <w:pStyle w:val="TableParagraph"/>
              <w:tabs>
                <w:tab w:pos="1308" w:val="left" w:leader="none"/>
              </w:tabs>
              <w:spacing w:line="240" w:lineRule="auto" w:before="111"/>
              <w:ind w:right="1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182,000.00</w:t>
            </w:r>
            <w:r>
              <w:rPr>
                <w:rFonts w:ascii="Times New Roman"/>
                <w:spacing w:val="-1"/>
                <w:sz w:val="18"/>
              </w:rPr>
              <w:tab/>
            </w:r>
            <w:r>
              <w:rPr>
                <w:rFonts w:ascii="Times New Roman"/>
                <w:w w:val="95"/>
                <w:sz w:val="18"/>
                <w:u w:val="thick" w:color="000000"/>
              </w:rPr>
              <w:t>1,820.00</w:t>
            </w:r>
            <w:r>
              <w:rPr>
                <w:rFonts w:ascii="Times New Roman"/>
                <w:w w:val="95"/>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573" w:right="5558"/>
        <w:jc w:val="left"/>
      </w:pPr>
      <w:r>
        <w:rPr/>
        <w:t>（</w:t>
      </w:r>
      <w:r>
        <w:rPr>
          <w:rFonts w:ascii="Times New Roman" w:hAnsi="Times New Roman" w:cs="Times New Roman" w:eastAsia="Times New Roman" w:hint="default"/>
        </w:rPr>
        <w:t>2</w:t>
      </w:r>
      <w:r>
        <w:rPr/>
        <w:t>）应付关联方款项</w:t>
      </w:r>
    </w:p>
    <w:p>
      <w:pPr>
        <w:spacing w:line="240" w:lineRule="auto" w:before="7"/>
        <w:rPr>
          <w:rFonts w:ascii="宋体" w:hAnsi="宋体" w:cs="宋体" w:eastAsia="宋体"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586"/>
        <w:gridCol w:w="3994"/>
        <w:gridCol w:w="2218"/>
        <w:gridCol w:w="2016"/>
      </w:tblGrid>
      <w:tr>
        <w:trPr>
          <w:trHeight w:val="275" w:hRule="exact"/>
        </w:trPr>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994" w:type="dxa"/>
            <w:tcBorders>
              <w:top w:val="nil" w:sz="6" w:space="0" w:color="auto"/>
              <w:left w:val="nil" w:sz="6" w:space="0" w:color="auto"/>
              <w:bottom w:val="single" w:sz="4" w:space="0" w:color="000000"/>
              <w:right w:val="nil" w:sz="6" w:space="0" w:color="auto"/>
            </w:tcBorders>
          </w:tcPr>
          <w:p>
            <w:pPr>
              <w:pStyle w:val="TableParagraph"/>
              <w:spacing w:line="180" w:lineRule="exact"/>
              <w:ind w:left="137"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716"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91" w:hRule="exact"/>
        </w:trPr>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9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17"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58"/>
              <w:jc w:val="right"/>
              <w:rPr>
                <w:rFonts w:ascii="Times New Roman" w:hAnsi="Times New Roman" w:cs="Times New Roman" w:eastAsia="Times New Roman" w:hint="default"/>
                <w:sz w:val="18"/>
                <w:szCs w:val="18"/>
              </w:rPr>
            </w:pPr>
            <w:r>
              <w:rPr>
                <w:rFonts w:ascii="Times New Roman"/>
                <w:spacing w:val="-1"/>
                <w:sz w:val="18"/>
              </w:rPr>
              <w:t>534,954.20</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558" w:right="0"/>
              <w:jc w:val="left"/>
              <w:rPr>
                <w:rFonts w:ascii="Times New Roman" w:hAnsi="Times New Roman" w:cs="Times New Roman" w:eastAsia="Times New Roman" w:hint="default"/>
                <w:sz w:val="18"/>
                <w:szCs w:val="18"/>
              </w:rPr>
            </w:pPr>
            <w:r>
              <w:rPr>
                <w:rFonts w:ascii="Times New Roman"/>
                <w:sz w:val="18"/>
              </w:rPr>
              <w:t>182,514.26</w:t>
            </w:r>
          </w:p>
        </w:tc>
      </w:tr>
      <w:tr>
        <w:trPr>
          <w:trHeight w:val="439"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7"/>
              <w:jc w:val="right"/>
              <w:rPr>
                <w:rFonts w:ascii="Times New Roman" w:hAnsi="Times New Roman" w:cs="Times New Roman" w:eastAsia="Times New Roman" w:hint="default"/>
                <w:sz w:val="18"/>
                <w:szCs w:val="18"/>
              </w:rPr>
            </w:pPr>
            <w:r>
              <w:rPr>
                <w:rFonts w:ascii="Times New Roman"/>
                <w:spacing w:val="-1"/>
                <w:sz w:val="18"/>
              </w:rPr>
              <w:t>37,310.41</w:t>
            </w:r>
          </w:p>
        </w:tc>
        <w:tc>
          <w:tcPr>
            <w:tcW w:w="2016" w:type="dxa"/>
            <w:tcBorders>
              <w:top w:val="nil" w:sz="6" w:space="0" w:color="auto"/>
              <w:left w:val="nil" w:sz="6" w:space="0" w:color="auto"/>
              <w:bottom w:val="nil" w:sz="6" w:space="0" w:color="auto"/>
              <w:right w:val="nil" w:sz="6" w:space="0" w:color="auto"/>
            </w:tcBorders>
          </w:tcPr>
          <w:p>
            <w:pPr/>
          </w:p>
        </w:tc>
      </w:tr>
      <w:tr>
        <w:trPr>
          <w:trHeight w:val="441"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应付账款合计</w:t>
            </w:r>
          </w:p>
        </w:tc>
        <w:tc>
          <w:tcPr>
            <w:tcW w:w="3994"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572,264.61</w:t>
            </w:r>
            <w:r>
              <w:rPr>
                <w:rFonts w:ascii="Times New Roman"/>
                <w:sz w:val="18"/>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182,514.26</w:t>
            </w:r>
            <w:r>
              <w:rPr>
                <w:rFonts w:ascii="Times New Roman"/>
                <w:sz w:val="18"/>
              </w:rPr>
            </w:r>
          </w:p>
        </w:tc>
      </w:tr>
      <w:tr>
        <w:trPr>
          <w:trHeight w:val="440"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8"/>
              <w:jc w:val="right"/>
              <w:rPr>
                <w:rFonts w:ascii="Times New Roman" w:hAnsi="Times New Roman" w:cs="Times New Roman" w:eastAsia="Times New Roman" w:hint="default"/>
                <w:sz w:val="18"/>
                <w:szCs w:val="18"/>
              </w:rPr>
            </w:pPr>
            <w:r>
              <w:rPr>
                <w:rFonts w:ascii="Times New Roman"/>
                <w:spacing w:val="-1"/>
                <w:sz w:val="18"/>
              </w:rPr>
              <w:t>375,712.64</w:t>
            </w:r>
          </w:p>
        </w:tc>
        <w:tc>
          <w:tcPr>
            <w:tcW w:w="2016" w:type="dxa"/>
            <w:tcBorders>
              <w:top w:val="nil" w:sz="6" w:space="0" w:color="auto"/>
              <w:left w:val="nil" w:sz="6" w:space="0" w:color="auto"/>
              <w:bottom w:val="nil" w:sz="6" w:space="0" w:color="auto"/>
              <w:right w:val="nil" w:sz="6" w:space="0" w:color="auto"/>
            </w:tcBorders>
          </w:tcPr>
          <w:p>
            <w:pPr/>
          </w:p>
        </w:tc>
      </w:tr>
      <w:tr>
        <w:trPr>
          <w:trHeight w:val="315"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其他应付款合计</w:t>
            </w:r>
          </w:p>
        </w:tc>
        <w:tc>
          <w:tcPr>
            <w:tcW w:w="3994"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375,712.64</w:t>
            </w:r>
            <w:r>
              <w:rPr>
                <w:rFonts w:ascii="Times New Roman"/>
                <w:spacing w:val="-1"/>
                <w:sz w:val="18"/>
              </w:rPr>
            </w:r>
          </w:p>
        </w:tc>
        <w:tc>
          <w:tcPr>
            <w:tcW w:w="2016"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3"/>
          <w:szCs w:val="23"/>
        </w:rPr>
      </w:pPr>
    </w:p>
    <w:p>
      <w:pPr>
        <w:pStyle w:val="Heading3"/>
        <w:spacing w:line="470" w:lineRule="auto" w:before="26"/>
        <w:ind w:left="213" w:right="8146"/>
        <w:jc w:val="left"/>
        <w:rPr>
          <w:b w:val="0"/>
          <w:bCs w:val="0"/>
        </w:rPr>
      </w:pPr>
      <w:r>
        <w:rPr/>
        <w:t>十、股份支付</w:t>
      </w:r>
      <w:r>
        <w:rPr>
          <w:w w:val="99"/>
        </w:rPr>
        <w:t> </w:t>
      </w:r>
      <w:r>
        <w:rPr/>
        <w:t>十一、或有事项</w:t>
      </w:r>
      <w:r>
        <w:rPr>
          <w:b w:val="0"/>
          <w:bCs w:val="0"/>
        </w:rPr>
      </w:r>
    </w:p>
    <w:p>
      <w:pPr>
        <w:pStyle w:val="Heading5"/>
        <w:spacing w:line="240" w:lineRule="auto" w:before="93"/>
        <w:ind w:left="213" w:right="115"/>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8"/>
        <w:rPr>
          <w:rFonts w:ascii="宋体" w:hAnsi="宋体" w:cs="宋体" w:eastAsia="宋体" w:hint="default"/>
          <w:b/>
          <w:bCs/>
          <w:sz w:val="31"/>
          <w:szCs w:val="31"/>
        </w:rPr>
      </w:pPr>
    </w:p>
    <w:p>
      <w:pPr>
        <w:pStyle w:val="BodyText"/>
        <w:spacing w:line="360" w:lineRule="auto"/>
        <w:ind w:left="213" w:right="113"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1"/>
        </w:rPr>
        <w:t> </w:t>
      </w:r>
      <w:r>
        <w:rPr>
          <w:spacing w:val="-5"/>
        </w:rPr>
        <w:t>日，公司与湖南天地伟业数码科技有限公司（以下简称“天地伟业公司”）签订《销售合同》，公司向天</w:t>
      </w:r>
      <w:r>
        <w:rPr/>
        <w:t> </w:t>
      </w:r>
      <w:r>
        <w:rPr>
          <w:spacing w:val="-2"/>
        </w:rPr>
        <w:t>地伟业公司采购电教设备用于某地电教项目政府采购招投标。因天地伟业公司提供的设备无法满足中标要求，公司终止了该</w:t>
      </w:r>
      <w:r>
        <w:rPr>
          <w:spacing w:val="-64"/>
        </w:rPr>
        <w:t> </w:t>
      </w:r>
      <w:r>
        <w:rPr>
          <w:spacing w:val="-64"/>
        </w:rPr>
      </w:r>
      <w:r>
        <w:rPr/>
        <w:t>项目的实施。天地伟业公司以公司不履行合同为由，向长沙市芙蓉区人民法院提起诉讼，要求公司承担违约损害赔偿责任， 赔偿其损失</w:t>
      </w:r>
      <w:r>
        <w:rPr>
          <w:spacing w:val="-50"/>
        </w:rPr>
        <w:t> </w:t>
      </w:r>
      <w:r>
        <w:rPr>
          <w:rFonts w:ascii="Times New Roman" w:hAnsi="Times New Roman" w:cs="Times New Roman" w:eastAsia="Times New Roman" w:hint="default"/>
        </w:rPr>
        <w:t>576.29</w:t>
      </w:r>
      <w:r>
        <w:rPr>
          <w:rFonts w:ascii="Times New Roman" w:hAnsi="Times New Roman" w:cs="Times New Roman" w:eastAsia="Times New Roman" w:hint="default"/>
          <w:spacing w:val="-3"/>
        </w:rPr>
        <w:t> </w:t>
      </w:r>
      <w:r>
        <w:rPr/>
        <w:t>万元、原告律师代理费</w:t>
      </w:r>
      <w:r>
        <w:rPr>
          <w:spacing w:val="-49"/>
        </w:rPr>
        <w:t> </w:t>
      </w:r>
      <w:r>
        <w:rPr>
          <w:rFonts w:ascii="Times New Roman" w:hAnsi="Times New Roman" w:cs="Times New Roman" w:eastAsia="Times New Roman" w:hint="default"/>
        </w:rPr>
        <w:t>37.39</w:t>
      </w:r>
      <w:r>
        <w:rPr>
          <w:rFonts w:ascii="Times New Roman" w:hAnsi="Times New Roman" w:cs="Times New Roman" w:eastAsia="Times New Roman" w:hint="default"/>
          <w:spacing w:val="-3"/>
        </w:rPr>
        <w:t> </w:t>
      </w:r>
      <w:r>
        <w:rPr/>
        <w:t>万元及诉讼费、财产保全费。</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日，长沙市芙蓉区人民法院开 </w:t>
      </w:r>
      <w:r>
        <w:rPr>
          <w:spacing w:val="-2"/>
        </w:rPr>
        <w:t>庭审理该案，公司以天地伟业公司所提供设备不符合中标要求为主要理由进行了抗辩。目前该案庭审尚未结束，公司代理律</w:t>
      </w:r>
      <w:r>
        <w:rPr>
          <w:spacing w:val="-63"/>
        </w:rPr>
        <w:t> </w:t>
      </w:r>
      <w:r>
        <w:rPr>
          <w:spacing w:val="-63"/>
        </w:rPr>
      </w:r>
      <w:r>
        <w:rPr/>
        <w:t>师认为天地伟业公司的诉讼请求没有事实和法律依据。</w:t>
      </w:r>
    </w:p>
    <w:p>
      <w:pPr>
        <w:spacing w:line="240" w:lineRule="auto" w:before="7"/>
        <w:rPr>
          <w:rFonts w:ascii="宋体" w:hAnsi="宋体" w:cs="宋体" w:eastAsia="宋体" w:hint="default"/>
          <w:sz w:val="14"/>
          <w:szCs w:val="14"/>
        </w:rPr>
      </w:pPr>
    </w:p>
    <w:p>
      <w:pPr>
        <w:pStyle w:val="BodyText"/>
        <w:spacing w:line="240" w:lineRule="auto"/>
        <w:ind w:left="573" w:right="115"/>
        <w:jc w:val="left"/>
      </w:pPr>
      <w:r>
        <w:rPr/>
        <w:t>除上述事项外，截至资产负债表日，本公司无应披露的或有事项。</w:t>
      </w:r>
    </w:p>
    <w:p>
      <w:pPr>
        <w:spacing w:after="0" w:line="240" w:lineRule="auto"/>
        <w:jc w:val="left"/>
        <w:sectPr>
          <w:pgSz w:w="11910" w:h="16840"/>
          <w:pgMar w:header="918" w:footer="979" w:top="1100" w:bottom="1180" w:left="920" w:right="920"/>
        </w:sectPr>
      </w:pPr>
    </w:p>
    <w:p>
      <w:pPr>
        <w:spacing w:line="240" w:lineRule="auto" w:before="11"/>
        <w:rPr>
          <w:rFonts w:ascii="宋体" w:hAnsi="宋体" w:cs="宋体" w:eastAsia="宋体" w:hint="default"/>
          <w:sz w:val="20"/>
          <w:szCs w:val="20"/>
        </w:rPr>
      </w:pPr>
    </w:p>
    <w:p>
      <w:pPr>
        <w:pStyle w:val="Heading5"/>
        <w:spacing w:line="240" w:lineRule="auto" w:before="36"/>
        <w:ind w:left="213" w:right="115"/>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84" w:right="5558"/>
        <w:jc w:val="left"/>
      </w:pPr>
      <w:r>
        <w:rPr/>
        <w:t>无其他或有负债及其财务影响</w:t>
      </w:r>
    </w:p>
    <w:p>
      <w:pPr>
        <w:spacing w:line="240" w:lineRule="auto" w:before="1"/>
        <w:rPr>
          <w:rFonts w:ascii="宋体" w:hAnsi="宋体" w:cs="宋体" w:eastAsia="宋体" w:hint="default"/>
          <w:sz w:val="25"/>
          <w:szCs w:val="25"/>
        </w:rPr>
      </w:pPr>
    </w:p>
    <w:p>
      <w:pPr>
        <w:pStyle w:val="Heading3"/>
        <w:spacing w:line="240" w:lineRule="auto"/>
        <w:ind w:left="213" w:right="5558"/>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3" w:right="5558"/>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3" w:right="5558"/>
        <w:jc w:val="left"/>
      </w:pPr>
      <w:r>
        <w:rPr/>
        <w:t>截至资产负债表日，本公司无应披露的承诺事项。</w:t>
      </w:r>
    </w:p>
    <w:p>
      <w:pPr>
        <w:spacing w:line="240" w:lineRule="auto" w:before="0"/>
        <w:rPr>
          <w:rFonts w:ascii="宋体" w:hAnsi="宋体" w:cs="宋体" w:eastAsia="宋体" w:hint="default"/>
          <w:sz w:val="18"/>
          <w:szCs w:val="18"/>
        </w:rPr>
      </w:pPr>
    </w:p>
    <w:p>
      <w:pPr>
        <w:pStyle w:val="Heading5"/>
        <w:spacing w:line="240" w:lineRule="auto" w:before="118"/>
        <w:ind w:left="213" w:right="5558"/>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3" w:right="5558"/>
        <w:jc w:val="left"/>
      </w:pPr>
      <w:r>
        <w:rPr/>
        <w:t>无前期承诺履行情况。</w:t>
      </w:r>
    </w:p>
    <w:p>
      <w:pPr>
        <w:spacing w:line="240" w:lineRule="auto" w:before="4"/>
        <w:rPr>
          <w:rFonts w:ascii="宋体" w:hAnsi="宋体" w:cs="宋体" w:eastAsia="宋体" w:hint="default"/>
          <w:sz w:val="25"/>
          <w:szCs w:val="25"/>
        </w:rPr>
      </w:pPr>
    </w:p>
    <w:p>
      <w:pPr>
        <w:pStyle w:val="Heading3"/>
        <w:spacing w:line="240" w:lineRule="auto"/>
        <w:ind w:left="213" w:right="5558"/>
        <w:jc w:val="left"/>
        <w:rPr>
          <w:b w:val="0"/>
          <w:bCs w:val="0"/>
        </w:rPr>
      </w:pPr>
      <w:r>
        <w:rPr/>
        <w:t>十三、资产负债表日后事项</w:t>
      </w:r>
      <w:r>
        <w:rPr>
          <w:b w:val="0"/>
          <w:bCs w:val="0"/>
        </w:rPr>
      </w:r>
    </w:p>
    <w:p>
      <w:pPr>
        <w:spacing w:line="240" w:lineRule="auto" w:before="10"/>
        <w:rPr>
          <w:rFonts w:ascii="宋体" w:hAnsi="宋体" w:cs="宋体" w:eastAsia="宋体" w:hint="default"/>
          <w:b/>
          <w:bCs/>
          <w:sz w:val="31"/>
          <w:szCs w:val="31"/>
        </w:rPr>
      </w:pPr>
    </w:p>
    <w:p>
      <w:pPr>
        <w:pStyle w:val="BodyText"/>
        <w:spacing w:line="240" w:lineRule="auto"/>
        <w:ind w:left="573" w:right="115"/>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日，本公司第二届董事会第十八次会议审议通过公司</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年度利润分配和资本公积转增股本预案，公</w:t>
      </w:r>
    </w:p>
    <w:p>
      <w:pPr>
        <w:pStyle w:val="BodyText"/>
        <w:spacing w:line="240" w:lineRule="auto" w:before="111"/>
        <w:ind w:left="213" w:right="115"/>
        <w:jc w:val="left"/>
      </w:pPr>
      <w:r>
        <w:rPr/>
        <w:t>司拟以</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w:t>
      </w:r>
      <w:r>
        <w:rPr>
          <w:spacing w:val="-3"/>
        </w:rPr>
        <w:t>总</w:t>
      </w:r>
      <w:r>
        <w:rPr/>
        <w:t>股本</w:t>
      </w:r>
      <w:r>
        <w:rPr>
          <w:spacing w:val="-44"/>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7</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万股为基数</w:t>
      </w:r>
      <w:r>
        <w:rPr>
          <w:spacing w:val="-10"/>
        </w:rPr>
        <w:t>，</w:t>
      </w:r>
      <w:r>
        <w:rPr/>
        <w:t>向</w:t>
      </w:r>
      <w:r>
        <w:rPr>
          <w:spacing w:val="-3"/>
        </w:rPr>
        <w:t>全</w:t>
      </w:r>
      <w:r>
        <w:rPr/>
        <w:t>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股</w:t>
      </w:r>
      <w:r>
        <w:rPr/>
        <w:t>利</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8 </w:t>
      </w:r>
      <w:r>
        <w:rPr>
          <w:rFonts w:ascii="Times New Roman" w:hAnsi="Times New Roman" w:cs="Times New Roman" w:eastAsia="Times New Roman" w:hint="default"/>
          <w:spacing w:val="2"/>
        </w:rPr>
        <w:t> </w:t>
      </w:r>
      <w:r>
        <w:rPr>
          <w:spacing w:val="-10"/>
        </w:rPr>
        <w:t>元</w:t>
      </w:r>
      <w:r>
        <w:rPr/>
        <w:t>（含税</w:t>
      </w:r>
      <w:r>
        <w:rPr>
          <w:spacing w:val="-92"/>
        </w:rPr>
        <w:t>）</w:t>
      </w:r>
      <w:r>
        <w:rPr>
          <w:spacing w:val="-10"/>
        </w:rPr>
        <w:t>；</w:t>
      </w:r>
      <w:r>
        <w:rPr/>
        <w:t>同时</w:t>
      </w:r>
      <w:r>
        <w:rPr>
          <w:spacing w:val="-10"/>
        </w:rPr>
        <w:t>，</w:t>
      </w:r>
      <w:r>
        <w:rPr/>
        <w:t>拟以资本</w:t>
      </w:r>
    </w:p>
    <w:p>
      <w:pPr>
        <w:pStyle w:val="BodyText"/>
        <w:spacing w:line="496" w:lineRule="auto" w:before="111"/>
        <w:ind w:left="573" w:right="2093" w:hanging="360"/>
        <w:jc w:val="left"/>
      </w:pPr>
      <w:r>
        <w:rPr/>
        <w:t>公积向全体股东每</w:t>
      </w:r>
      <w:r>
        <w:rPr>
          <w:spacing w:val="-46"/>
        </w:rPr>
        <w:t> </w:t>
      </w:r>
      <w:r>
        <w:rPr>
          <w:rFonts w:ascii="Times New Roman" w:hAnsi="Times New Roman" w:cs="Times New Roman" w:eastAsia="Times New Roman" w:hint="default"/>
        </w:rPr>
        <w:t>10 </w:t>
      </w:r>
      <w:r>
        <w:rPr/>
        <w:t>股转增</w:t>
      </w:r>
      <w:r>
        <w:rPr>
          <w:spacing w:val="-4"/>
        </w:rPr>
        <w:t> </w:t>
      </w:r>
      <w:r>
        <w:rPr>
          <w:rFonts w:ascii="Times New Roman" w:hAnsi="Times New Roman" w:cs="Times New Roman" w:eastAsia="Times New Roman" w:hint="default"/>
        </w:rPr>
        <w:t>2 </w:t>
      </w:r>
      <w:r>
        <w:rPr/>
        <w:t>股。该分配预案待公司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年度股东大会通过后实施。 除上述事项外，截至本财务报表批准报出日，本公司无应披露的资产负债表日后非调整事项。</w:t>
      </w:r>
    </w:p>
    <w:p>
      <w:pPr>
        <w:pStyle w:val="Heading3"/>
        <w:spacing w:line="240" w:lineRule="auto" w:before="116"/>
        <w:ind w:left="213" w:right="5558"/>
        <w:jc w:val="left"/>
        <w:rPr>
          <w:b w:val="0"/>
          <w:bCs w:val="0"/>
        </w:rPr>
      </w:pPr>
      <w:r>
        <w:rPr/>
        <w:t>十四、其他重大事项</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73" w:right="115"/>
        <w:jc w:val="left"/>
      </w:pPr>
      <w:r>
        <w:rPr/>
        <w:t>截至资产负债表日，本公司无应披露的其他重大事项。</w:t>
      </w:r>
    </w:p>
    <w:p>
      <w:pPr>
        <w:spacing w:line="240" w:lineRule="auto" w:before="8"/>
        <w:rPr>
          <w:rFonts w:ascii="宋体" w:hAnsi="宋体" w:cs="宋体" w:eastAsia="宋体" w:hint="default"/>
          <w:sz w:val="23"/>
          <w:szCs w:val="23"/>
        </w:rPr>
      </w:pPr>
    </w:p>
    <w:p>
      <w:pPr>
        <w:pStyle w:val="Heading3"/>
        <w:spacing w:line="240" w:lineRule="auto"/>
        <w:ind w:left="213" w:right="5558"/>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3" w:right="5558"/>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）按类别列示</w:t>
      </w:r>
    </w:p>
    <w:p>
      <w:pPr>
        <w:spacing w:line="240" w:lineRule="auto" w:before="11"/>
        <w:rPr>
          <w:rFonts w:ascii="宋体" w:hAnsi="宋体" w:cs="宋体" w:eastAsia="宋体" w:hint="default"/>
          <w:sz w:val="21"/>
          <w:szCs w:val="21"/>
        </w:rPr>
      </w:pPr>
    </w:p>
    <w:p>
      <w:pPr>
        <w:tabs>
          <w:tab w:pos="7678" w:val="left" w:leader="none"/>
        </w:tabs>
        <w:spacing w:before="54"/>
        <w:ind w:left="3763" w:right="115"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0"/>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918" w:footer="979" w:top="1100" w:bottom="1180" w:left="920" w:right="920"/>
        </w:sectPr>
      </w:pPr>
    </w:p>
    <w:p>
      <w:pPr>
        <w:spacing w:line="240" w:lineRule="auto" w:before="1"/>
        <w:rPr>
          <w:rFonts w:ascii="宋体" w:hAnsi="宋体" w:cs="宋体" w:eastAsia="宋体" w:hint="default"/>
          <w:b/>
          <w:bCs/>
          <w:sz w:val="14"/>
          <w:szCs w:val="14"/>
        </w:rPr>
      </w:pPr>
    </w:p>
    <w:p>
      <w:pPr>
        <w:spacing w:before="0"/>
        <w:ind w:left="892" w:right="0" w:firstLine="0"/>
        <w:jc w:val="left"/>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3"/>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p>
      <w:pPr>
        <w:spacing w:before="34"/>
        <w:ind w:left="0" w:right="0" w:firstLine="0"/>
        <w:jc w:val="righ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p>
      <w:pPr>
        <w:spacing w:line="240" w:lineRule="auto" w:before="6"/>
        <w:rPr>
          <w:rFonts w:ascii="宋体" w:hAnsi="宋体" w:cs="宋体" w:eastAsia="宋体" w:hint="default"/>
          <w:b/>
          <w:bCs/>
          <w:sz w:val="16"/>
          <w:szCs w:val="16"/>
        </w:rPr>
      </w:pPr>
      <w:r>
        <w:rPr/>
        <w:br w:type="column"/>
      </w:r>
      <w:r>
        <w:rPr>
          <w:rFonts w:ascii="宋体"/>
          <w:b/>
          <w:sz w:val="16"/>
        </w:rPr>
      </w:r>
    </w:p>
    <w:p>
      <w:pPr>
        <w:spacing w:line="487" w:lineRule="auto" w:before="0"/>
        <w:ind w:left="279" w:right="-16" w:firstLine="129"/>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9"/>
        <w:rPr>
          <w:rFonts w:ascii="宋体" w:hAnsi="宋体" w:cs="宋体" w:eastAsia="宋体" w:hint="default"/>
          <w:b/>
          <w:bCs/>
          <w:sz w:val="17"/>
          <w:szCs w:val="17"/>
        </w:rPr>
      </w:pPr>
    </w:p>
    <w:p>
      <w:pPr>
        <w:spacing w:before="0"/>
        <w:ind w:left="187"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line="439" w:lineRule="auto" w:before="0"/>
        <w:ind w:left="231" w:right="-17" w:firstLine="2"/>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pacing w:val="-12"/>
          <w:w w:val="100"/>
          <w:sz w:val="15"/>
          <w:szCs w:val="15"/>
        </w:rPr>
        <w:t>提比例（</w:t>
      </w:r>
      <w:r>
        <w:rPr>
          <w:rFonts w:ascii="Times New Roman" w:hAnsi="Times New Roman" w:cs="Times New Roman" w:eastAsia="Times New Roman" w:hint="default"/>
          <w:b/>
          <w:bCs/>
          <w:spacing w:val="-12"/>
          <w:w w:val="100"/>
          <w:sz w:val="15"/>
          <w:szCs w:val="15"/>
        </w:rPr>
        <w:t>%</w:t>
      </w:r>
      <w:r>
        <w:rPr>
          <w:rFonts w:ascii="宋体" w:hAnsi="宋体" w:cs="宋体" w:eastAsia="宋体" w:hint="default"/>
          <w:b/>
          <w:bCs/>
          <w:spacing w:val="-12"/>
          <w:w w:val="100"/>
          <w:sz w:val="15"/>
          <w:szCs w:val="15"/>
        </w:rPr>
        <w:t>）</w:t>
      </w:r>
      <w:r>
        <w:rPr>
          <w:rFonts w:ascii="宋体" w:hAnsi="宋体" w:cs="宋体" w:eastAsia="宋体" w:hint="default"/>
          <w:spacing w:val="-12"/>
          <w:w w:val="100"/>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9"/>
        <w:rPr>
          <w:rFonts w:ascii="宋体" w:hAnsi="宋体" w:cs="宋体" w:eastAsia="宋体" w:hint="default"/>
          <w:b/>
          <w:bCs/>
          <w:sz w:val="17"/>
          <w:szCs w:val="17"/>
        </w:rPr>
      </w:pPr>
    </w:p>
    <w:p>
      <w:pPr>
        <w:spacing w:before="0"/>
        <w:ind w:left="192" w:right="-17" w:firstLine="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p>
      <w:pPr>
        <w:spacing w:line="240" w:lineRule="auto" w:before="6"/>
        <w:rPr>
          <w:rFonts w:ascii="宋体" w:hAnsi="宋体" w:cs="宋体" w:eastAsia="宋体" w:hint="default"/>
          <w:b/>
          <w:bCs/>
          <w:sz w:val="16"/>
          <w:szCs w:val="16"/>
        </w:rPr>
      </w:pPr>
      <w:r>
        <w:rPr/>
        <w:br w:type="column"/>
      </w:r>
      <w:r>
        <w:rPr>
          <w:rFonts w:ascii="宋体"/>
          <w:b/>
          <w:sz w:val="16"/>
        </w:rPr>
      </w:r>
    </w:p>
    <w:p>
      <w:pPr>
        <w:spacing w:line="487" w:lineRule="auto" w:before="0"/>
        <w:ind w:left="270" w:right="-14" w:firstLine="139"/>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pacing w:val="-1"/>
          <w:sz w:val="15"/>
          <w:szCs w:val="15"/>
        </w:rPr>
        <w:t>比例（</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9"/>
        <w:rPr>
          <w:rFonts w:ascii="宋体" w:hAnsi="宋体" w:cs="宋体" w:eastAsia="宋体" w:hint="default"/>
          <w:b/>
          <w:bCs/>
          <w:sz w:val="17"/>
          <w:szCs w:val="17"/>
        </w:rPr>
      </w:pPr>
    </w:p>
    <w:p>
      <w:pPr>
        <w:spacing w:before="0"/>
        <w:ind w:left="269"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444" w:lineRule="auto" w:before="54"/>
        <w:ind w:left="358" w:right="263"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435" w:right="263"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180" w:left="920" w:right="920"/>
          <w:cols w:num="8" w:equalWidth="0">
            <w:col w:w="2950" w:space="40"/>
            <w:col w:w="1036" w:space="40"/>
            <w:col w:w="793" w:space="40"/>
            <w:col w:w="1070" w:space="40"/>
            <w:col w:w="798" w:space="40"/>
            <w:col w:w="1024" w:space="40"/>
            <w:col w:w="875" w:space="40"/>
            <w:col w:w="1244"/>
          </w:cols>
        </w:sectPr>
      </w:pPr>
    </w:p>
    <w:p>
      <w:pPr>
        <w:spacing w:line="240" w:lineRule="auto" w:before="5"/>
        <w:rPr>
          <w:rFonts w:ascii="宋体" w:hAnsi="宋体" w:cs="宋体" w:eastAsia="宋体" w:hint="default"/>
          <w:b/>
          <w:bCs/>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93.35pt;height:.5pt;mso-position-horizontal-relative:char;mso-position-vertical-relative:line" coordorigin="0,0" coordsize="9867,10">
            <v:group style="position:absolute;left:5;top:5;width:2029;height:2" coordorigin="5,5" coordsize="2029,2">
              <v:shape style="position:absolute;left:5;top:5;width:2029;height:2" coordorigin="5,5" coordsize="2029,0" path="m5,5l2033,5e" filled="false" stroked="true" strokeweight=".47998pt" strokecolor="#000000">
                <v:path arrowok="t"/>
              </v:shape>
            </v:group>
            <v:group style="position:absolute;left:2033;top:5;width:10;height:2" coordorigin="2033,5" coordsize="10,2">
              <v:shape style="position:absolute;left:2033;top:5;width:10;height:2" coordorigin="2033,5" coordsize="10,0" path="m2033,5l2043,5e" filled="false" stroked="true" strokeweight=".47998pt" strokecolor="#000000">
                <v:path arrowok="t"/>
              </v:shape>
            </v:group>
            <v:group style="position:absolute;left:2043;top:5;width:1016;height:2" coordorigin="2043,5" coordsize="1016,2">
              <v:shape style="position:absolute;left:2043;top:5;width:1016;height:2" coordorigin="2043,5" coordsize="1016,0" path="m2043,5l3058,5e" filled="false" stroked="true" strokeweight=".47998pt" strokecolor="#000000">
                <v:path arrowok="t"/>
              </v:shape>
            </v:group>
            <v:group style="position:absolute;left:3059;top:5;width:10;height:2" coordorigin="3059,5" coordsize="10,2">
              <v:shape style="position:absolute;left:3059;top:5;width:10;height:2" coordorigin="3059,5" coordsize="10,0" path="m3059,5l3068,5e" filled="false" stroked="true" strokeweight=".47998pt" strokecolor="#000000">
                <v:path arrowok="t"/>
              </v:shape>
            </v:group>
            <v:group style="position:absolute;left:3068;top:5;width:922;height:2" coordorigin="3068,5" coordsize="922,2">
              <v:shape style="position:absolute;left:3068;top:5;width:922;height:2" coordorigin="3068,5" coordsize="922,0" path="m3068,5l3990,5e" filled="false" stroked="true" strokeweight=".47998pt" strokecolor="#000000">
                <v:path arrowok="t"/>
              </v:shape>
            </v:group>
            <v:group style="position:absolute;left:3990;top:5;width:10;height:2" coordorigin="3990,5" coordsize="10,2">
              <v:shape style="position:absolute;left:3990;top:5;width:10;height:2" coordorigin="3990,5" coordsize="10,0" path="m3990,5l3999,5e" filled="false" stroked="true" strokeweight=".47998pt" strokecolor="#000000">
                <v:path arrowok="t"/>
              </v:shape>
            </v:group>
            <v:group style="position:absolute;left:3999;top:5;width:923;height:2" coordorigin="3999,5" coordsize="923,2">
              <v:shape style="position:absolute;left:3999;top:5;width:923;height:2" coordorigin="3999,5" coordsize="923,0" path="m3999,5l4921,5e" filled="false" stroked="true" strokeweight=".47998pt" strokecolor="#000000">
                <v:path arrowok="t"/>
              </v:shape>
            </v:group>
            <v:group style="position:absolute;left:4921;top:5;width:10;height:2" coordorigin="4921,5" coordsize="10,2">
              <v:shape style="position:absolute;left:4921;top:5;width:10;height:2" coordorigin="4921,5" coordsize="10,0" path="m4921,5l4931,5e" filled="false" stroked="true" strokeweight=".47998pt" strokecolor="#000000">
                <v:path arrowok="t"/>
              </v:shape>
            </v:group>
            <v:group style="position:absolute;left:4931;top:5;width:968;height:2" coordorigin="4931,5" coordsize="968,2">
              <v:shape style="position:absolute;left:4931;top:5;width:968;height:2" coordorigin="4931,5" coordsize="968,0" path="m4931,5l5898,5e" filled="false" stroked="true" strokeweight=".47998pt" strokecolor="#000000">
                <v:path arrowok="t"/>
              </v:shape>
            </v:group>
            <v:group style="position:absolute;left:5898;top:5;width:10;height:2" coordorigin="5898,5" coordsize="10,2">
              <v:shape style="position:absolute;left:5898;top:5;width:10;height:2" coordorigin="5898,5" coordsize="10,0" path="m5898,5l5908,5e" filled="false" stroked="true" strokeweight=".47998pt" strokecolor="#000000">
                <v:path arrowok="t"/>
              </v:shape>
            </v:group>
            <v:group style="position:absolute;left:5908;top:5;width:997;height:2" coordorigin="5908,5" coordsize="997,2">
              <v:shape style="position:absolute;left:5908;top:5;width:997;height:2" coordorigin="5908,5" coordsize="997,0" path="m5908,5l6904,5e" filled="false" stroked="true" strokeweight=".47998pt" strokecolor="#000000">
                <v:path arrowok="t"/>
              </v:shape>
            </v:group>
            <v:group style="position:absolute;left:6904;top:5;width:10;height:2" coordorigin="6904,5" coordsize="10,2">
              <v:shape style="position:absolute;left:6904;top:5;width:10;height:2" coordorigin="6904,5" coordsize="10,0" path="m6904,5l6914,5e" filled="false" stroked="true" strokeweight=".47998pt" strokecolor="#000000">
                <v:path arrowok="t"/>
              </v:shape>
            </v:group>
            <v:group style="position:absolute;left:6914;top:5;width:936;height:2" coordorigin="6914,5" coordsize="936,2">
              <v:shape style="position:absolute;left:6914;top:5;width:936;height:2" coordorigin="6914,5" coordsize="936,0" path="m6914,5l7850,5e" filled="false" stroked="true" strokeweight=".47998pt" strokecolor="#000000">
                <v:path arrowok="t"/>
              </v:shape>
            </v:group>
            <v:group style="position:absolute;left:7850;top:5;width:10;height:2" coordorigin="7850,5" coordsize="10,2">
              <v:shape style="position:absolute;left:7850;top:5;width:10;height:2" coordorigin="7850,5" coordsize="10,0" path="m7850,5l7860,5e" filled="false" stroked="true" strokeweight=".47998pt" strokecolor="#000000">
                <v:path arrowok="t"/>
              </v:shape>
            </v:group>
            <v:group style="position:absolute;left:7860;top:5;width:1047;height:2" coordorigin="7860,5" coordsize="1047,2">
              <v:shape style="position:absolute;left:7860;top:5;width:1047;height:2" coordorigin="7860,5" coordsize="1047,0" path="m7860,5l8906,5e" filled="false" stroked="true" strokeweight=".47998pt" strokecolor="#000000">
                <v:path arrowok="t"/>
              </v:shape>
            </v:group>
            <v:group style="position:absolute;left:8906;top:5;width:10;height:2" coordorigin="8906,5" coordsize="10,2">
              <v:shape style="position:absolute;left:8906;top:5;width:10;height:2" coordorigin="8906,5" coordsize="10,0" path="m8906,5l8916,5e" filled="false" stroked="true" strokeweight=".47998pt" strokecolor="#000000">
                <v:path arrowok="t"/>
              </v:shape>
            </v:group>
            <v:group style="position:absolute;left:8916;top:5;width:946;height:2" coordorigin="8916,5" coordsize="946,2">
              <v:shape style="position:absolute;left:8916;top:5;width:946;height:2" coordorigin="8916,5" coordsize="946,0" path="m8916,5l9862,5e" filled="false" stroked="true" strokeweight=".4799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6"/>
          <w:szCs w:val="6"/>
        </w:rPr>
      </w:pPr>
    </w:p>
    <w:p>
      <w:pPr>
        <w:spacing w:line="439" w:lineRule="auto" w:before="54"/>
        <w:ind w:left="157" w:right="6833" w:firstLine="0"/>
        <w:jc w:val="left"/>
        <w:rPr>
          <w:rFonts w:ascii="宋体" w:hAnsi="宋体" w:cs="宋体" w:eastAsia="宋体" w:hint="default"/>
          <w:sz w:val="15"/>
          <w:szCs w:val="15"/>
        </w:rPr>
      </w:pPr>
      <w:r>
        <w:rPr>
          <w:rFonts w:ascii="宋体" w:hAnsi="宋体" w:cs="宋体" w:eastAsia="宋体" w:hint="default"/>
          <w:spacing w:val="8"/>
          <w:sz w:val="15"/>
          <w:szCs w:val="15"/>
        </w:rPr>
        <w:t>单项金额重大并单项计提坏</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账准备的应收账款</w:t>
      </w:r>
    </w:p>
    <w:p>
      <w:pPr>
        <w:spacing w:after="0" w:line="439" w:lineRule="auto"/>
        <w:jc w:val="left"/>
        <w:rPr>
          <w:rFonts w:ascii="宋体" w:hAnsi="宋体" w:cs="宋体" w:eastAsia="宋体" w:hint="default"/>
          <w:sz w:val="15"/>
          <w:szCs w:val="15"/>
        </w:rPr>
        <w:sectPr>
          <w:type w:val="continuous"/>
          <w:pgSz w:w="11910" w:h="16840"/>
          <w:pgMar w:top="1100" w:bottom="1180" w:left="920" w:right="920"/>
        </w:sectPr>
      </w:pPr>
    </w:p>
    <w:p>
      <w:pPr>
        <w:spacing w:line="436" w:lineRule="auto" w:before="121"/>
        <w:ind w:left="157" w:right="0" w:firstLine="0"/>
        <w:jc w:val="left"/>
        <w:rPr>
          <w:rFonts w:ascii="宋体" w:hAnsi="宋体" w:cs="宋体" w:eastAsia="宋体" w:hint="default"/>
          <w:sz w:val="15"/>
          <w:szCs w:val="15"/>
        </w:rPr>
      </w:pPr>
      <w:r>
        <w:rPr>
          <w:rFonts w:ascii="宋体" w:hAnsi="宋体" w:cs="宋体" w:eastAsia="宋体" w:hint="default"/>
          <w:spacing w:val="8"/>
          <w:sz w:val="15"/>
          <w:szCs w:val="15"/>
        </w:rPr>
        <w:t>按组合计提坏账准备的应收</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账款</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1"/>
          <w:szCs w:val="11"/>
        </w:rPr>
      </w:pPr>
    </w:p>
    <w:p>
      <w:pPr>
        <w:tabs>
          <w:tab w:pos="1348" w:val="left" w:leader="none"/>
          <w:tab w:pos="2133" w:val="left" w:leader="none"/>
          <w:tab w:pos="3213" w:val="left" w:leader="none"/>
          <w:tab w:pos="4005" w:val="left" w:leader="none"/>
          <w:tab w:pos="5201" w:val="left" w:leader="none"/>
          <w:tab w:pos="5976" w:val="left" w:leader="none"/>
          <w:tab w:pos="7186" w:val="left" w:leader="none"/>
        </w:tabs>
        <w:spacing w:before="0"/>
        <w:ind w:left="157" w:right="0" w:firstLine="0"/>
        <w:jc w:val="left"/>
        <w:rPr>
          <w:rFonts w:ascii="Times New Roman" w:hAnsi="Times New Roman" w:cs="Times New Roman" w:eastAsia="Times New Roman" w:hint="default"/>
          <w:sz w:val="15"/>
          <w:szCs w:val="15"/>
        </w:rPr>
      </w:pPr>
      <w:r>
        <w:rPr>
          <w:rFonts w:ascii="Times New Roman"/>
          <w:spacing w:val="-1"/>
          <w:sz w:val="15"/>
        </w:rPr>
        <w:t>7,054,466.05</w:t>
        <w:tab/>
        <w:t>100</w:t>
        <w:tab/>
        <w:t>345,088.91</w:t>
        <w:tab/>
        <w:t>4.89</w:t>
        <w:tab/>
        <w:t>8,435,102.82</w:t>
        <w:tab/>
        <w:t>100</w:t>
        <w:tab/>
        <w:t>244,236.13</w:t>
        <w:tab/>
        <w:t>2.90</w:t>
      </w:r>
    </w:p>
    <w:p>
      <w:pPr>
        <w:spacing w:after="0"/>
        <w:jc w:val="left"/>
        <w:rPr>
          <w:rFonts w:ascii="Times New Roman" w:hAnsi="Times New Roman" w:cs="Times New Roman" w:eastAsia="Times New Roman" w:hint="default"/>
          <w:sz w:val="15"/>
          <w:szCs w:val="15"/>
        </w:rPr>
        <w:sectPr>
          <w:type w:val="continuous"/>
          <w:pgSz w:w="11910" w:h="16840"/>
          <w:pgMar w:top="1100" w:bottom="1180" w:left="920" w:right="920"/>
          <w:cols w:num="2" w:equalWidth="0">
            <w:col w:w="2090" w:space="80"/>
            <w:col w:w="7900"/>
          </w:cols>
        </w:sectPr>
      </w:pPr>
    </w:p>
    <w:p>
      <w:pPr>
        <w:spacing w:line="439" w:lineRule="auto" w:before="122"/>
        <w:ind w:left="155" w:right="6833" w:firstLine="0"/>
        <w:jc w:val="left"/>
        <w:rPr>
          <w:rFonts w:ascii="宋体" w:hAnsi="宋体" w:cs="宋体" w:eastAsia="宋体" w:hint="default"/>
          <w:sz w:val="15"/>
          <w:szCs w:val="15"/>
        </w:rPr>
      </w:pPr>
      <w:r>
        <w:rPr>
          <w:rFonts w:ascii="宋体" w:hAnsi="宋体" w:cs="宋体" w:eastAsia="宋体" w:hint="default"/>
          <w:spacing w:val="8"/>
          <w:sz w:val="15"/>
          <w:szCs w:val="15"/>
        </w:rPr>
        <w:t>单项金额虽不重大但单项计</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提坏账准备的应收账款</w:t>
      </w:r>
    </w:p>
    <w:p>
      <w:pPr>
        <w:spacing w:after="0" w:line="439" w:lineRule="auto"/>
        <w:jc w:val="left"/>
        <w:rPr>
          <w:rFonts w:ascii="宋体" w:hAnsi="宋体" w:cs="宋体" w:eastAsia="宋体" w:hint="default"/>
          <w:sz w:val="15"/>
          <w:szCs w:val="15"/>
        </w:rPr>
        <w:sectPr>
          <w:type w:val="continuous"/>
          <w:pgSz w:w="11910" w:h="16840"/>
          <w:pgMar w:top="1100" w:bottom="118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697" w:type="dxa"/>
        <w:tblLayout w:type="fixed"/>
        <w:tblCellMar>
          <w:top w:w="0" w:type="dxa"/>
          <w:left w:w="0" w:type="dxa"/>
          <w:bottom w:w="0" w:type="dxa"/>
          <w:right w:w="0" w:type="dxa"/>
        </w:tblCellMar>
        <w:tblLook w:val="01E0"/>
      </w:tblPr>
      <w:tblGrid>
        <w:gridCol w:w="1142"/>
        <w:gridCol w:w="1478"/>
        <w:gridCol w:w="707"/>
        <w:gridCol w:w="1553"/>
        <w:gridCol w:w="1590"/>
        <w:gridCol w:w="705"/>
        <w:gridCol w:w="1149"/>
      </w:tblGrid>
      <w:tr>
        <w:trPr>
          <w:trHeight w:val="159" w:hRule="exact"/>
        </w:trPr>
        <w:tc>
          <w:tcPr>
            <w:tcW w:w="114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78" w:type="dxa"/>
            <w:tcBorders>
              <w:top w:val="nil" w:sz="6" w:space="0" w:color="auto"/>
              <w:left w:val="nil" w:sz="6" w:space="0" w:color="auto"/>
              <w:bottom w:val="nil" w:sz="6" w:space="0" w:color="auto"/>
              <w:right w:val="nil" w:sz="6" w:space="0" w:color="auto"/>
            </w:tcBorders>
          </w:tcPr>
          <w:p>
            <w:pPr>
              <w:pStyle w:val="TableParagraph"/>
              <w:spacing w:line="162" w:lineRule="exact"/>
              <w:ind w:left="48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7,054,466.05</w:t>
            </w:r>
            <w:r>
              <w:rPr>
                <w:rFonts w:ascii="Times New Roman"/>
                <w:sz w:val="15"/>
              </w:rPr>
            </w:r>
          </w:p>
        </w:tc>
        <w:tc>
          <w:tcPr>
            <w:tcW w:w="707" w:type="dxa"/>
            <w:tcBorders>
              <w:top w:val="nil" w:sz="6" w:space="0" w:color="auto"/>
              <w:left w:val="nil" w:sz="6" w:space="0" w:color="auto"/>
              <w:bottom w:val="nil" w:sz="6" w:space="0" w:color="auto"/>
              <w:right w:val="nil" w:sz="6" w:space="0" w:color="auto"/>
            </w:tcBorders>
          </w:tcPr>
          <w:p>
            <w:pPr>
              <w:pStyle w:val="TableParagraph"/>
              <w:spacing w:line="162" w:lineRule="exact"/>
              <w:ind w:left="20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553" w:type="dxa"/>
            <w:tcBorders>
              <w:top w:val="nil" w:sz="6" w:space="0" w:color="auto"/>
              <w:left w:val="nil" w:sz="6" w:space="0" w:color="auto"/>
              <w:bottom w:val="nil" w:sz="6" w:space="0" w:color="auto"/>
              <w:right w:val="nil" w:sz="6" w:space="0" w:color="auto"/>
            </w:tcBorders>
          </w:tcPr>
          <w:p>
            <w:pPr>
              <w:pStyle w:val="TableParagraph"/>
              <w:spacing w:line="162" w:lineRule="exact"/>
              <w:ind w:left="27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345,088.91</w:t>
            </w:r>
            <w:r>
              <w:rPr>
                <w:rFonts w:ascii="Times New Roman"/>
                <w:sz w:val="15"/>
              </w:rPr>
            </w:r>
          </w:p>
        </w:tc>
        <w:tc>
          <w:tcPr>
            <w:tcW w:w="1590" w:type="dxa"/>
            <w:tcBorders>
              <w:top w:val="nil" w:sz="6" w:space="0" w:color="auto"/>
              <w:left w:val="nil" w:sz="6" w:space="0" w:color="auto"/>
              <w:bottom w:val="nil" w:sz="6" w:space="0" w:color="auto"/>
              <w:right w:val="nil" w:sz="6" w:space="0" w:color="auto"/>
            </w:tcBorders>
          </w:tcPr>
          <w:p>
            <w:pPr>
              <w:pStyle w:val="TableParagraph"/>
              <w:spacing w:line="162" w:lineRule="exact"/>
              <w:ind w:left="59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8,435,102.82</w:t>
            </w:r>
            <w:r>
              <w:rPr>
                <w:rFonts w:ascii="Times New Roman"/>
                <w:sz w:val="15"/>
              </w:rPr>
            </w:r>
          </w:p>
        </w:tc>
        <w:tc>
          <w:tcPr>
            <w:tcW w:w="705" w:type="dxa"/>
            <w:tcBorders>
              <w:top w:val="nil" w:sz="6" w:space="0" w:color="auto"/>
              <w:left w:val="nil" w:sz="6" w:space="0" w:color="auto"/>
              <w:bottom w:val="nil" w:sz="6" w:space="0" w:color="auto"/>
              <w:right w:val="nil" w:sz="6" w:space="0" w:color="auto"/>
            </w:tcBorders>
          </w:tcPr>
          <w:p>
            <w:pPr>
              <w:pStyle w:val="TableParagraph"/>
              <w:spacing w:line="162" w:lineRule="exact"/>
              <w:ind w:left="20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49" w:type="dxa"/>
            <w:tcBorders>
              <w:top w:val="nil" w:sz="6" w:space="0" w:color="auto"/>
              <w:left w:val="nil" w:sz="6" w:space="0" w:color="auto"/>
              <w:bottom w:val="nil" w:sz="6" w:space="0" w:color="auto"/>
              <w:right w:val="nil" w:sz="6" w:space="0" w:color="auto"/>
            </w:tcBorders>
          </w:tcPr>
          <w:p>
            <w:pPr>
              <w:pStyle w:val="TableParagraph"/>
              <w:spacing w:line="162" w:lineRule="exact"/>
              <w:ind w:left="27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244,236.13</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5"/>
        <w:jc w:val="left"/>
      </w:pPr>
      <w:r>
        <w:rPr/>
        <w:t>（</w:t>
      </w:r>
      <w:r>
        <w:rPr>
          <w:rFonts w:ascii="Times New Roman" w:hAnsi="Times New Roman" w:cs="Times New Roman" w:eastAsia="Times New Roman" w:hint="default"/>
        </w:rPr>
        <w:t>2</w:t>
      </w:r>
      <w:r>
        <w:rPr/>
        <w:t>）组合中，按账龄分析法计提坏账准备的应收账款</w:t>
      </w:r>
    </w:p>
    <w:p>
      <w:pPr>
        <w:spacing w:line="240" w:lineRule="auto" w:before="0"/>
        <w:rPr>
          <w:rFonts w:ascii="宋体" w:hAnsi="宋体" w:cs="宋体" w:eastAsia="宋体" w:hint="default"/>
          <w:sz w:val="22"/>
          <w:szCs w:val="22"/>
        </w:rPr>
      </w:pPr>
    </w:p>
    <w:p>
      <w:pPr>
        <w:tabs>
          <w:tab w:pos="7647" w:val="left" w:leader="none"/>
        </w:tabs>
        <w:spacing w:before="54"/>
        <w:ind w:left="3571" w:right="115"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0"/>
        <w:rPr>
          <w:rFonts w:ascii="宋体" w:hAnsi="宋体" w:cs="宋体" w:eastAsia="宋体" w:hint="default"/>
          <w:b/>
          <w:bCs/>
          <w:sz w:val="16"/>
          <w:szCs w:val="16"/>
        </w:rPr>
      </w:pPr>
    </w:p>
    <w:p>
      <w:pPr>
        <w:tabs>
          <w:tab w:pos="8105" w:val="left" w:leader="none"/>
        </w:tabs>
        <w:spacing w:before="54"/>
        <w:ind w:left="4044" w:right="115" w:firstLine="0"/>
        <w:jc w:val="left"/>
        <w:rPr>
          <w:rFonts w:ascii="宋体" w:hAnsi="宋体" w:cs="宋体" w:eastAsia="宋体" w:hint="default"/>
          <w:sz w:val="15"/>
          <w:szCs w:val="15"/>
        </w:rPr>
      </w:pPr>
      <w:r>
        <w:rPr/>
        <w:pict>
          <v:shape style="position:absolute;margin-left:51.240002pt;margin-top:11.442881pt;width:492.85pt;height:153.5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3"/>
                    <w:gridCol w:w="1289"/>
                    <w:gridCol w:w="941"/>
                    <w:gridCol w:w="912"/>
                    <w:gridCol w:w="1190"/>
                    <w:gridCol w:w="1179"/>
                    <w:gridCol w:w="728"/>
                    <w:gridCol w:w="954"/>
                    <w:gridCol w:w="1050"/>
                  </w:tblGrid>
                  <w:tr>
                    <w:trPr>
                      <w:trHeight w:val="399"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151" w:lineRule="exact"/>
                          <w:ind w:left="624" w:right="0"/>
                          <w:jc w:val="left"/>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3"/>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5"/>
                            <w:szCs w:val="15"/>
                          </w:rPr>
                        </w:pPr>
                        <w:r>
                          <w:rPr>
                            <w:rFonts w:ascii="宋体" w:hAnsi="宋体" w:cs="宋体" w:eastAsia="宋体" w:hint="default"/>
                            <w:b/>
                            <w:bCs/>
                            <w:spacing w:val="-4"/>
                            <w:sz w:val="15"/>
                            <w:szCs w:val="15"/>
                          </w:rPr>
                          <w:t>比例（</w:t>
                        </w:r>
                        <w:r>
                          <w:rPr>
                            <w:rFonts w:ascii="Times New Roman" w:hAnsi="Times New Roman" w:cs="Times New Roman" w:eastAsia="Times New Roman" w:hint="default"/>
                            <w:b/>
                            <w:bCs/>
                            <w:spacing w:val="-4"/>
                            <w:sz w:val="15"/>
                            <w:szCs w:val="15"/>
                          </w:rPr>
                          <w:t>%</w:t>
                        </w:r>
                        <w:r>
                          <w:rPr>
                            <w:rFonts w:ascii="宋体" w:hAnsi="宋体" w:cs="宋体" w:eastAsia="宋体" w:hint="default"/>
                            <w:b/>
                            <w:bCs/>
                            <w:spacing w:val="-4"/>
                            <w:sz w:val="15"/>
                            <w:szCs w:val="15"/>
                          </w:rPr>
                          <w:t>）</w:t>
                        </w:r>
                        <w:r>
                          <w:rPr>
                            <w:rFonts w:ascii="宋体" w:hAnsi="宋体" w:cs="宋体" w:eastAsia="宋体" w:hint="default"/>
                            <w:spacing w:val="-4"/>
                            <w:sz w:val="15"/>
                            <w:szCs w:val="15"/>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1"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9"/>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444" w:hRule="exact"/>
                    </w:trPr>
                    <w:tc>
                      <w:tcPr>
                        <w:tcW w:w="1613" w:type="dxa"/>
                        <w:tcBorders>
                          <w:top w:val="nil" w:sz="6" w:space="0" w:color="auto"/>
                          <w:left w:val="nil" w:sz="6" w:space="0" w:color="auto"/>
                          <w:bottom w:val="single" w:sz="8" w:space="0" w:color="000000"/>
                          <w:right w:val="nil" w:sz="6" w:space="0" w:color="auto"/>
                        </w:tcBorders>
                      </w:tcPr>
                      <w:p>
                        <w:pPr/>
                      </w:p>
                    </w:tc>
                    <w:tc>
                      <w:tcPr>
                        <w:tcW w:w="1289" w:type="dxa"/>
                        <w:tcBorders>
                          <w:top w:val="nil" w:sz="6" w:space="0" w:color="auto"/>
                          <w:left w:val="nil" w:sz="6" w:space="0" w:color="auto"/>
                          <w:bottom w:val="single" w:sz="8" w:space="0" w:color="000000"/>
                          <w:right w:val="nil" w:sz="6" w:space="0" w:color="auto"/>
                        </w:tcBorders>
                      </w:tcPr>
                      <w:p>
                        <w:pPr/>
                      </w:p>
                    </w:tc>
                    <w:tc>
                      <w:tcPr>
                        <w:tcW w:w="941" w:type="dxa"/>
                        <w:tcBorders>
                          <w:top w:val="nil" w:sz="6" w:space="0" w:color="auto"/>
                          <w:left w:val="nil" w:sz="6" w:space="0" w:color="auto"/>
                          <w:bottom w:val="single" w:sz="8" w:space="0" w:color="000000"/>
                          <w:right w:val="nil" w:sz="6" w:space="0" w:color="auto"/>
                        </w:tcBorders>
                      </w:tcPr>
                      <w:p>
                        <w:pPr/>
                      </w:p>
                    </w:tc>
                    <w:tc>
                      <w:tcPr>
                        <w:tcW w:w="912" w:type="dxa"/>
                        <w:tcBorders>
                          <w:top w:val="nil" w:sz="6" w:space="0" w:color="auto"/>
                          <w:left w:val="nil" w:sz="6" w:space="0" w:color="auto"/>
                          <w:bottom w:val="single" w:sz="8" w:space="0" w:color="000000"/>
                          <w:right w:val="nil" w:sz="6" w:space="0" w:color="auto"/>
                        </w:tcBorders>
                      </w:tcPr>
                      <w:p>
                        <w:pPr>
                          <w:pStyle w:val="TableParagraph"/>
                          <w:spacing w:line="240" w:lineRule="auto" w:before="144"/>
                          <w:ind w:left="170"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90" w:type="dxa"/>
                        <w:tcBorders>
                          <w:top w:val="nil" w:sz="6" w:space="0" w:color="auto"/>
                          <w:left w:val="nil" w:sz="6" w:space="0" w:color="auto"/>
                          <w:bottom w:val="single" w:sz="8" w:space="0" w:color="000000"/>
                          <w:right w:val="nil" w:sz="6" w:space="0" w:color="auto"/>
                        </w:tcBorders>
                      </w:tcPr>
                      <w:p>
                        <w:pPr/>
                      </w:p>
                    </w:tc>
                    <w:tc>
                      <w:tcPr>
                        <w:tcW w:w="1179" w:type="dxa"/>
                        <w:tcBorders>
                          <w:top w:val="nil" w:sz="6" w:space="0" w:color="auto"/>
                          <w:left w:val="nil" w:sz="6" w:space="0" w:color="auto"/>
                          <w:bottom w:val="single" w:sz="8" w:space="0" w:color="000000"/>
                          <w:right w:val="nil" w:sz="6" w:space="0" w:color="auto"/>
                        </w:tcBorders>
                      </w:tcPr>
                      <w:p>
                        <w:pPr/>
                      </w:p>
                    </w:tc>
                    <w:tc>
                      <w:tcPr>
                        <w:tcW w:w="728" w:type="dxa"/>
                        <w:tcBorders>
                          <w:top w:val="nil" w:sz="6" w:space="0" w:color="auto"/>
                          <w:left w:val="nil" w:sz="6" w:space="0" w:color="auto"/>
                          <w:bottom w:val="single" w:sz="8" w:space="0" w:color="000000"/>
                          <w:right w:val="nil" w:sz="6" w:space="0" w:color="auto"/>
                        </w:tcBorders>
                      </w:tcPr>
                      <w:p>
                        <w:pPr>
                          <w:pStyle w:val="TableParagraph"/>
                          <w:spacing w:line="171" w:lineRule="exact"/>
                          <w:ind w:right="20"/>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54" w:type="dxa"/>
                        <w:tcBorders>
                          <w:top w:val="nil" w:sz="6" w:space="0" w:color="auto"/>
                          <w:left w:val="nil" w:sz="6" w:space="0" w:color="auto"/>
                          <w:bottom w:val="single" w:sz="8" w:space="0" w:color="000000"/>
                          <w:right w:val="nil" w:sz="6" w:space="0" w:color="auto"/>
                        </w:tcBorders>
                      </w:tcPr>
                      <w:p>
                        <w:pPr>
                          <w:pStyle w:val="TableParagraph"/>
                          <w:spacing w:line="240" w:lineRule="auto" w:before="144"/>
                          <w:ind w:right="47"/>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50" w:type="dxa"/>
                        <w:tcBorders>
                          <w:top w:val="nil" w:sz="6" w:space="0" w:color="auto"/>
                          <w:left w:val="nil" w:sz="6" w:space="0" w:color="auto"/>
                          <w:bottom w:val="single" w:sz="8" w:space="0" w:color="000000"/>
                          <w:right w:val="nil" w:sz="6" w:space="0" w:color="auto"/>
                        </w:tcBorders>
                      </w:tcPr>
                      <w:p>
                        <w:pPr/>
                      </w:p>
                    </w:tc>
                  </w:tr>
                  <w:tr>
                    <w:trPr>
                      <w:trHeight w:val="507" w:hRule="exact"/>
                    </w:trPr>
                    <w:tc>
                      <w:tcPr>
                        <w:tcW w:w="1613"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8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4,587,213.09</w:t>
                        </w:r>
                      </w:p>
                    </w:tc>
                    <w:tc>
                      <w:tcPr>
                        <w:tcW w:w="941"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29" w:right="0"/>
                          <w:jc w:val="left"/>
                          <w:rPr>
                            <w:rFonts w:ascii="Times New Roman" w:hAnsi="Times New Roman" w:cs="Times New Roman" w:eastAsia="Times New Roman" w:hint="default"/>
                            <w:sz w:val="15"/>
                            <w:szCs w:val="15"/>
                          </w:rPr>
                        </w:pPr>
                        <w:r>
                          <w:rPr>
                            <w:rFonts w:ascii="Times New Roman"/>
                            <w:sz w:val="15"/>
                          </w:rPr>
                          <w:t>65.03</w:t>
                        </w:r>
                      </w:p>
                    </w:tc>
                    <w:tc>
                      <w:tcPr>
                        <w:tcW w:w="912"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2"/>
                          <w:jc w:val="center"/>
                          <w:rPr>
                            <w:rFonts w:ascii="Times New Roman" w:hAnsi="Times New Roman" w:cs="Times New Roman" w:eastAsia="Times New Roman" w:hint="default"/>
                            <w:sz w:val="15"/>
                            <w:szCs w:val="15"/>
                          </w:rPr>
                        </w:pPr>
                        <w:r>
                          <w:rPr>
                            <w:rFonts w:ascii="Times New Roman"/>
                            <w:w w:val="100"/>
                            <w:sz w:val="15"/>
                          </w:rPr>
                          <w:t>1</w:t>
                        </w:r>
                      </w:p>
                    </w:tc>
                    <w:tc>
                      <w:tcPr>
                        <w:tcW w:w="119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9"/>
                          <w:jc w:val="right"/>
                          <w:rPr>
                            <w:rFonts w:ascii="Times New Roman" w:hAnsi="Times New Roman" w:cs="Times New Roman" w:eastAsia="Times New Roman" w:hint="default"/>
                            <w:sz w:val="15"/>
                            <w:szCs w:val="15"/>
                          </w:rPr>
                        </w:pPr>
                        <w:r>
                          <w:rPr>
                            <w:rFonts w:ascii="Times New Roman"/>
                            <w:spacing w:val="-1"/>
                            <w:sz w:val="15"/>
                          </w:rPr>
                          <w:t>45,872.13</w:t>
                        </w:r>
                      </w:p>
                    </w:tc>
                    <w:tc>
                      <w:tcPr>
                        <w:tcW w:w="117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8,066,958.38</w:t>
                        </w:r>
                      </w:p>
                    </w:tc>
                    <w:tc>
                      <w:tcPr>
                        <w:tcW w:w="728"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center"/>
                          <w:rPr>
                            <w:rFonts w:ascii="Times New Roman" w:hAnsi="Times New Roman" w:cs="Times New Roman" w:eastAsia="Times New Roman" w:hint="default"/>
                            <w:sz w:val="15"/>
                            <w:szCs w:val="15"/>
                          </w:rPr>
                        </w:pPr>
                        <w:r>
                          <w:rPr>
                            <w:rFonts w:ascii="Times New Roman"/>
                            <w:sz w:val="15"/>
                          </w:rPr>
                          <w:t>95.64</w:t>
                        </w:r>
                      </w:p>
                    </w:tc>
                    <w:tc>
                      <w:tcPr>
                        <w:tcW w:w="954"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center"/>
                          <w:rPr>
                            <w:rFonts w:ascii="Times New Roman" w:hAnsi="Times New Roman" w:cs="Times New Roman" w:eastAsia="Times New Roman" w:hint="default"/>
                            <w:sz w:val="15"/>
                            <w:szCs w:val="15"/>
                          </w:rPr>
                        </w:pPr>
                        <w:r>
                          <w:rPr>
                            <w:rFonts w:ascii="Times New Roman"/>
                            <w:w w:val="100"/>
                            <w:sz w:val="15"/>
                          </w:rPr>
                          <w:t>1</w:t>
                        </w:r>
                      </w:p>
                    </w:tc>
                    <w:tc>
                      <w:tcPr>
                        <w:tcW w:w="105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80,669.58</w:t>
                        </w:r>
                      </w:p>
                    </w:tc>
                  </w:tr>
                  <w:tr>
                    <w:trPr>
                      <w:trHeight w:val="441"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2,162,925.79</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29" w:right="0"/>
                          <w:jc w:val="left"/>
                          <w:rPr>
                            <w:rFonts w:ascii="Times New Roman" w:hAnsi="Times New Roman" w:cs="Times New Roman" w:eastAsia="Times New Roman" w:hint="default"/>
                            <w:sz w:val="15"/>
                            <w:szCs w:val="15"/>
                          </w:rPr>
                        </w:pPr>
                        <w:r>
                          <w:rPr>
                            <w:rFonts w:ascii="Times New Roman"/>
                            <w:sz w:val="15"/>
                          </w:rPr>
                          <w:t>30.66</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72"/>
                          <w:jc w:val="center"/>
                          <w:rPr>
                            <w:rFonts w:ascii="Times New Roman" w:hAnsi="Times New Roman" w:cs="Times New Roman" w:eastAsia="Times New Roman" w:hint="default"/>
                            <w:sz w:val="15"/>
                            <w:szCs w:val="15"/>
                          </w:rPr>
                        </w:pPr>
                        <w:r>
                          <w:rPr>
                            <w:rFonts w:ascii="Times New Roman"/>
                            <w:w w:val="100"/>
                            <w:sz w:val="15"/>
                          </w:rPr>
                          <w:t>5</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19"/>
                          <w:jc w:val="right"/>
                          <w:rPr>
                            <w:rFonts w:ascii="Times New Roman" w:hAnsi="Times New Roman" w:cs="Times New Roman" w:eastAsia="Times New Roman" w:hint="default"/>
                            <w:sz w:val="15"/>
                            <w:szCs w:val="15"/>
                          </w:rPr>
                        </w:pPr>
                        <w:r>
                          <w:rPr>
                            <w:rFonts w:ascii="Times New Roman"/>
                            <w:spacing w:val="-1"/>
                            <w:sz w:val="15"/>
                          </w:rPr>
                          <w:t>108,146.28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161,795.25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9"/>
                          <w:jc w:val="center"/>
                          <w:rPr>
                            <w:rFonts w:ascii="Times New Roman" w:hAnsi="Times New Roman" w:cs="Times New Roman" w:eastAsia="Times New Roman" w:hint="default"/>
                            <w:sz w:val="15"/>
                            <w:szCs w:val="15"/>
                          </w:rPr>
                        </w:pPr>
                        <w:r>
                          <w:rPr>
                            <w:rFonts w:ascii="Times New Roman"/>
                            <w:sz w:val="15"/>
                          </w:rPr>
                          <w:t>1.92</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8"/>
                          <w:jc w:val="center"/>
                          <w:rPr>
                            <w:rFonts w:ascii="Times New Roman" w:hAnsi="Times New Roman" w:cs="Times New Roman" w:eastAsia="Times New Roman" w:hint="default"/>
                            <w:sz w:val="15"/>
                            <w:szCs w:val="15"/>
                          </w:rPr>
                        </w:pPr>
                        <w:r>
                          <w:rPr>
                            <w:rFonts w:ascii="Times New Roman"/>
                            <w:w w:val="100"/>
                            <w:sz w:val="15"/>
                          </w:rPr>
                          <w:t>5</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8,089.76</w:t>
                        </w:r>
                      </w:p>
                    </w:tc>
                  </w:tr>
                  <w:tr>
                    <w:trPr>
                      <w:trHeight w:val="44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161,795.25</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pacing w:val="-1"/>
                            <w:sz w:val="15"/>
                          </w:rPr>
                          <w:t>2.29</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92" w:right="0"/>
                          <w:jc w:val="left"/>
                          <w:rPr>
                            <w:rFonts w:ascii="Times New Roman" w:hAnsi="Times New Roman" w:cs="Times New Roman" w:eastAsia="Times New Roman" w:hint="default"/>
                            <w:sz w:val="15"/>
                            <w:szCs w:val="15"/>
                          </w:rPr>
                        </w:pPr>
                        <w:r>
                          <w:rPr>
                            <w:rFonts w:ascii="Times New Roman"/>
                            <w:sz w:val="15"/>
                          </w:rPr>
                          <w:t>30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9"/>
                          <w:jc w:val="right"/>
                          <w:rPr>
                            <w:rFonts w:ascii="Times New Roman" w:hAnsi="Times New Roman" w:cs="Times New Roman" w:eastAsia="Times New Roman" w:hint="default"/>
                            <w:sz w:val="15"/>
                            <w:szCs w:val="15"/>
                          </w:rPr>
                        </w:pPr>
                        <w:r>
                          <w:rPr>
                            <w:rFonts w:ascii="Times New Roman"/>
                            <w:spacing w:val="-1"/>
                            <w:sz w:val="15"/>
                          </w:rPr>
                          <w:t>48,538.58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72,674.86</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center"/>
                          <w:rPr>
                            <w:rFonts w:ascii="Times New Roman" w:hAnsi="Times New Roman" w:cs="Times New Roman" w:eastAsia="Times New Roman" w:hint="default"/>
                            <w:sz w:val="15"/>
                            <w:szCs w:val="15"/>
                          </w:rPr>
                        </w:pPr>
                        <w:r>
                          <w:rPr>
                            <w:rFonts w:ascii="Times New Roman"/>
                            <w:sz w:val="15"/>
                          </w:rPr>
                          <w:t>0.86</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center"/>
                          <w:rPr>
                            <w:rFonts w:ascii="Times New Roman" w:hAnsi="Times New Roman" w:cs="Times New Roman" w:eastAsia="Times New Roman" w:hint="default"/>
                            <w:sz w:val="15"/>
                            <w:szCs w:val="15"/>
                          </w:rPr>
                        </w:pPr>
                        <w:r>
                          <w:rPr>
                            <w:rFonts w:ascii="Times New Roman"/>
                            <w:sz w:val="15"/>
                          </w:rPr>
                          <w:t>30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21,802.46</w:t>
                        </w:r>
                      </w:p>
                    </w:tc>
                  </w:tr>
                  <w:tr>
                    <w:trPr>
                      <w:trHeight w:val="44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142,531.92</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pacing w:val="-1"/>
                            <w:sz w:val="15"/>
                          </w:rPr>
                          <w:t>2.02</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54" w:right="0"/>
                          <w:jc w:val="left"/>
                          <w:rPr>
                            <w:rFonts w:ascii="Times New Roman" w:hAnsi="Times New Roman" w:cs="Times New Roman" w:eastAsia="Times New Roman" w:hint="default"/>
                            <w:sz w:val="15"/>
                            <w:szCs w:val="15"/>
                          </w:rPr>
                        </w:pPr>
                        <w:r>
                          <w:rPr>
                            <w:rFonts w:ascii="Times New Roman"/>
                            <w:sz w:val="15"/>
                          </w:rPr>
                          <w:t>100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9"/>
                          <w:jc w:val="right"/>
                          <w:rPr>
                            <w:rFonts w:ascii="Times New Roman" w:hAnsi="Times New Roman" w:cs="Times New Roman" w:eastAsia="Times New Roman" w:hint="default"/>
                            <w:sz w:val="15"/>
                            <w:szCs w:val="15"/>
                          </w:rPr>
                        </w:pPr>
                        <w:r>
                          <w:rPr>
                            <w:rFonts w:ascii="Times New Roman"/>
                            <w:spacing w:val="-1"/>
                            <w:sz w:val="15"/>
                          </w:rPr>
                          <w:t>142,531.92</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133,674.33</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center"/>
                          <w:rPr>
                            <w:rFonts w:ascii="Times New Roman" w:hAnsi="Times New Roman" w:cs="Times New Roman" w:eastAsia="Times New Roman" w:hint="default"/>
                            <w:sz w:val="15"/>
                            <w:szCs w:val="15"/>
                          </w:rPr>
                        </w:pPr>
                        <w:r>
                          <w:rPr>
                            <w:rFonts w:ascii="Times New Roman"/>
                            <w:sz w:val="15"/>
                          </w:rPr>
                          <w:t>1.58</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center"/>
                          <w:rPr>
                            <w:rFonts w:ascii="Times New Roman" w:hAnsi="Times New Roman" w:cs="Times New Roman" w:eastAsia="Times New Roman" w:hint="default"/>
                            <w:sz w:val="15"/>
                            <w:szCs w:val="15"/>
                          </w:rPr>
                        </w:pPr>
                        <w:r>
                          <w:rPr>
                            <w:rFonts w:ascii="Times New Roman"/>
                            <w:sz w:val="15"/>
                          </w:rPr>
                          <w:t>100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133,674.33</w:t>
                        </w:r>
                      </w:p>
                    </w:tc>
                  </w:tr>
                  <w:tr>
                    <w:trPr>
                      <w:trHeight w:val="401"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62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7,054,466.05</w:t>
                        </w:r>
                        <w:r>
                          <w:rPr>
                            <w:rFonts w:ascii="Times New Roman"/>
                            <w:spacing w:val="-1"/>
                            <w:sz w:val="15"/>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9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1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345,088.91</w:t>
                        </w:r>
                        <w:r>
                          <w:rPr>
                            <w:rFonts w:ascii="Times New Roman"/>
                            <w:spacing w:val="-1"/>
                            <w:sz w:val="15"/>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8,435,102.82</w:t>
                        </w:r>
                        <w:r>
                          <w:rPr>
                            <w:rFonts w:ascii="Times New Roman"/>
                            <w:spacing w:val="-1"/>
                            <w:sz w:val="15"/>
                          </w:rPr>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5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244,236.13</w:t>
                        </w:r>
                        <w:r>
                          <w:rPr>
                            <w:rFonts w:ascii="Times New Roman"/>
                            <w:spacing w:val="-1"/>
                            <w:sz w:val="15"/>
                          </w:rPr>
                        </w:r>
                      </w:p>
                    </w:tc>
                  </w:tr>
                </w:tbl>
                <w:p>
                  <w:pPr/>
                </w:p>
              </w:txbxContent>
            </v:textbox>
            <w10:wrap type="none"/>
          </v:shape>
        </w:pict>
      </w:r>
      <w:r>
        <w:rPr>
          <w:rFonts w:ascii="宋体" w:hAnsi="宋体" w:cs="宋体" w:eastAsia="宋体" w:hint="default"/>
          <w:b/>
          <w:bCs/>
          <w:sz w:val="15"/>
          <w:szCs w:val="15"/>
        </w:rPr>
        <w:t>坏账准备</w:t>
        <w:tab/>
        <w:t>坏账准备</w:t>
      </w:r>
      <w:r>
        <w:rPr>
          <w:rFonts w:ascii="宋体" w:hAnsi="宋体" w:cs="宋体" w:eastAsia="宋体" w:hint="default"/>
          <w:sz w:val="15"/>
          <w:szCs w:val="15"/>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240" w:lineRule="auto" w:before="44"/>
        <w:ind w:left="573" w:right="115"/>
        <w:jc w:val="left"/>
      </w:pPr>
      <w:r>
        <w:rPr/>
        <w:t>（</w:t>
      </w:r>
      <w:r>
        <w:rPr>
          <w:rFonts w:ascii="Times New Roman" w:hAnsi="Times New Roman" w:cs="Times New Roman" w:eastAsia="Times New Roman" w:hint="default"/>
        </w:rPr>
        <w:t>3</w:t>
      </w:r>
      <w:r>
        <w:rPr/>
        <w:t>）本报告期应收账款中无应收持公司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）以上表决权股份的股东单位及其他关联方的款项。</w:t>
      </w:r>
    </w:p>
    <w:p>
      <w:pPr>
        <w:spacing w:line="240" w:lineRule="auto" w:before="0"/>
        <w:rPr>
          <w:rFonts w:ascii="宋体" w:hAnsi="宋体" w:cs="宋体" w:eastAsia="宋体" w:hint="default"/>
          <w:sz w:val="18"/>
          <w:szCs w:val="18"/>
        </w:rPr>
      </w:pPr>
    </w:p>
    <w:p>
      <w:pPr>
        <w:pStyle w:val="BodyText"/>
        <w:spacing w:line="240" w:lineRule="auto" w:before="156"/>
        <w:ind w:left="573" w:right="5558"/>
        <w:jc w:val="left"/>
      </w:pPr>
      <w:r>
        <w:rPr/>
        <w:t>（</w:t>
      </w:r>
      <w:r>
        <w:rPr>
          <w:rFonts w:ascii="Times New Roman" w:hAnsi="Times New Roman" w:cs="Times New Roman" w:eastAsia="Times New Roman" w:hint="default"/>
        </w:rPr>
        <w:t>4</w:t>
      </w:r>
      <w:r>
        <w:rPr/>
        <w:t>）期末应收账款金额前五名情况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990"/>
        <w:gridCol w:w="1839"/>
        <w:gridCol w:w="1722"/>
        <w:gridCol w:w="1391"/>
        <w:gridCol w:w="1916"/>
      </w:tblGrid>
      <w:tr>
        <w:trPr>
          <w:trHeight w:val="637" w:hRule="exact"/>
        </w:trPr>
        <w:tc>
          <w:tcPr>
            <w:tcW w:w="2990"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1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9"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right="29"/>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22"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53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91"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51"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916" w:type="dxa"/>
            <w:tcBorders>
              <w:top w:val="nil" w:sz="6" w:space="0" w:color="auto"/>
              <w:left w:val="nil" w:sz="6" w:space="0" w:color="auto"/>
              <w:bottom w:val="single" w:sz="8" w:space="0" w:color="000000"/>
              <w:right w:val="nil" w:sz="6" w:space="0" w:color="auto"/>
            </w:tcBorders>
          </w:tcPr>
          <w:p>
            <w:pPr>
              <w:pStyle w:val="TableParagraph"/>
              <w:spacing w:line="180" w:lineRule="exact"/>
              <w:ind w:left="191" w:right="0"/>
              <w:jc w:val="center"/>
              <w:rPr>
                <w:rFonts w:ascii="宋体" w:hAnsi="宋体" w:cs="宋体" w:eastAsia="宋体" w:hint="default"/>
                <w:sz w:val="18"/>
                <w:szCs w:val="18"/>
              </w:rPr>
            </w:pPr>
            <w:r>
              <w:rPr>
                <w:rFonts w:ascii="宋体" w:hAnsi="宋体" w:cs="宋体" w:eastAsia="宋体" w:hint="default"/>
                <w:b/>
                <w:bCs/>
                <w:sz w:val="18"/>
                <w:szCs w:val="18"/>
              </w:rPr>
              <w:t>占应收账款总额的</w:t>
            </w:r>
            <w:r>
              <w:rPr>
                <w:rFonts w:ascii="宋体" w:hAnsi="宋体" w:cs="宋体" w:eastAsia="宋体" w:hint="default"/>
                <w:sz w:val="18"/>
                <w:szCs w:val="18"/>
              </w:rPr>
            </w:r>
          </w:p>
          <w:p>
            <w:pPr>
              <w:pStyle w:val="TableParagraph"/>
              <w:spacing w:line="240" w:lineRule="auto" w:before="125"/>
              <w:ind w:left="189"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8" w:hRule="exact"/>
        </w:trPr>
        <w:tc>
          <w:tcPr>
            <w:tcW w:w="2990"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四川壹品文化传媒有限公司</w:t>
            </w:r>
          </w:p>
        </w:tc>
        <w:tc>
          <w:tcPr>
            <w:tcW w:w="183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8"/>
              <w:jc w:val="center"/>
              <w:rPr>
                <w:rFonts w:ascii="宋体" w:hAnsi="宋体" w:cs="宋体" w:eastAsia="宋体" w:hint="default"/>
                <w:sz w:val="18"/>
                <w:szCs w:val="18"/>
              </w:rPr>
            </w:pPr>
            <w:r>
              <w:rPr>
                <w:rFonts w:ascii="宋体" w:hAnsi="宋体" w:cs="宋体" w:eastAsia="宋体" w:hint="default"/>
                <w:sz w:val="18"/>
                <w:szCs w:val="18"/>
              </w:rPr>
              <w:t>客户</w:t>
            </w:r>
          </w:p>
        </w:tc>
        <w:tc>
          <w:tcPr>
            <w:tcW w:w="172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81"/>
              <w:jc w:val="right"/>
              <w:rPr>
                <w:rFonts w:ascii="Times New Roman" w:hAnsi="Times New Roman" w:cs="Times New Roman" w:eastAsia="Times New Roman" w:hint="default"/>
                <w:sz w:val="18"/>
                <w:szCs w:val="18"/>
              </w:rPr>
            </w:pPr>
            <w:r>
              <w:rPr>
                <w:rFonts w:ascii="Times New Roman"/>
                <w:spacing w:val="-1"/>
                <w:sz w:val="18"/>
              </w:rPr>
              <w:t>2,126,733.69</w:t>
            </w:r>
          </w:p>
        </w:tc>
        <w:tc>
          <w:tcPr>
            <w:tcW w:w="139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4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657"/>
              <w:jc w:val="right"/>
              <w:rPr>
                <w:rFonts w:ascii="Times New Roman" w:hAnsi="Times New Roman" w:cs="Times New Roman" w:eastAsia="Times New Roman" w:hint="default"/>
                <w:sz w:val="18"/>
                <w:szCs w:val="18"/>
              </w:rPr>
            </w:pPr>
            <w:r>
              <w:rPr>
                <w:rFonts w:ascii="Times New Roman"/>
                <w:sz w:val="18"/>
              </w:rPr>
              <w:t>30.15</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河北省新华书店图书批销部</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center"/>
              <w:rPr>
                <w:rFonts w:ascii="宋体" w:hAnsi="宋体" w:cs="宋体" w:eastAsia="宋体" w:hint="default"/>
                <w:sz w:val="18"/>
                <w:szCs w:val="18"/>
              </w:rPr>
            </w:pPr>
            <w:r>
              <w:rPr>
                <w:rFonts w:ascii="宋体" w:hAnsi="宋体" w:cs="宋体" w:eastAsia="宋体" w:hint="default"/>
                <w:sz w:val="18"/>
                <w:szCs w:val="18"/>
              </w:rPr>
              <w:t>客户</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1"/>
              <w:jc w:val="right"/>
              <w:rPr>
                <w:rFonts w:ascii="Times New Roman" w:hAnsi="Times New Roman" w:cs="Times New Roman" w:eastAsia="Times New Roman" w:hint="default"/>
                <w:sz w:val="18"/>
                <w:szCs w:val="18"/>
              </w:rPr>
            </w:pPr>
            <w:r>
              <w:rPr>
                <w:rFonts w:ascii="Times New Roman"/>
                <w:spacing w:val="-1"/>
                <w:sz w:val="18"/>
              </w:rPr>
              <w:t>1,544,892.00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7"/>
              <w:jc w:val="right"/>
              <w:rPr>
                <w:rFonts w:ascii="Times New Roman" w:hAnsi="Times New Roman" w:cs="Times New Roman" w:eastAsia="Times New Roman" w:hint="default"/>
                <w:sz w:val="18"/>
                <w:szCs w:val="18"/>
              </w:rPr>
            </w:pPr>
            <w:r>
              <w:rPr>
                <w:rFonts w:ascii="Times New Roman"/>
                <w:sz w:val="18"/>
              </w:rPr>
              <w:t>21.90</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center"/>
              <w:rPr>
                <w:rFonts w:ascii="宋体" w:hAnsi="宋体" w:cs="宋体" w:eastAsia="宋体" w:hint="default"/>
                <w:sz w:val="18"/>
                <w:szCs w:val="18"/>
              </w:rPr>
            </w:pPr>
            <w:r>
              <w:rPr>
                <w:rFonts w:ascii="宋体" w:hAnsi="宋体" w:cs="宋体" w:eastAsia="宋体" w:hint="default"/>
                <w:sz w:val="18"/>
                <w:szCs w:val="18"/>
              </w:rPr>
              <w:t>客户</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0"/>
              <w:jc w:val="right"/>
              <w:rPr>
                <w:rFonts w:ascii="Times New Roman" w:hAnsi="Times New Roman" w:cs="Times New Roman" w:eastAsia="Times New Roman" w:hint="default"/>
                <w:sz w:val="18"/>
                <w:szCs w:val="18"/>
              </w:rPr>
            </w:pPr>
            <w:r>
              <w:rPr>
                <w:rFonts w:ascii="Times New Roman"/>
                <w:spacing w:val="-1"/>
                <w:sz w:val="18"/>
              </w:rPr>
              <w:t>942,158.98</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7"/>
              <w:jc w:val="right"/>
              <w:rPr>
                <w:rFonts w:ascii="Times New Roman" w:hAnsi="Times New Roman" w:cs="Times New Roman" w:eastAsia="Times New Roman" w:hint="default"/>
                <w:sz w:val="18"/>
                <w:szCs w:val="18"/>
              </w:rPr>
            </w:pPr>
            <w:r>
              <w:rPr>
                <w:rFonts w:ascii="Times New Roman"/>
                <w:sz w:val="18"/>
              </w:rPr>
              <w:t>13.35</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广东新华书店集团股份有限公司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
              <w:jc w:val="center"/>
              <w:rPr>
                <w:rFonts w:ascii="宋体" w:hAnsi="宋体" w:cs="宋体" w:eastAsia="宋体" w:hint="default"/>
                <w:sz w:val="18"/>
                <w:szCs w:val="18"/>
              </w:rPr>
            </w:pPr>
            <w:r>
              <w:rPr>
                <w:rFonts w:ascii="宋体" w:hAnsi="宋体" w:cs="宋体" w:eastAsia="宋体" w:hint="default"/>
                <w:sz w:val="18"/>
                <w:szCs w:val="18"/>
              </w:rPr>
              <w:t>客户</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0"/>
              <w:jc w:val="right"/>
              <w:rPr>
                <w:rFonts w:ascii="Times New Roman" w:hAnsi="Times New Roman" w:cs="Times New Roman" w:eastAsia="Times New Roman" w:hint="default"/>
                <w:sz w:val="18"/>
                <w:szCs w:val="18"/>
              </w:rPr>
            </w:pPr>
            <w:r>
              <w:rPr>
                <w:rFonts w:ascii="Times New Roman"/>
                <w:spacing w:val="-1"/>
                <w:sz w:val="18"/>
              </w:rPr>
              <w:t>624,980.16</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03"/>
              <w:jc w:val="right"/>
              <w:rPr>
                <w:rFonts w:ascii="Times New Roman" w:hAnsi="Times New Roman" w:cs="Times New Roman" w:eastAsia="Times New Roman" w:hint="default"/>
                <w:sz w:val="18"/>
                <w:szCs w:val="18"/>
              </w:rPr>
            </w:pPr>
            <w:r>
              <w:rPr>
                <w:rFonts w:ascii="Times New Roman"/>
                <w:spacing w:val="-1"/>
                <w:sz w:val="18"/>
              </w:rPr>
              <w:t>8.86</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center"/>
              <w:rPr>
                <w:rFonts w:ascii="宋体" w:hAnsi="宋体" w:cs="宋体" w:eastAsia="宋体" w:hint="default"/>
                <w:sz w:val="18"/>
                <w:szCs w:val="18"/>
              </w:rPr>
            </w:pPr>
            <w:r>
              <w:rPr>
                <w:rFonts w:ascii="宋体" w:hAnsi="宋体" w:cs="宋体" w:eastAsia="宋体" w:hint="default"/>
                <w:sz w:val="18"/>
                <w:szCs w:val="18"/>
              </w:rPr>
              <w:t>客户</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0"/>
              <w:jc w:val="right"/>
              <w:rPr>
                <w:rFonts w:ascii="Times New Roman" w:hAnsi="Times New Roman" w:cs="Times New Roman" w:eastAsia="Times New Roman" w:hint="default"/>
                <w:sz w:val="18"/>
                <w:szCs w:val="18"/>
              </w:rPr>
            </w:pPr>
            <w:r>
              <w:rPr>
                <w:rFonts w:ascii="Times New Roman"/>
                <w:spacing w:val="-1"/>
                <w:sz w:val="18"/>
              </w:rPr>
              <w:t>539,731.18</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03"/>
              <w:jc w:val="right"/>
              <w:rPr>
                <w:rFonts w:ascii="Times New Roman" w:hAnsi="Times New Roman" w:cs="Times New Roman" w:eastAsia="Times New Roman" w:hint="default"/>
                <w:sz w:val="18"/>
                <w:szCs w:val="18"/>
              </w:rPr>
            </w:pPr>
            <w:r>
              <w:rPr>
                <w:rFonts w:ascii="Times New Roman"/>
                <w:spacing w:val="-1"/>
                <w:sz w:val="18"/>
              </w:rPr>
              <w:t>7.65</w:t>
            </w:r>
          </w:p>
        </w:tc>
      </w:tr>
      <w:tr>
        <w:trPr>
          <w:trHeight w:val="315"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39"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5,778,496.01</w:t>
            </w:r>
            <w:r>
              <w:rPr>
                <w:rFonts w:ascii="Times New Roman"/>
                <w:spacing w:val="-1"/>
                <w:sz w:val="18"/>
              </w:rPr>
            </w:r>
          </w:p>
        </w:tc>
        <w:tc>
          <w:tcPr>
            <w:tcW w:w="1391"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81.91</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64" w:right="5558"/>
        <w:jc w:val="left"/>
      </w:pPr>
      <w:r>
        <w:rPr/>
        <w:t>（</w:t>
      </w:r>
      <w:r>
        <w:rPr>
          <w:rFonts w:ascii="Times New Roman" w:hAnsi="Times New Roman" w:cs="Times New Roman" w:eastAsia="Times New Roman" w:hint="default"/>
        </w:rPr>
        <w:t>5</w:t>
      </w:r>
      <w:r>
        <w:rPr/>
        <w:t>）本报告期无核销应收账款情况。</w:t>
      </w:r>
    </w:p>
    <w:p>
      <w:pPr>
        <w:spacing w:line="240" w:lineRule="auto" w:before="6"/>
        <w:rPr>
          <w:rFonts w:ascii="宋体" w:hAnsi="宋体" w:cs="宋体" w:eastAsia="宋体" w:hint="default"/>
          <w:sz w:val="20"/>
          <w:szCs w:val="20"/>
        </w:rPr>
      </w:pPr>
    </w:p>
    <w:p>
      <w:pPr>
        <w:pStyle w:val="BodyText"/>
        <w:spacing w:line="240" w:lineRule="auto"/>
        <w:ind w:left="573" w:right="115"/>
        <w:jc w:val="left"/>
      </w:pPr>
      <w:r>
        <w:rPr/>
        <w:t>（</w:t>
      </w:r>
      <w:r>
        <w:rPr>
          <w:rFonts w:ascii="宋体" w:hAnsi="宋体" w:cs="宋体" w:eastAsia="宋体" w:hint="default"/>
        </w:rPr>
        <w:t>6</w:t>
      </w:r>
      <w:r>
        <w:rPr/>
        <w:t>）本报告期无重大收回或转回前期已全额计提坏账准备或计提减值准备的比例较大的应收账款情况。</w:t>
      </w:r>
    </w:p>
    <w:p>
      <w:pPr>
        <w:spacing w:line="240" w:lineRule="auto" w:before="6"/>
        <w:rPr>
          <w:rFonts w:ascii="宋体" w:hAnsi="宋体" w:cs="宋体" w:eastAsia="宋体" w:hint="default"/>
          <w:sz w:val="21"/>
          <w:szCs w:val="21"/>
        </w:rPr>
      </w:pPr>
    </w:p>
    <w:p>
      <w:pPr>
        <w:pStyle w:val="BodyText"/>
        <w:spacing w:line="240" w:lineRule="auto"/>
        <w:ind w:left="573" w:right="5558"/>
        <w:jc w:val="left"/>
      </w:pPr>
      <w:r>
        <w:rPr/>
        <w:t>（</w:t>
      </w:r>
      <w:r>
        <w:rPr>
          <w:rFonts w:ascii="Times New Roman" w:hAnsi="Times New Roman" w:cs="Times New Roman" w:eastAsia="Times New Roman" w:hint="default"/>
        </w:rPr>
        <w:t>7</w:t>
      </w:r>
      <w:r>
        <w:rPr/>
        <w:t>）本报告期无终止确认应收账款情况。</w:t>
      </w:r>
    </w:p>
    <w:p>
      <w:pPr>
        <w:spacing w:line="240" w:lineRule="auto" w:before="7"/>
        <w:rPr>
          <w:rFonts w:ascii="宋体" w:hAnsi="宋体" w:cs="宋体" w:eastAsia="宋体" w:hint="default"/>
          <w:sz w:val="24"/>
          <w:szCs w:val="24"/>
        </w:rPr>
      </w:pPr>
    </w:p>
    <w:p>
      <w:pPr>
        <w:pStyle w:val="Heading5"/>
        <w:spacing w:line="240" w:lineRule="auto"/>
        <w:ind w:left="213" w:right="555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573" w:right="5558"/>
        <w:jc w:val="left"/>
      </w:pPr>
      <w:r>
        <w:rPr/>
        <w:t>（</w:t>
      </w:r>
      <w:r>
        <w:rPr>
          <w:rFonts w:ascii="Times New Roman" w:hAnsi="Times New Roman" w:cs="Times New Roman" w:eastAsia="Times New Roman" w:hint="default"/>
        </w:rPr>
        <w:t>1</w:t>
      </w:r>
      <w:r>
        <w:rPr/>
        <w:t>）按类别列示</w:t>
      </w:r>
    </w:p>
    <w:p>
      <w:pPr>
        <w:spacing w:after="0" w:line="240" w:lineRule="auto"/>
        <w:jc w:val="left"/>
        <w:sectPr>
          <w:pgSz w:w="11910" w:h="16840"/>
          <w:pgMar w:header="918" w:footer="979" w:top="1100" w:bottom="1180" w:left="92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7763" w:val="left" w:leader="none"/>
        </w:tabs>
        <w:spacing w:before="0"/>
        <w:ind w:left="3886" w:right="283"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18" w:footer="979" w:top="1100" w:bottom="1180" w:left="900" w:right="900"/>
        </w:sectPr>
      </w:pPr>
    </w:p>
    <w:p>
      <w:pPr>
        <w:spacing w:line="240" w:lineRule="auto" w:before="8"/>
        <w:rPr>
          <w:rFonts w:ascii="宋体" w:hAnsi="宋体" w:cs="宋体" w:eastAsia="宋体" w:hint="default"/>
          <w:b/>
          <w:bCs/>
          <w:sz w:val="15"/>
          <w:szCs w:val="15"/>
        </w:rPr>
      </w:pPr>
    </w:p>
    <w:p>
      <w:pPr>
        <w:tabs>
          <w:tab w:pos="3567" w:val="left" w:leader="none"/>
        </w:tabs>
        <w:spacing w:before="0"/>
        <w:ind w:left="953" w:right="0" w:firstLine="0"/>
        <w:jc w:val="left"/>
        <w:rPr>
          <w:rFonts w:ascii="宋体" w:hAnsi="宋体" w:cs="宋体" w:eastAsia="宋体" w:hint="default"/>
          <w:sz w:val="15"/>
          <w:szCs w:val="15"/>
        </w:rPr>
      </w:pPr>
      <w:r>
        <w:rPr>
          <w:rFonts w:ascii="宋体" w:hAnsi="宋体" w:cs="宋体" w:eastAsia="宋体" w:hint="default"/>
          <w:b/>
          <w:bCs/>
          <w:position w:val="3"/>
          <w:sz w:val="15"/>
          <w:szCs w:val="15"/>
        </w:rPr>
        <w:t>类</w:t>
      </w:r>
      <w:r>
        <w:rPr>
          <w:rFonts w:ascii="宋体" w:hAnsi="宋体" w:cs="宋体" w:eastAsia="宋体" w:hint="default"/>
          <w:b/>
          <w:bCs/>
          <w:spacing w:val="73"/>
          <w:position w:val="3"/>
          <w:sz w:val="15"/>
          <w:szCs w:val="15"/>
        </w:rPr>
        <w:t> </w:t>
      </w:r>
      <w:r>
        <w:rPr>
          <w:rFonts w:ascii="宋体" w:hAnsi="宋体" w:cs="宋体" w:eastAsia="宋体" w:hint="default"/>
          <w:b/>
          <w:bCs/>
          <w:position w:val="3"/>
          <w:sz w:val="15"/>
          <w:szCs w:val="15"/>
        </w:rPr>
        <w:t>别</w:t>
        <w:tab/>
      </w:r>
      <w:r>
        <w:rPr>
          <w:rFonts w:ascii="宋体" w:hAnsi="宋体" w:cs="宋体" w:eastAsia="宋体" w:hint="default"/>
          <w:b/>
          <w:bCs/>
          <w:sz w:val="15"/>
          <w:szCs w:val="15"/>
        </w:rPr>
        <w:t>占总额</w:t>
      </w:r>
      <w:r>
        <w:rPr>
          <w:rFonts w:ascii="宋体" w:hAnsi="宋体" w:cs="宋体" w:eastAsia="宋体" w:hint="default"/>
          <w:sz w:val="15"/>
          <w:szCs w:val="15"/>
        </w:rPr>
      </w:r>
    </w:p>
    <w:p>
      <w:pPr>
        <w:spacing w:before="3"/>
        <w:ind w:left="2655" w:right="0"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before="3"/>
        <w:ind w:left="0" w:right="0" w:firstLine="0"/>
        <w:jc w:val="right"/>
        <w:rPr>
          <w:rFonts w:ascii="宋体" w:hAnsi="宋体" w:cs="宋体" w:eastAsia="宋体" w:hint="default"/>
          <w:sz w:val="15"/>
          <w:szCs w:val="15"/>
        </w:rPr>
      </w:pPr>
      <w:r>
        <w:rPr>
          <w:rFonts w:ascii="宋体" w:hAnsi="宋体" w:cs="宋体" w:eastAsia="宋体" w:hint="default"/>
          <w:b/>
          <w:bCs/>
          <w:w w:val="100"/>
          <w:sz w:val="15"/>
          <w:szCs w:val="15"/>
        </w:rPr>
        <w:t>比</w:t>
      </w:r>
      <w:r>
        <w:rPr>
          <w:rFonts w:ascii="宋体" w:hAnsi="宋体" w:cs="宋体" w:eastAsia="宋体" w:hint="default"/>
          <w:b/>
          <w:bCs/>
          <w:spacing w:val="-63"/>
          <w:w w:val="100"/>
          <w:sz w:val="15"/>
          <w:szCs w:val="15"/>
        </w:rPr>
        <w:t>例</w:t>
      </w:r>
      <w:r>
        <w:rPr>
          <w:rFonts w:ascii="宋体" w:hAnsi="宋体" w:cs="宋体" w:eastAsia="宋体" w:hint="default"/>
          <w:b/>
          <w:bCs/>
          <w:spacing w:val="-3"/>
          <w:w w:val="100"/>
          <w:sz w:val="15"/>
          <w:szCs w:val="15"/>
        </w:rPr>
        <w:t>（</w:t>
      </w:r>
      <w:r>
        <w:rPr>
          <w:rFonts w:ascii="Times New Roman" w:hAnsi="Times New Roman" w:cs="Times New Roman" w:eastAsia="Times New Roman" w:hint="default"/>
          <w:b/>
          <w:bCs/>
          <w:w w:val="100"/>
          <w:sz w:val="15"/>
          <w:szCs w:val="15"/>
        </w:rPr>
        <w:t>%</w:t>
      </w:r>
      <w:r>
        <w:rPr>
          <w:rFonts w:ascii="宋体" w:hAnsi="宋体" w:cs="宋体" w:eastAsia="宋体" w:hint="default"/>
          <w:b/>
          <w:bCs/>
          <w:w w:val="100"/>
          <w:sz w:val="15"/>
          <w:szCs w:val="15"/>
        </w:rPr>
        <w:t>）</w:t>
      </w:r>
      <w:r>
        <w:rPr>
          <w:rFonts w:ascii="宋体" w:hAnsi="宋体" w:cs="宋体" w:eastAsia="宋体" w:hint="default"/>
          <w:w w:val="100"/>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2"/>
        <w:rPr>
          <w:rFonts w:ascii="宋体" w:hAnsi="宋体" w:cs="宋体" w:eastAsia="宋体" w:hint="default"/>
          <w:b/>
          <w:bCs/>
          <w:sz w:val="19"/>
          <w:szCs w:val="19"/>
        </w:rPr>
      </w:pPr>
    </w:p>
    <w:p>
      <w:pPr>
        <w:spacing w:before="0"/>
        <w:ind w:left="192"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444" w:lineRule="auto" w:before="74"/>
        <w:ind w:left="327" w:right="-17"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401"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before="54"/>
        <w:ind w:left="0" w:right="0" w:firstLine="0"/>
        <w:jc w:val="right"/>
        <w:rPr>
          <w:rFonts w:ascii="宋体" w:hAnsi="宋体" w:cs="宋体" w:eastAsia="宋体" w:hint="default"/>
          <w:sz w:val="15"/>
          <w:szCs w:val="15"/>
        </w:rPr>
      </w:pPr>
      <w:r>
        <w:rPr/>
        <w:br w:type="column"/>
      </w:r>
      <w:r>
        <w:rPr>
          <w:rFonts w:ascii="宋体" w:hAnsi="宋体" w:cs="宋体" w:eastAsia="宋体" w:hint="default"/>
          <w:b/>
          <w:bCs/>
          <w:sz w:val="15"/>
          <w:szCs w:val="15"/>
        </w:rPr>
        <w:t>占总额</w:t>
      </w:r>
      <w:r>
        <w:rPr>
          <w:rFonts w:ascii="宋体" w:hAnsi="宋体" w:cs="宋体" w:eastAsia="宋体" w:hint="default"/>
          <w:sz w:val="15"/>
          <w:szCs w:val="15"/>
        </w:rPr>
      </w:r>
    </w:p>
    <w:p>
      <w:pPr>
        <w:spacing w:line="240" w:lineRule="auto" w:before="13"/>
        <w:rPr>
          <w:rFonts w:ascii="宋体" w:hAnsi="宋体" w:cs="宋体" w:eastAsia="宋体" w:hint="default"/>
          <w:b/>
          <w:bCs/>
          <w:sz w:val="13"/>
          <w:szCs w:val="13"/>
        </w:rPr>
      </w:pPr>
    </w:p>
    <w:p>
      <w:pPr>
        <w:tabs>
          <w:tab w:pos="938" w:val="left" w:leader="none"/>
        </w:tabs>
        <w:spacing w:before="0"/>
        <w:ind w:left="0" w:right="72" w:firstLine="0"/>
        <w:jc w:val="right"/>
        <w:rPr>
          <w:rFonts w:ascii="宋体" w:hAnsi="宋体" w:cs="宋体" w:eastAsia="宋体" w:hint="default"/>
          <w:sz w:val="15"/>
          <w:szCs w:val="15"/>
        </w:rPr>
      </w:pPr>
      <w:r>
        <w:rPr>
          <w:rFonts w:ascii="宋体" w:hAnsi="宋体" w:cs="宋体" w:eastAsia="宋体" w:hint="default"/>
          <w:b/>
          <w:bCs/>
          <w:sz w:val="15"/>
          <w:szCs w:val="15"/>
        </w:rPr>
        <w:t>金额</w:t>
        <w:tab/>
      </w:r>
      <w:r>
        <w:rPr>
          <w:rFonts w:ascii="宋体" w:hAnsi="宋体" w:cs="宋体" w:eastAsia="宋体" w:hint="default"/>
          <w:b/>
          <w:bCs/>
          <w:position w:val="-1"/>
          <w:sz w:val="15"/>
          <w:szCs w:val="15"/>
        </w:rPr>
        <w:t>比例</w:t>
      </w:r>
      <w:r>
        <w:rPr>
          <w:rFonts w:ascii="宋体" w:hAnsi="宋体" w:cs="宋体" w:eastAsia="宋体" w:hint="default"/>
          <w:sz w:val="15"/>
          <w:szCs w:val="15"/>
        </w:rPr>
      </w:r>
    </w:p>
    <w:p>
      <w:pPr>
        <w:spacing w:line="240" w:lineRule="auto" w:before="6"/>
        <w:rPr>
          <w:rFonts w:ascii="宋体" w:hAnsi="宋体" w:cs="宋体" w:eastAsia="宋体" w:hint="default"/>
          <w:b/>
          <w:bCs/>
          <w:sz w:val="12"/>
          <w:szCs w:val="12"/>
        </w:rPr>
      </w:pPr>
    </w:p>
    <w:p>
      <w:pPr>
        <w:spacing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2"/>
        <w:rPr>
          <w:rFonts w:ascii="宋体" w:hAnsi="宋体" w:cs="宋体" w:eastAsia="宋体" w:hint="default"/>
          <w:b/>
          <w:bCs/>
          <w:sz w:val="19"/>
          <w:szCs w:val="19"/>
        </w:rPr>
      </w:pPr>
    </w:p>
    <w:p>
      <w:pPr>
        <w:spacing w:before="0"/>
        <w:ind w:left="300"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444" w:lineRule="auto" w:before="74"/>
        <w:ind w:left="334" w:right="285"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411" w:right="285"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180" w:left="900" w:right="900"/>
          <w:cols w:num="6" w:equalWidth="0">
            <w:col w:w="4178" w:space="40"/>
            <w:col w:w="798" w:space="40"/>
            <w:col w:w="933" w:space="40"/>
            <w:col w:w="1852" w:space="40"/>
            <w:col w:w="906" w:space="40"/>
            <w:col w:w="1243"/>
          </w:cols>
        </w:sectPr>
      </w:pPr>
    </w:p>
    <w:p>
      <w:pPr>
        <w:spacing w:line="240" w:lineRule="auto" w:before="8"/>
        <w:rPr>
          <w:rFonts w:ascii="宋体" w:hAnsi="宋体" w:cs="宋体" w:eastAsia="宋体" w:hint="default"/>
          <w:b/>
          <w:bCs/>
          <w:sz w:val="14"/>
          <w:szCs w:val="14"/>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93.6pt;height:1pt;mso-position-horizontal-relative:char;mso-position-vertical-relative:line" coordorigin="0,0" coordsize="9872,20">
            <v:group style="position:absolute;left:10;top:10;width:2110;height:2" coordorigin="10,10" coordsize="2110,2">
              <v:shape style="position:absolute;left:10;top:10;width:2110;height:2" coordorigin="10,10" coordsize="2110,0" path="m10,10l2120,10e" filled="false" stroked="true" strokeweight=".95999pt" strokecolor="#000000">
                <v:path arrowok="t"/>
              </v:shape>
            </v:group>
            <v:group style="position:absolute;left:2120;top:5;width:1141;height:2" coordorigin="2120,5" coordsize="1141,2">
              <v:shape style="position:absolute;left:2120;top:5;width:1141;height:2" coordorigin="2120,5" coordsize="1141,0" path="m2120,5l3260,5e" filled="false" stroked="true" strokeweight=".48pt" strokecolor="#000000">
                <v:path arrowok="t"/>
              </v:shape>
            </v:group>
            <v:group style="position:absolute;left:3260;top:5;width:10;height:2" coordorigin="3260,5" coordsize="10,2">
              <v:shape style="position:absolute;left:3260;top:5;width:10;height:2" coordorigin="3260,5" coordsize="10,0" path="m3260,5l3270,5e" filled="false" stroked="true" strokeweight=".48pt" strokecolor="#000000">
                <v:path arrowok="t"/>
              </v:shape>
            </v:group>
            <v:group style="position:absolute;left:3270;top:5;width:821;height:2" coordorigin="3270,5" coordsize="821,2">
              <v:shape style="position:absolute;left:3270;top:5;width:821;height:2" coordorigin="3270,5" coordsize="821,0" path="m3270,5l4091,5e" filled="false" stroked="true" strokeweight=".48pt" strokecolor="#000000">
                <v:path arrowok="t"/>
              </v:shape>
            </v:group>
            <v:group style="position:absolute;left:4091;top:5;width:10;height:2" coordorigin="4091,5" coordsize="10,2">
              <v:shape style="position:absolute;left:4091;top:5;width:10;height:2" coordorigin="4091,5" coordsize="10,0" path="m4091,5l4100,5e" filled="false" stroked="true" strokeweight=".48pt" strokecolor="#000000">
                <v:path arrowok="t"/>
              </v:shape>
            </v:group>
            <v:group style="position:absolute;left:4100;top:5;width:1004;height:2" coordorigin="4100,5" coordsize="1004,2">
              <v:shape style="position:absolute;left:4100;top:5;width:1004;height:2" coordorigin="4100,5" coordsize="1004,0" path="m4100,5l5104,5e" filled="false" stroked="true" strokeweight=".48pt" strokecolor="#000000">
                <v:path arrowok="t"/>
              </v:shape>
            </v:group>
            <v:group style="position:absolute;left:5104;top:5;width:10;height:2" coordorigin="5104,5" coordsize="10,2">
              <v:shape style="position:absolute;left:5104;top:5;width:10;height:2" coordorigin="5104,5" coordsize="10,0" path="m5104,5l5113,5e" filled="false" stroked="true" strokeweight=".48pt" strokecolor="#000000">
                <v:path arrowok="t"/>
              </v:shape>
            </v:group>
            <v:group style="position:absolute;left:5113;top:5;width:915;height:2" coordorigin="5113,5" coordsize="915,2">
              <v:shape style="position:absolute;left:5113;top:5;width:915;height:2" coordorigin="5113,5" coordsize="915,0" path="m5113,5l6028,5e" filled="false" stroked="true" strokeweight=".48pt" strokecolor="#000000">
                <v:path arrowok="t"/>
              </v:shape>
            </v:group>
            <v:group style="position:absolute;left:6028;top:5;width:10;height:2" coordorigin="6028,5" coordsize="10,2">
              <v:shape style="position:absolute;left:6028;top:5;width:10;height:2" coordorigin="6028,5" coordsize="10,0" path="m6028,5l6037,5e" filled="false" stroked="true" strokeweight=".48pt" strokecolor="#000000">
                <v:path arrowok="t"/>
              </v:shape>
            </v:group>
            <v:group style="position:absolute;left:6037;top:5;width:1129;height:2" coordorigin="6037,5" coordsize="1129,2">
              <v:shape style="position:absolute;left:6037;top:5;width:1129;height:2" coordorigin="6037,5" coordsize="1129,0" path="m6037,5l7166,5e" filled="false" stroked="true" strokeweight=".48pt" strokecolor="#000000">
                <v:path arrowok="t"/>
              </v:shape>
            </v:group>
            <v:group style="position:absolute;left:7166;top:5;width:10;height:2" coordorigin="7166,5" coordsize="10,2">
              <v:shape style="position:absolute;left:7166;top:5;width:10;height:2" coordorigin="7166,5" coordsize="10,0" path="m7166,5l7176,5e" filled="false" stroked="true" strokeweight=".48pt" strokecolor="#000000">
                <v:path arrowok="t"/>
              </v:shape>
            </v:group>
            <v:group style="position:absolute;left:7176;top:5;width:732;height:2" coordorigin="7176,5" coordsize="732,2">
              <v:shape style="position:absolute;left:7176;top:5;width:732;height:2" coordorigin="7176,5" coordsize="732,0" path="m7176,5l7908,5e" filled="false" stroked="true" strokeweight=".48pt" strokecolor="#000000">
                <v:path arrowok="t"/>
              </v:shape>
            </v:group>
            <v:group style="position:absolute;left:7908;top:5;width:10;height:2" coordorigin="7908,5" coordsize="10,2">
              <v:shape style="position:absolute;left:7908;top:5;width:10;height:2" coordorigin="7908,5" coordsize="10,0" path="m7908,5l7917,5e" filled="false" stroked="true" strokeweight=".48pt" strokecolor="#000000">
                <v:path arrowok="t"/>
              </v:shape>
            </v:group>
            <v:group style="position:absolute;left:7917;top:5;width:990;height:2" coordorigin="7917,5" coordsize="990,2">
              <v:shape style="position:absolute;left:7917;top:5;width:990;height:2" coordorigin="7917,5" coordsize="990,0" path="m7917,5l8906,5e" filled="false" stroked="true" strokeweight=".48pt" strokecolor="#000000">
                <v:path arrowok="t"/>
              </v:shape>
            </v:group>
            <v:group style="position:absolute;left:8906;top:5;width:10;height:2" coordorigin="8906,5" coordsize="10,2">
              <v:shape style="position:absolute;left:8906;top:5;width:10;height:2" coordorigin="8906,5" coordsize="10,0" path="m8906,5l8916,5e" filled="false" stroked="true" strokeweight=".48pt" strokecolor="#000000">
                <v:path arrowok="t"/>
              </v:shape>
            </v:group>
            <v:group style="position:absolute;left:8916;top:5;width:951;height:2" coordorigin="8916,5" coordsize="951,2">
              <v:shape style="position:absolute;left:8916;top:5;width:951;height:2" coordorigin="8916,5" coordsize="951,0" path="m8916,5l9866,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7"/>
          <w:szCs w:val="7"/>
        </w:rPr>
      </w:pPr>
    </w:p>
    <w:p>
      <w:pPr>
        <w:spacing w:line="436" w:lineRule="auto" w:before="54"/>
        <w:ind w:left="233" w:right="6767"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账准备的其他应收款</w:t>
      </w:r>
    </w:p>
    <w:p>
      <w:pPr>
        <w:spacing w:after="0" w:line="436" w:lineRule="auto"/>
        <w:jc w:val="left"/>
        <w:rPr>
          <w:rFonts w:ascii="宋体" w:hAnsi="宋体" w:cs="宋体" w:eastAsia="宋体" w:hint="default"/>
          <w:sz w:val="15"/>
          <w:szCs w:val="15"/>
        </w:rPr>
        <w:sectPr>
          <w:type w:val="continuous"/>
          <w:pgSz w:w="11910" w:h="16840"/>
          <w:pgMar w:top="1100" w:bottom="1180" w:left="900" w:right="900"/>
        </w:sectPr>
      </w:pPr>
    </w:p>
    <w:p>
      <w:pPr>
        <w:spacing w:line="439" w:lineRule="auto" w:before="122"/>
        <w:ind w:left="233" w:right="0"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按组合计提坏账准备的其他</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应收款</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0"/>
        <w:rPr>
          <w:rFonts w:ascii="宋体" w:hAnsi="宋体" w:cs="宋体" w:eastAsia="宋体" w:hint="default"/>
          <w:sz w:val="11"/>
          <w:szCs w:val="11"/>
        </w:rPr>
      </w:pPr>
    </w:p>
    <w:p>
      <w:pPr>
        <w:tabs>
          <w:tab w:pos="1502" w:val="left" w:leader="none"/>
          <w:tab w:pos="2256" w:val="left" w:leader="none"/>
          <w:tab w:pos="3375" w:val="left" w:leader="none"/>
          <w:tab w:pos="4143" w:val="left" w:leader="none"/>
          <w:tab w:pos="5360" w:val="left" w:leader="none"/>
          <w:tab w:pos="6066" w:val="left" w:leader="none"/>
          <w:tab w:pos="7192" w:val="left" w:leader="none"/>
        </w:tabs>
        <w:spacing w:before="0"/>
        <w:ind w:left="233" w:right="0" w:firstLine="0"/>
        <w:jc w:val="left"/>
        <w:rPr>
          <w:rFonts w:ascii="Times New Roman" w:hAnsi="Times New Roman" w:cs="Times New Roman" w:eastAsia="Times New Roman" w:hint="default"/>
          <w:sz w:val="15"/>
          <w:szCs w:val="15"/>
        </w:rPr>
      </w:pPr>
      <w:r>
        <w:rPr>
          <w:rFonts w:ascii="Times New Roman"/>
          <w:spacing w:val="-1"/>
          <w:sz w:val="15"/>
        </w:rPr>
        <w:t>9,095,827.33</w:t>
        <w:tab/>
        <w:t>100</w:t>
        <w:tab/>
        <w:t>212,452.36</w:t>
        <w:tab/>
        <w:t>2.34</w:t>
        <w:tab/>
        <w:t>2,503,321.29</w:t>
        <w:tab/>
        <w:t>100</w:t>
        <w:tab/>
        <w:t>125,053.36</w:t>
        <w:tab/>
        <w:t>5.00</w:t>
      </w:r>
    </w:p>
    <w:p>
      <w:pPr>
        <w:spacing w:after="0"/>
        <w:jc w:val="left"/>
        <w:rPr>
          <w:rFonts w:ascii="Times New Roman" w:hAnsi="Times New Roman" w:cs="Times New Roman" w:eastAsia="Times New Roman" w:hint="default"/>
          <w:sz w:val="15"/>
          <w:szCs w:val="15"/>
        </w:rPr>
        <w:sectPr>
          <w:type w:val="continuous"/>
          <w:pgSz w:w="11910" w:h="16840"/>
          <w:pgMar w:top="1100" w:bottom="1180" w:left="900" w:right="900"/>
          <w:cols w:num="2" w:equalWidth="0">
            <w:col w:w="2036" w:space="141"/>
            <w:col w:w="7933"/>
          </w:cols>
        </w:sectPr>
      </w:pPr>
    </w:p>
    <w:p>
      <w:pPr>
        <w:spacing w:line="441" w:lineRule="auto" w:before="118"/>
        <w:ind w:left="233" w:right="6767"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坏账准备的其他应收款</w:t>
      </w:r>
    </w:p>
    <w:p>
      <w:pPr>
        <w:tabs>
          <w:tab w:pos="2410" w:val="left" w:leader="none"/>
          <w:tab w:pos="3680" w:val="left" w:leader="none"/>
          <w:tab w:pos="4433" w:val="left" w:leader="none"/>
          <w:tab w:pos="6320" w:val="left" w:leader="none"/>
          <w:tab w:pos="7537" w:val="left" w:leader="none"/>
          <w:tab w:pos="8243" w:val="left" w:leader="none"/>
        </w:tabs>
        <w:spacing w:before="119"/>
        <w:ind w:left="958" w:right="28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9,095,827.33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212,452.36</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2,503,321.29</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125,053.36</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593" w:right="283"/>
        <w:jc w:val="left"/>
      </w:pPr>
      <w:r>
        <w:rPr/>
        <w:t>（</w:t>
      </w:r>
      <w:r>
        <w:rPr>
          <w:rFonts w:ascii="Times New Roman" w:hAnsi="Times New Roman" w:cs="Times New Roman" w:eastAsia="Times New Roman" w:hint="default"/>
        </w:rPr>
        <w:t>2</w:t>
      </w:r>
      <w:r>
        <w:rPr/>
        <w:t>）组合中，按账龄分析法计提坏账准备的其他应收款</w:t>
      </w:r>
    </w:p>
    <w:p>
      <w:pPr>
        <w:spacing w:line="240" w:lineRule="auto" w:before="0"/>
        <w:rPr>
          <w:rFonts w:ascii="宋体" w:hAnsi="宋体" w:cs="宋体" w:eastAsia="宋体" w:hint="default"/>
          <w:sz w:val="22"/>
          <w:szCs w:val="22"/>
        </w:rPr>
      </w:pPr>
    </w:p>
    <w:p>
      <w:pPr>
        <w:tabs>
          <w:tab w:pos="7595" w:val="left" w:leader="none"/>
        </w:tabs>
        <w:spacing w:before="54"/>
        <w:ind w:left="3413" w:right="283"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3"/>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475"/>
        <w:gridCol w:w="1257"/>
        <w:gridCol w:w="763"/>
        <w:gridCol w:w="1181"/>
        <w:gridCol w:w="1120"/>
        <w:gridCol w:w="1110"/>
        <w:gridCol w:w="922"/>
        <w:gridCol w:w="1085"/>
        <w:gridCol w:w="943"/>
      </w:tblGrid>
      <w:tr>
        <w:trPr>
          <w:trHeight w:val="491"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 w:right="0"/>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3"/>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322"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2"/>
              <w:jc w:val="righ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172"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200"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pacing w:val="-10"/>
                <w:sz w:val="15"/>
                <w:szCs w:val="15"/>
              </w:rPr>
              <w:t>比例（</w:t>
            </w:r>
            <w:r>
              <w:rPr>
                <w:rFonts w:ascii="Times New Roman" w:hAnsi="Times New Roman" w:cs="Times New Roman" w:eastAsia="Times New Roman" w:hint="default"/>
                <w:b/>
                <w:bCs/>
                <w:spacing w:val="-10"/>
                <w:sz w:val="15"/>
                <w:szCs w:val="15"/>
              </w:rPr>
              <w:t>%</w:t>
            </w:r>
            <w:r>
              <w:rPr>
                <w:rFonts w:ascii="宋体" w:hAnsi="宋体" w:cs="宋体" w:eastAsia="宋体" w:hint="default"/>
                <w:b/>
                <w:bCs/>
                <w:spacing w:val="-10"/>
                <w:sz w:val="15"/>
                <w:szCs w:val="15"/>
              </w:rPr>
              <w:t>）</w:t>
            </w:r>
            <w:r>
              <w:rPr>
                <w:rFonts w:ascii="宋体" w:hAnsi="宋体" w:cs="宋体" w:eastAsia="宋体" w:hint="default"/>
                <w:spacing w:val="-10"/>
                <w:sz w:val="15"/>
                <w:szCs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8"/>
              <w:jc w:val="righ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left="14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258" w:hRule="exact"/>
        </w:trPr>
        <w:tc>
          <w:tcPr>
            <w:tcW w:w="1475" w:type="dxa"/>
            <w:tcBorders>
              <w:top w:val="nil" w:sz="6" w:space="0" w:color="auto"/>
              <w:left w:val="nil" w:sz="6" w:space="0" w:color="auto"/>
              <w:bottom w:val="single" w:sz="4" w:space="0" w:color="000000"/>
              <w:right w:val="nil" w:sz="6" w:space="0" w:color="auto"/>
            </w:tcBorders>
          </w:tcPr>
          <w:p>
            <w:pPr/>
          </w:p>
        </w:tc>
        <w:tc>
          <w:tcPr>
            <w:tcW w:w="1257" w:type="dxa"/>
            <w:tcBorders>
              <w:top w:val="nil" w:sz="6" w:space="0" w:color="auto"/>
              <w:left w:val="nil" w:sz="6" w:space="0" w:color="auto"/>
              <w:bottom w:val="single" w:sz="4" w:space="0" w:color="000000"/>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173" w:lineRule="exact"/>
              <w:ind w:right="43"/>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81" w:type="dxa"/>
            <w:tcBorders>
              <w:top w:val="nil" w:sz="6" w:space="0" w:color="auto"/>
              <w:left w:val="nil" w:sz="6" w:space="0" w:color="auto"/>
              <w:bottom w:val="single" w:sz="4" w:space="0" w:color="000000"/>
              <w:right w:val="nil" w:sz="6" w:space="0" w:color="auto"/>
            </w:tcBorders>
          </w:tcPr>
          <w:p>
            <w:pPr>
              <w:pStyle w:val="TableParagraph"/>
              <w:spacing w:line="164" w:lineRule="exact"/>
              <w:ind w:right="171"/>
              <w:jc w:val="right"/>
              <w:rPr>
                <w:rFonts w:ascii="宋体" w:hAnsi="宋体" w:cs="宋体" w:eastAsia="宋体" w:hint="default"/>
                <w:sz w:val="15"/>
                <w:szCs w:val="15"/>
              </w:rPr>
            </w:pPr>
            <w:r>
              <w:rPr>
                <w:rFonts w:ascii="宋体" w:hAnsi="宋体" w:cs="宋体" w:eastAsia="宋体" w:hint="default"/>
                <w:b/>
                <w:bCs/>
                <w:spacing w:val="-1"/>
                <w:sz w:val="15"/>
                <w:szCs w:val="15"/>
              </w:rPr>
              <w:t>提比例（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1120" w:type="dxa"/>
            <w:tcBorders>
              <w:top w:val="nil" w:sz="6" w:space="0" w:color="auto"/>
              <w:left w:val="nil" w:sz="6" w:space="0" w:color="auto"/>
              <w:bottom w:val="single" w:sz="4" w:space="0" w:color="000000"/>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
        </w:tc>
        <w:tc>
          <w:tcPr>
            <w:tcW w:w="922" w:type="dxa"/>
            <w:tcBorders>
              <w:top w:val="nil" w:sz="6" w:space="0" w:color="auto"/>
              <w:left w:val="nil" w:sz="6" w:space="0" w:color="auto"/>
              <w:bottom w:val="single" w:sz="4" w:space="0" w:color="000000"/>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164" w:lineRule="exact"/>
              <w:ind w:right="147"/>
              <w:jc w:val="right"/>
              <w:rPr>
                <w:rFonts w:ascii="宋体" w:hAnsi="宋体" w:cs="宋体" w:eastAsia="宋体" w:hint="default"/>
                <w:sz w:val="15"/>
                <w:szCs w:val="15"/>
              </w:rPr>
            </w:pPr>
            <w:r>
              <w:rPr>
                <w:rFonts w:ascii="宋体" w:hAnsi="宋体" w:cs="宋体" w:eastAsia="宋体" w:hint="default"/>
                <w:b/>
                <w:bCs/>
                <w:spacing w:val="-1"/>
                <w:sz w:val="15"/>
                <w:szCs w:val="15"/>
              </w:rPr>
              <w:t>提比例（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943" w:type="dxa"/>
            <w:tcBorders>
              <w:top w:val="nil" w:sz="6" w:space="0" w:color="auto"/>
              <w:left w:val="nil" w:sz="6" w:space="0" w:color="auto"/>
              <w:bottom w:val="single" w:sz="4" w:space="0" w:color="000000"/>
              <w:right w:val="nil" w:sz="6" w:space="0" w:color="auto"/>
            </w:tcBorders>
          </w:tcPr>
          <w:p>
            <w:pPr/>
          </w:p>
        </w:tc>
      </w:tr>
      <w:tr>
        <w:trPr>
          <w:trHeight w:val="503" w:hRule="exact"/>
        </w:trPr>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spacing w:val="-1"/>
                <w:sz w:val="15"/>
              </w:rPr>
              <w:t>8,483,662.65</w:t>
            </w: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93.27</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61"/>
              <w:jc w:val="center"/>
              <w:rPr>
                <w:rFonts w:ascii="Times New Roman" w:hAnsi="Times New Roman" w:cs="Times New Roman" w:eastAsia="Times New Roman" w:hint="default"/>
                <w:sz w:val="15"/>
                <w:szCs w:val="15"/>
              </w:rPr>
            </w:pPr>
            <w:r>
              <w:rPr>
                <w:rFonts w:ascii="Times New Roman"/>
                <w:w w:val="100"/>
                <w:sz w:val="15"/>
              </w:rPr>
              <w:t>1</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84,836.63</w:t>
            </w: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2,377,817.56</w:t>
            </w:r>
          </w:p>
        </w:tc>
        <w:tc>
          <w:tcPr>
            <w:tcW w:w="9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71"/>
              <w:jc w:val="center"/>
              <w:rPr>
                <w:rFonts w:ascii="Times New Roman" w:hAnsi="Times New Roman" w:cs="Times New Roman" w:eastAsia="Times New Roman" w:hint="default"/>
                <w:sz w:val="15"/>
                <w:szCs w:val="15"/>
              </w:rPr>
            </w:pPr>
            <w:r>
              <w:rPr>
                <w:rFonts w:ascii="Times New Roman"/>
                <w:sz w:val="15"/>
              </w:rPr>
              <w:t>94.99</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14"/>
              <w:jc w:val="center"/>
              <w:rPr>
                <w:rFonts w:ascii="Times New Roman" w:hAnsi="Times New Roman" w:cs="Times New Roman" w:eastAsia="Times New Roman" w:hint="default"/>
                <w:sz w:val="15"/>
                <w:szCs w:val="15"/>
              </w:rPr>
            </w:pPr>
            <w:r>
              <w:rPr>
                <w:rFonts w:ascii="Times New Roman"/>
                <w:w w:val="100"/>
                <w:sz w:val="15"/>
              </w:rPr>
              <w:t>1</w:t>
            </w: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pacing w:val="-1"/>
                <w:sz w:val="15"/>
              </w:rPr>
              <w:t>23,778.18</w:t>
            </w:r>
          </w:p>
        </w:tc>
      </w:tr>
      <w:tr>
        <w:trPr>
          <w:trHeight w:val="439"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504,134.65</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5.54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61"/>
              <w:jc w:val="center"/>
              <w:rPr>
                <w:rFonts w:ascii="Times New Roman" w:hAnsi="Times New Roman" w:cs="Times New Roman" w:eastAsia="Times New Roman" w:hint="default"/>
                <w:sz w:val="15"/>
                <w:szCs w:val="15"/>
              </w:rPr>
            </w:pPr>
            <w:r>
              <w:rPr>
                <w:rFonts w:ascii="Times New Roman"/>
                <w:w w:val="100"/>
                <w:sz w:val="15"/>
              </w:rPr>
              <w:t>5</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25,206.73</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25,503.73</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71"/>
              <w:jc w:val="center"/>
              <w:rPr>
                <w:rFonts w:ascii="Times New Roman" w:hAnsi="Times New Roman" w:cs="Times New Roman" w:eastAsia="Times New Roman" w:hint="default"/>
                <w:sz w:val="15"/>
                <w:szCs w:val="15"/>
              </w:rPr>
            </w:pPr>
            <w:r>
              <w:rPr>
                <w:rFonts w:ascii="Times New Roman"/>
                <w:sz w:val="15"/>
              </w:rPr>
              <w:t>1.02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4"/>
              <w:jc w:val="center"/>
              <w:rPr>
                <w:rFonts w:ascii="Times New Roman" w:hAnsi="Times New Roman" w:cs="Times New Roman" w:eastAsia="Times New Roman" w:hint="default"/>
                <w:sz w:val="15"/>
                <w:szCs w:val="15"/>
              </w:rPr>
            </w:pPr>
            <w:r>
              <w:rPr>
                <w:rFonts w:ascii="Times New Roman"/>
                <w:w w:val="100"/>
                <w:sz w:val="15"/>
              </w:rPr>
              <w:t>5</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pacing w:val="-1"/>
                <w:sz w:val="15"/>
              </w:rPr>
              <w:t>1,275.18</w:t>
            </w:r>
          </w:p>
        </w:tc>
      </w:tr>
      <w:tr>
        <w:trPr>
          <w:trHeight w:val="441"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8,030.03</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0.09</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60"/>
              <w:jc w:val="center"/>
              <w:rPr>
                <w:rFonts w:ascii="Times New Roman" w:hAnsi="Times New Roman" w:cs="Times New Roman" w:eastAsia="Times New Roman" w:hint="default"/>
                <w:sz w:val="15"/>
                <w:szCs w:val="15"/>
              </w:rPr>
            </w:pPr>
            <w:r>
              <w:rPr>
                <w:rFonts w:ascii="Times New Roman"/>
                <w:sz w:val="15"/>
              </w:rPr>
              <w:t>30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2,409.00</w:t>
            </w:r>
          </w:p>
        </w:tc>
        <w:tc>
          <w:tcPr>
            <w:tcW w:w="11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r>
      <w:tr>
        <w:trPr>
          <w:trHeight w:val="440"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年以上</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100,000.00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Times New Roman"/>
                <w:sz w:val="15"/>
              </w:rPr>
              <w:t>1.10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59"/>
              <w:jc w:val="center"/>
              <w:rPr>
                <w:rFonts w:ascii="Times New Roman" w:hAnsi="Times New Roman" w:cs="Times New Roman" w:eastAsia="Times New Roman" w:hint="default"/>
                <w:sz w:val="15"/>
                <w:szCs w:val="15"/>
              </w:rPr>
            </w:pPr>
            <w:r>
              <w:rPr>
                <w:rFonts w:ascii="Times New Roman"/>
                <w:sz w:val="15"/>
              </w:rPr>
              <w:t>100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100,000.00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71"/>
              <w:jc w:val="center"/>
              <w:rPr>
                <w:rFonts w:ascii="Times New Roman" w:hAnsi="Times New Roman" w:cs="Times New Roman" w:eastAsia="Times New Roman" w:hint="default"/>
                <w:sz w:val="15"/>
                <w:szCs w:val="15"/>
              </w:rPr>
            </w:pPr>
            <w:r>
              <w:rPr>
                <w:rFonts w:ascii="Times New Roman"/>
                <w:sz w:val="15"/>
              </w:rPr>
              <w:t>3.99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117"/>
              <w:jc w:val="center"/>
              <w:rPr>
                <w:rFonts w:ascii="Times New Roman" w:hAnsi="Times New Roman" w:cs="Times New Roman" w:eastAsia="Times New Roman" w:hint="default"/>
                <w:sz w:val="15"/>
                <w:szCs w:val="15"/>
              </w:rPr>
            </w:pPr>
            <w:r>
              <w:rPr>
                <w:rFonts w:ascii="Times New Roman"/>
                <w:sz w:val="15"/>
              </w:rPr>
              <w:t>100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0"/>
                <w:szCs w:val="10"/>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399"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9,095,827.33</w:t>
            </w:r>
            <w:r>
              <w:rPr>
                <w:rFonts w:ascii="Times New Roman"/>
                <w:spacing w:val="-1"/>
                <w:sz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6"/>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81"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212,452.36</w:t>
            </w:r>
            <w:r>
              <w:rPr>
                <w:rFonts w:ascii="Times New Roman"/>
                <w:spacing w:val="-1"/>
                <w:sz w:val="15"/>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2,503,321.29</w:t>
            </w:r>
            <w:r>
              <w:rPr>
                <w:rFonts w:ascii="Times New Roman"/>
                <w:spacing w:val="-1"/>
                <w:sz w:val="15"/>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73"/>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125,053.36</w:t>
            </w:r>
            <w:r>
              <w:rPr>
                <w:rFonts w:ascii="Times New Roman"/>
                <w:spacing w:val="-1"/>
                <w:sz w:val="15"/>
              </w:rPr>
            </w:r>
          </w:p>
        </w:tc>
      </w:tr>
    </w:tbl>
    <w:p>
      <w:pPr>
        <w:spacing w:line="240" w:lineRule="auto" w:before="6"/>
        <w:rPr>
          <w:rFonts w:ascii="宋体" w:hAnsi="宋体" w:cs="宋体" w:eastAsia="宋体" w:hint="default"/>
          <w:b/>
          <w:bCs/>
          <w:sz w:val="20"/>
          <w:szCs w:val="20"/>
        </w:rPr>
      </w:pPr>
    </w:p>
    <w:p>
      <w:pPr>
        <w:pStyle w:val="Heading6"/>
        <w:spacing w:line="240" w:lineRule="auto"/>
        <w:ind w:left="653" w:right="283"/>
        <w:jc w:val="left"/>
      </w:pPr>
      <w:r>
        <w:rPr/>
        <w:t>（</w:t>
      </w:r>
      <w:r>
        <w:rPr>
          <w:rFonts w:ascii="Times New Roman" w:hAnsi="Times New Roman" w:cs="Times New Roman" w:eastAsia="Times New Roman" w:hint="default"/>
        </w:rPr>
        <w:t>3</w:t>
      </w:r>
      <w:r>
        <w:rPr/>
        <w:t>）本报告期其他应收款中无应收持公司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）以上表决权股份的股东单位的款项。</w:t>
      </w:r>
    </w:p>
    <w:p>
      <w:pPr>
        <w:spacing w:line="240" w:lineRule="auto" w:before="1"/>
        <w:rPr>
          <w:rFonts w:ascii="宋体" w:hAnsi="宋体" w:cs="宋体" w:eastAsia="宋体" w:hint="default"/>
          <w:sz w:val="20"/>
          <w:szCs w:val="20"/>
        </w:rPr>
      </w:pPr>
    </w:p>
    <w:p>
      <w:pPr>
        <w:pStyle w:val="BodyText"/>
        <w:spacing w:line="240" w:lineRule="auto"/>
        <w:ind w:left="593" w:right="283"/>
        <w:jc w:val="left"/>
      </w:pPr>
      <w:r>
        <w:rPr/>
        <w:t>（</w:t>
      </w:r>
      <w:r>
        <w:rPr>
          <w:rFonts w:ascii="Times New Roman" w:hAnsi="Times New Roman" w:cs="Times New Roman" w:eastAsia="Times New Roman" w:hint="default"/>
        </w:rPr>
        <w:t>4</w:t>
      </w:r>
      <w:r>
        <w:rPr/>
        <w:t>）期末应收关联方款项情况</w:t>
      </w:r>
    </w:p>
    <w:p>
      <w:pPr>
        <w:spacing w:line="240" w:lineRule="auto" w:before="7"/>
        <w:rPr>
          <w:rFonts w:ascii="宋体" w:hAnsi="宋体" w:cs="宋体" w:eastAsia="宋体" w:hint="default"/>
          <w:sz w:val="27"/>
          <w:szCs w:val="27"/>
        </w:rPr>
      </w:pPr>
    </w:p>
    <w:tbl>
      <w:tblPr>
        <w:tblW w:w="0" w:type="auto"/>
        <w:jc w:val="left"/>
        <w:tblInd w:w="233" w:type="dxa"/>
        <w:tblLayout w:type="fixed"/>
        <w:tblCellMar>
          <w:top w:w="0" w:type="dxa"/>
          <w:left w:w="0" w:type="dxa"/>
          <w:bottom w:w="0" w:type="dxa"/>
          <w:right w:w="0" w:type="dxa"/>
        </w:tblCellMar>
        <w:tblLook w:val="01E0"/>
      </w:tblPr>
      <w:tblGrid>
        <w:gridCol w:w="3301"/>
        <w:gridCol w:w="1954"/>
        <w:gridCol w:w="1616"/>
        <w:gridCol w:w="2769"/>
      </w:tblGrid>
      <w:tr>
        <w:trPr>
          <w:trHeight w:val="272" w:hRule="exact"/>
        </w:trPr>
        <w:tc>
          <w:tcPr>
            <w:tcW w:w="3301" w:type="dxa"/>
            <w:tcBorders>
              <w:top w:val="nil" w:sz="6" w:space="0" w:color="auto"/>
              <w:left w:val="nil" w:sz="6" w:space="0" w:color="auto"/>
              <w:bottom w:val="single" w:sz="4" w:space="0" w:color="000000"/>
              <w:right w:val="nil" w:sz="6" w:space="0" w:color="auto"/>
            </w:tcBorders>
          </w:tcPr>
          <w:p>
            <w:pPr>
              <w:pStyle w:val="TableParagraph"/>
              <w:spacing w:line="180" w:lineRule="exact"/>
              <w:ind w:left="70"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54" w:type="dxa"/>
            <w:tcBorders>
              <w:top w:val="nil" w:sz="6" w:space="0" w:color="auto"/>
              <w:left w:val="nil" w:sz="6" w:space="0" w:color="auto"/>
              <w:bottom w:val="single" w:sz="6" w:space="0" w:color="000000"/>
              <w:right w:val="nil" w:sz="6" w:space="0" w:color="auto"/>
            </w:tcBorders>
          </w:tcPr>
          <w:p>
            <w:pPr>
              <w:pStyle w:val="TableParagraph"/>
              <w:spacing w:line="180" w:lineRule="exact"/>
              <w:ind w:right="106"/>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16" w:type="dxa"/>
            <w:tcBorders>
              <w:top w:val="nil" w:sz="6" w:space="0" w:color="auto"/>
              <w:left w:val="nil" w:sz="6" w:space="0" w:color="auto"/>
              <w:bottom w:val="single" w:sz="6" w:space="0" w:color="000000"/>
              <w:right w:val="nil" w:sz="6" w:space="0" w:color="auto"/>
            </w:tcBorders>
          </w:tcPr>
          <w:p>
            <w:pPr>
              <w:pStyle w:val="TableParagraph"/>
              <w:spacing w:line="180" w:lineRule="exact"/>
              <w:ind w:right="6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769" w:type="dxa"/>
            <w:tcBorders>
              <w:top w:val="nil" w:sz="6" w:space="0" w:color="auto"/>
              <w:left w:val="nil" w:sz="6" w:space="0" w:color="auto"/>
              <w:bottom w:val="single" w:sz="6" w:space="0" w:color="000000"/>
              <w:right w:val="nil" w:sz="6" w:space="0" w:color="auto"/>
            </w:tcBorders>
          </w:tcPr>
          <w:p>
            <w:pPr>
              <w:pStyle w:val="TableParagraph"/>
              <w:spacing w:line="194" w:lineRule="exact"/>
              <w:ind w:left="181" w:right="0"/>
              <w:jc w:val="left"/>
              <w:rPr>
                <w:rFonts w:ascii="宋体" w:hAnsi="宋体" w:cs="宋体" w:eastAsia="宋体" w:hint="default"/>
                <w:sz w:val="18"/>
                <w:szCs w:val="18"/>
              </w:rPr>
            </w:pPr>
            <w:r>
              <w:rPr>
                <w:rFonts w:ascii="宋体" w:hAnsi="宋体" w:cs="宋体" w:eastAsia="宋体" w:hint="default"/>
                <w:b/>
                <w:bCs/>
                <w:sz w:val="18"/>
                <w:szCs w:val="18"/>
              </w:rPr>
              <w:t>占其他应收款总额的比例（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7" w:hRule="exact"/>
        </w:trPr>
        <w:tc>
          <w:tcPr>
            <w:tcW w:w="330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40"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c>
          <w:tcPr>
            <w:tcW w:w="1954"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right="10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16"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right="179"/>
              <w:jc w:val="right"/>
              <w:rPr>
                <w:rFonts w:ascii="Times New Roman" w:hAnsi="Times New Roman" w:cs="Times New Roman" w:eastAsia="Times New Roman" w:hint="default"/>
                <w:sz w:val="18"/>
                <w:szCs w:val="18"/>
              </w:rPr>
            </w:pPr>
            <w:r>
              <w:rPr>
                <w:rFonts w:ascii="Times New Roman"/>
                <w:spacing w:val="-1"/>
                <w:sz w:val="18"/>
              </w:rPr>
              <w:t>5,000,000.00</w:t>
            </w:r>
          </w:p>
        </w:tc>
        <w:tc>
          <w:tcPr>
            <w:tcW w:w="2769"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left="1491" w:right="0"/>
              <w:jc w:val="left"/>
              <w:rPr>
                <w:rFonts w:ascii="Times New Roman" w:hAnsi="Times New Roman" w:cs="Times New Roman" w:eastAsia="Times New Roman" w:hint="default"/>
                <w:sz w:val="18"/>
                <w:szCs w:val="18"/>
              </w:rPr>
            </w:pPr>
            <w:r>
              <w:rPr>
                <w:rFonts w:ascii="Times New Roman"/>
                <w:sz w:val="18"/>
              </w:rPr>
              <w:t>54.97</w:t>
            </w:r>
          </w:p>
        </w:tc>
      </w:tr>
      <w:tr>
        <w:trPr>
          <w:trHeight w:val="441"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0" w:right="0"/>
              <w:jc w:val="left"/>
              <w:rPr>
                <w:rFonts w:ascii="宋体" w:hAnsi="宋体" w:cs="宋体" w:eastAsia="宋体" w:hint="default"/>
                <w:sz w:val="18"/>
                <w:szCs w:val="18"/>
              </w:rPr>
            </w:pPr>
            <w:r>
              <w:rPr>
                <w:rFonts w:ascii="宋体" w:hAnsi="宋体" w:cs="宋体" w:eastAsia="宋体" w:hint="default"/>
                <w:sz w:val="18"/>
                <w:szCs w:val="18"/>
              </w:rPr>
              <w:t>广州天瑞文化传播有限责任公司</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9"/>
              <w:jc w:val="right"/>
              <w:rPr>
                <w:rFonts w:ascii="Times New Roman" w:hAnsi="Times New Roman" w:cs="Times New Roman" w:eastAsia="Times New Roman" w:hint="default"/>
                <w:sz w:val="18"/>
                <w:szCs w:val="18"/>
              </w:rPr>
            </w:pPr>
            <w:r>
              <w:rPr>
                <w:rFonts w:ascii="Times New Roman"/>
                <w:spacing w:val="-1"/>
                <w:sz w:val="18"/>
              </w:rPr>
              <w:t>1,000,000.00</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91" w:right="0"/>
              <w:jc w:val="left"/>
              <w:rPr>
                <w:rFonts w:ascii="Times New Roman" w:hAnsi="Times New Roman" w:cs="Times New Roman" w:eastAsia="Times New Roman" w:hint="default"/>
                <w:sz w:val="18"/>
                <w:szCs w:val="18"/>
              </w:rPr>
            </w:pPr>
            <w:r>
              <w:rPr>
                <w:rFonts w:ascii="Times New Roman"/>
                <w:sz w:val="18"/>
              </w:rPr>
              <w:t>10.99</w:t>
            </w:r>
          </w:p>
        </w:tc>
      </w:tr>
      <w:tr>
        <w:trPr>
          <w:trHeight w:val="439"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9"/>
              <w:jc w:val="right"/>
              <w:rPr>
                <w:rFonts w:ascii="Times New Roman" w:hAnsi="Times New Roman" w:cs="Times New Roman" w:eastAsia="Times New Roman" w:hint="default"/>
                <w:sz w:val="18"/>
                <w:szCs w:val="18"/>
              </w:rPr>
            </w:pPr>
            <w:r>
              <w:rPr>
                <w:rFonts w:ascii="Times New Roman"/>
                <w:spacing w:val="-1"/>
                <w:sz w:val="18"/>
              </w:rPr>
              <w:t>496,197.08</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82" w:right="0"/>
              <w:jc w:val="left"/>
              <w:rPr>
                <w:rFonts w:ascii="Times New Roman" w:hAnsi="Times New Roman" w:cs="Times New Roman" w:eastAsia="Times New Roman" w:hint="default"/>
                <w:sz w:val="18"/>
                <w:szCs w:val="18"/>
              </w:rPr>
            </w:pPr>
            <w:r>
              <w:rPr>
                <w:rFonts w:ascii="Times New Roman"/>
                <w:sz w:val="18"/>
              </w:rPr>
              <w:t>5.45</w:t>
            </w:r>
          </w:p>
        </w:tc>
      </w:tr>
      <w:tr>
        <w:trPr>
          <w:trHeight w:val="315"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5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6,496,197.08</w:t>
            </w:r>
            <w:r>
              <w:rPr>
                <w:rFonts w:ascii="Times New Roman"/>
                <w:spacing w:val="-1"/>
                <w:sz w:val="18"/>
              </w:rPr>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49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71.42</w:t>
            </w:r>
            <w:r>
              <w:rPr>
                <w:rFonts w:ascii="Times New Roman"/>
                <w:sz w:val="18"/>
              </w:rPr>
            </w:r>
          </w:p>
        </w:tc>
      </w:tr>
    </w:tbl>
    <w:p>
      <w:pPr>
        <w:spacing w:line="240" w:lineRule="auto" w:before="12"/>
        <w:rPr>
          <w:rFonts w:ascii="宋体" w:hAnsi="宋体" w:cs="宋体" w:eastAsia="宋体" w:hint="default"/>
          <w:sz w:val="27"/>
          <w:szCs w:val="27"/>
        </w:rPr>
      </w:pPr>
    </w:p>
    <w:p>
      <w:pPr>
        <w:pStyle w:val="Heading6"/>
        <w:spacing w:line="240" w:lineRule="auto"/>
        <w:ind w:left="653" w:right="283"/>
        <w:jc w:val="left"/>
      </w:pPr>
      <w:r>
        <w:rPr/>
        <w:pict>
          <v:group style="position:absolute;margin-left:50.039989pt;margin-top:47.53965pt;width:494.55pt;height:1pt;mso-position-horizontal-relative:page;mso-position-vertical-relative:paragraph;z-index:-686104" coordorigin="1001,951" coordsize="9891,20">
            <v:group style="position:absolute;left:1010;top:960;width:3532;height:2" coordorigin="1010,960" coordsize="3532,2">
              <v:shape style="position:absolute;left:1010;top:960;width:3532;height:2" coordorigin="1010,960" coordsize="3532,0" path="m1010,960l4542,960e" filled="false" stroked="true" strokeweight=".96002pt" strokecolor="#000000">
                <v:path arrowok="t"/>
              </v:shape>
            </v:group>
            <v:group style="position:absolute;left:4527;top:960;width:20;height:2" coordorigin="4527,960" coordsize="20,2">
              <v:shape style="position:absolute;left:4527;top:960;width:20;height:2" coordorigin="4527,960" coordsize="20,0" path="m4527,960l4547,960e" filled="false" stroked="true" strokeweight=".96002pt" strokecolor="#000000">
                <v:path arrowok="t"/>
              </v:shape>
            </v:group>
            <v:group style="position:absolute;left:4547;top:960;width:1076;height:2" coordorigin="4547,960" coordsize="1076,2">
              <v:shape style="position:absolute;left:4547;top:960;width:1076;height:2" coordorigin="4547,960" coordsize="1076,0" path="m4547,960l5622,960e" filled="false" stroked="true" strokeweight=".96002pt" strokecolor="#000000">
                <v:path arrowok="t"/>
              </v:shape>
            </v:group>
            <v:group style="position:absolute;left:5608;top:960;width:20;height:2" coordorigin="5608,960" coordsize="20,2">
              <v:shape style="position:absolute;left:5608;top:960;width:20;height:2" coordorigin="5608,960" coordsize="20,0" path="m5608,960l5627,960e" filled="false" stroked="true" strokeweight=".96002pt" strokecolor="#000000">
                <v:path arrowok="t"/>
              </v:shape>
            </v:group>
            <v:group style="position:absolute;left:5627;top:960;width:1426;height:2" coordorigin="5627,960" coordsize="1426,2">
              <v:shape style="position:absolute;left:5627;top:960;width:1426;height:2" coordorigin="5627,960" coordsize="1426,0" path="m5627,960l7053,960e" filled="false" stroked="true" strokeweight=".96002pt" strokecolor="#000000">
                <v:path arrowok="t"/>
              </v:shape>
            </v:group>
            <v:group style="position:absolute;left:7038;top:960;width:20;height:2" coordorigin="7038,960" coordsize="20,2">
              <v:shape style="position:absolute;left:7038;top:960;width:20;height:2" coordorigin="7038,960" coordsize="20,0" path="m7038,960l7057,960e" filled="false" stroked="true" strokeweight=".96002pt" strokecolor="#000000">
                <v:path arrowok="t"/>
              </v:shape>
            </v:group>
            <v:group style="position:absolute;left:7057;top:960;width:1081;height:2" coordorigin="7057,960" coordsize="1081,2">
              <v:shape style="position:absolute;left:7057;top:960;width:1081;height:2" coordorigin="7057,960" coordsize="1081,0" path="m7057,960l8138,960e" filled="false" stroked="true" strokeweight=".96002pt" strokecolor="#000000">
                <v:path arrowok="t"/>
              </v:shape>
            </v:group>
            <v:group style="position:absolute;left:8124;top:960;width:20;height:2" coordorigin="8124,960" coordsize="20,2">
              <v:shape style="position:absolute;left:8124;top:960;width:20;height:2" coordorigin="8124,960" coordsize="20,0" path="m8124,960l8143,960e" filled="false" stroked="true" strokeweight=".96002pt" strokecolor="#000000">
                <v:path arrowok="t"/>
              </v:shape>
            </v:group>
            <v:group style="position:absolute;left:8143;top:960;width:1697;height:2" coordorigin="8143,960" coordsize="1697,2">
              <v:shape style="position:absolute;left:8143;top:960;width:1697;height:2" coordorigin="8143,960" coordsize="1697,0" path="m8143,960l9840,960e" filled="false" stroked="true" strokeweight=".96002pt" strokecolor="#000000">
                <v:path arrowok="t"/>
              </v:shape>
            </v:group>
            <v:group style="position:absolute;left:9825;top:960;width:20;height:2" coordorigin="9825,960" coordsize="20,2">
              <v:shape style="position:absolute;left:9825;top:960;width:20;height:2" coordorigin="9825,960" coordsize="20,0" path="m9825,960l9844,960e" filled="false" stroked="true" strokeweight=".96002pt" strokecolor="#000000">
                <v:path arrowok="t"/>
              </v:shape>
            </v:group>
            <v:group style="position:absolute;left:9844;top:960;width:1038;height:2" coordorigin="9844,960" coordsize="1038,2">
              <v:shape style="position:absolute;left:9844;top:960;width:1038;height:2" coordorigin="9844,960" coordsize="1038,0" path="m9844,960l10882,960e" filled="false" stroked="true" strokeweight=".96002pt" strokecolor="#000000">
                <v:path arrowok="t"/>
              </v:shape>
            </v:group>
            <w10:wrap type="none"/>
          </v:group>
        </w:pict>
      </w:r>
      <w:r>
        <w:rPr/>
        <w:t>（</w:t>
      </w:r>
      <w:r>
        <w:rPr>
          <w:rFonts w:ascii="Times New Roman" w:hAnsi="Times New Roman" w:cs="Times New Roman" w:eastAsia="Times New Roman" w:hint="default"/>
        </w:rPr>
        <w:t>5</w:t>
      </w:r>
      <w:r>
        <w:rPr/>
        <w:t>）其他应收款金额前五名单位情况</w:t>
      </w:r>
    </w:p>
    <w:p>
      <w:pPr>
        <w:spacing w:line="240" w:lineRule="auto" w:before="1"/>
        <w:rPr>
          <w:rFonts w:ascii="宋体" w:hAnsi="宋体" w:cs="宋体" w:eastAsia="宋体" w:hint="default"/>
          <w:sz w:val="27"/>
          <w:szCs w:val="27"/>
        </w:rPr>
      </w:pPr>
    </w:p>
    <w:tbl>
      <w:tblPr>
        <w:tblW w:w="0" w:type="auto"/>
        <w:jc w:val="left"/>
        <w:tblInd w:w="1321" w:type="dxa"/>
        <w:tblLayout w:type="fixed"/>
        <w:tblCellMar>
          <w:top w:w="0" w:type="dxa"/>
          <w:left w:w="0" w:type="dxa"/>
          <w:bottom w:w="0" w:type="dxa"/>
          <w:right w:w="0" w:type="dxa"/>
        </w:tblCellMar>
        <w:tblLook w:val="01E0"/>
      </w:tblPr>
      <w:tblGrid>
        <w:gridCol w:w="1711"/>
        <w:gridCol w:w="1778"/>
        <w:gridCol w:w="1347"/>
        <w:gridCol w:w="966"/>
        <w:gridCol w:w="1833"/>
        <w:gridCol w:w="1025"/>
      </w:tblGrid>
      <w:tr>
        <w:trPr>
          <w:trHeight w:val="279"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78" w:type="dxa"/>
            <w:tcBorders>
              <w:top w:val="nil" w:sz="6" w:space="0" w:color="auto"/>
              <w:left w:val="nil" w:sz="6" w:space="0" w:color="auto"/>
              <w:bottom w:val="nil" w:sz="6" w:space="0" w:color="auto"/>
              <w:right w:val="nil" w:sz="6" w:space="0" w:color="auto"/>
            </w:tcBorders>
          </w:tcPr>
          <w:p>
            <w:pPr>
              <w:pStyle w:val="TableParagraph"/>
              <w:spacing w:line="202" w:lineRule="exact"/>
              <w:ind w:left="788" w:right="0"/>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33" w:type="dxa"/>
            <w:tcBorders>
              <w:top w:val="nil" w:sz="6" w:space="0" w:color="auto"/>
              <w:left w:val="nil" w:sz="6" w:space="0" w:color="auto"/>
              <w:bottom w:val="nil" w:sz="6" w:space="0" w:color="auto"/>
              <w:right w:val="nil" w:sz="6" w:space="0" w:color="auto"/>
            </w:tcBorders>
          </w:tcPr>
          <w:p>
            <w:pPr>
              <w:pStyle w:val="TableParagraph"/>
              <w:spacing w:line="202" w:lineRule="exact"/>
              <w:ind w:left="243" w:right="0"/>
              <w:jc w:val="left"/>
              <w:rPr>
                <w:rFonts w:ascii="宋体" w:hAnsi="宋体" w:cs="宋体" w:eastAsia="宋体"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sz w:val="18"/>
                <w:szCs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180"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40"/>
          <w:pgMar w:top="1100" w:bottom="1180" w:left="9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44" w:type="dxa"/>
        <w:tblLayout w:type="fixed"/>
        <w:tblCellMar>
          <w:top w:w="0" w:type="dxa"/>
          <w:left w:w="0" w:type="dxa"/>
          <w:bottom w:w="0" w:type="dxa"/>
          <w:right w:w="0" w:type="dxa"/>
        </w:tblCellMar>
        <w:tblLook w:val="01E0"/>
      </w:tblPr>
      <w:tblGrid>
        <w:gridCol w:w="3388"/>
        <w:gridCol w:w="1264"/>
        <w:gridCol w:w="1376"/>
        <w:gridCol w:w="1260"/>
        <w:gridCol w:w="1331"/>
        <w:gridCol w:w="1238"/>
      </w:tblGrid>
      <w:tr>
        <w:trPr>
          <w:trHeight w:val="280" w:hRule="exact"/>
        </w:trPr>
        <w:tc>
          <w:tcPr>
            <w:tcW w:w="3388" w:type="dxa"/>
            <w:tcBorders>
              <w:top w:val="nil" w:sz="6" w:space="0" w:color="auto"/>
              <w:left w:val="nil" w:sz="6" w:space="0" w:color="auto"/>
              <w:bottom w:val="single" w:sz="8" w:space="0" w:color="000000"/>
              <w:right w:val="nil" w:sz="6" w:space="0" w:color="auto"/>
            </w:tcBorders>
          </w:tcPr>
          <w:p>
            <w:pPr/>
          </w:p>
        </w:tc>
        <w:tc>
          <w:tcPr>
            <w:tcW w:w="1264" w:type="dxa"/>
            <w:tcBorders>
              <w:top w:val="nil" w:sz="6" w:space="0" w:color="auto"/>
              <w:left w:val="nil" w:sz="6" w:space="0" w:color="auto"/>
              <w:bottom w:val="single" w:sz="8" w:space="0" w:color="000000"/>
              <w:right w:val="nil" w:sz="6" w:space="0" w:color="auto"/>
            </w:tcBorders>
          </w:tcPr>
          <w:p>
            <w:pPr>
              <w:pStyle w:val="TableParagraph"/>
              <w:spacing w:line="180" w:lineRule="exact"/>
              <w:ind w:left="78"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376" w:type="dxa"/>
            <w:tcBorders>
              <w:top w:val="nil" w:sz="6" w:space="0" w:color="auto"/>
              <w:left w:val="nil" w:sz="6" w:space="0" w:color="auto"/>
              <w:bottom w:val="single" w:sz="8" w:space="0" w:color="000000"/>
              <w:right w:val="nil" w:sz="6" w:space="0" w:color="auto"/>
            </w:tcBorders>
          </w:tcPr>
          <w:p>
            <w:pPr/>
          </w:p>
        </w:tc>
        <w:tc>
          <w:tcPr>
            <w:tcW w:w="1260" w:type="dxa"/>
            <w:tcBorders>
              <w:top w:val="nil" w:sz="6" w:space="0" w:color="auto"/>
              <w:left w:val="nil" w:sz="6" w:space="0" w:color="auto"/>
              <w:bottom w:val="single" w:sz="8" w:space="0" w:color="000000"/>
              <w:right w:val="nil" w:sz="6" w:space="0" w:color="auto"/>
            </w:tcBorders>
          </w:tcPr>
          <w:p>
            <w:pPr/>
          </w:p>
        </w:tc>
        <w:tc>
          <w:tcPr>
            <w:tcW w:w="1331" w:type="dxa"/>
            <w:tcBorders>
              <w:top w:val="nil" w:sz="6" w:space="0" w:color="auto"/>
              <w:left w:val="nil" w:sz="6" w:space="0" w:color="auto"/>
              <w:bottom w:val="single" w:sz="8" w:space="0" w:color="000000"/>
              <w:right w:val="nil" w:sz="6" w:space="0" w:color="auto"/>
            </w:tcBorders>
          </w:tcPr>
          <w:p>
            <w:pPr>
              <w:pStyle w:val="TableParagraph"/>
              <w:spacing w:line="194"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38" w:type="dxa"/>
            <w:tcBorders>
              <w:top w:val="nil" w:sz="6" w:space="0" w:color="auto"/>
              <w:left w:val="nil" w:sz="6" w:space="0" w:color="auto"/>
              <w:bottom w:val="single" w:sz="8" w:space="0" w:color="000000"/>
              <w:right w:val="nil" w:sz="6" w:space="0" w:color="auto"/>
            </w:tcBorders>
          </w:tcPr>
          <w:p>
            <w:pPr/>
          </w:p>
        </w:tc>
      </w:tr>
      <w:tr>
        <w:trPr>
          <w:trHeight w:val="496" w:hRule="exact"/>
        </w:trPr>
        <w:tc>
          <w:tcPr>
            <w:tcW w:w="3388"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c>
          <w:tcPr>
            <w:tcW w:w="1264"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75"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76"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18"/>
                <w:szCs w:val="18"/>
              </w:rPr>
            </w:pPr>
            <w:r>
              <w:rPr>
                <w:rFonts w:ascii="Times New Roman"/>
                <w:spacing w:val="-1"/>
                <w:sz w:val="18"/>
              </w:rPr>
              <w:t>5,000,000.00</w:t>
            </w:r>
          </w:p>
        </w:tc>
        <w:tc>
          <w:tcPr>
            <w:tcW w:w="1260"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1"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26" w:right="0"/>
              <w:jc w:val="center"/>
              <w:rPr>
                <w:rFonts w:ascii="Times New Roman" w:hAnsi="Times New Roman" w:cs="Times New Roman" w:eastAsia="Times New Roman" w:hint="default"/>
                <w:sz w:val="18"/>
                <w:szCs w:val="18"/>
              </w:rPr>
            </w:pPr>
            <w:r>
              <w:rPr>
                <w:rFonts w:ascii="Times New Roman"/>
                <w:sz w:val="18"/>
              </w:rPr>
              <w:t>54.97</w:t>
            </w:r>
          </w:p>
        </w:tc>
        <w:tc>
          <w:tcPr>
            <w:tcW w:w="1238"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247"/>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广州天瑞文化传播有限责任公司</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5"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 w:right="0"/>
              <w:jc w:val="center"/>
              <w:rPr>
                <w:rFonts w:ascii="Times New Roman" w:hAnsi="Times New Roman" w:cs="Times New Roman" w:eastAsia="Times New Roman" w:hint="default"/>
                <w:sz w:val="18"/>
                <w:szCs w:val="18"/>
              </w:rPr>
            </w:pPr>
            <w:r>
              <w:rPr>
                <w:rFonts w:ascii="Times New Roman"/>
                <w:sz w:val="18"/>
              </w:rPr>
              <w:t>10.99</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7"/>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陕西教育招标有限公司</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8" w:right="0"/>
              <w:jc w:val="center"/>
              <w:rPr>
                <w:rFonts w:ascii="宋体" w:hAnsi="宋体" w:cs="宋体" w:eastAsia="宋体" w:hint="default"/>
                <w:sz w:val="18"/>
                <w:szCs w:val="18"/>
              </w:rPr>
            </w:pPr>
            <w:r>
              <w:rPr>
                <w:rFonts w:ascii="宋体" w:hAnsi="宋体" w:cs="宋体" w:eastAsia="宋体" w:hint="default"/>
                <w:sz w:val="18"/>
                <w:szCs w:val="18"/>
              </w:rPr>
              <w:t>客 </w:t>
            </w:r>
            <w:r>
              <w:rPr>
                <w:rFonts w:ascii="宋体" w:hAnsi="宋体" w:cs="宋体" w:eastAsia="宋体" w:hint="default"/>
                <w:spacing w:val="2"/>
                <w:sz w:val="18"/>
                <w:szCs w:val="18"/>
              </w:rPr>
              <w:t> </w:t>
            </w:r>
            <w:r>
              <w:rPr>
                <w:rFonts w:ascii="宋体" w:hAnsi="宋体" w:cs="宋体" w:eastAsia="宋体" w:hint="default"/>
                <w:sz w:val="18"/>
                <w:szCs w:val="18"/>
              </w:rPr>
              <w:t>户</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600,000.00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6" w:right="0"/>
              <w:jc w:val="center"/>
              <w:rPr>
                <w:rFonts w:ascii="Times New Roman" w:hAnsi="Times New Roman" w:cs="Times New Roman" w:eastAsia="Times New Roman" w:hint="default"/>
                <w:sz w:val="18"/>
                <w:szCs w:val="18"/>
              </w:rPr>
            </w:pPr>
            <w:r>
              <w:rPr>
                <w:rFonts w:ascii="Times New Roman"/>
                <w:sz w:val="18"/>
              </w:rPr>
              <w:t>6.60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宋体" w:hAnsi="宋体" w:cs="宋体" w:eastAsia="宋体" w:hint="default"/>
                <w:sz w:val="18"/>
                <w:szCs w:val="18"/>
              </w:rPr>
            </w:pPr>
            <w:r>
              <w:rPr>
                <w:rFonts w:ascii="宋体" w:hAnsi="宋体" w:cs="宋体" w:eastAsia="宋体" w:hint="default"/>
                <w:sz w:val="18"/>
                <w:szCs w:val="18"/>
              </w:rPr>
              <w:t>保证金</w:t>
            </w:r>
          </w:p>
        </w:tc>
      </w:tr>
      <w:tr>
        <w:trPr>
          <w:trHeight w:val="439"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5"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496,197.08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 w:right="0"/>
              <w:jc w:val="center"/>
              <w:rPr>
                <w:rFonts w:ascii="Times New Roman" w:hAnsi="Times New Roman" w:cs="Times New Roman" w:eastAsia="Times New Roman" w:hint="default"/>
                <w:sz w:val="18"/>
                <w:szCs w:val="18"/>
              </w:rPr>
            </w:pPr>
            <w:r>
              <w:rPr>
                <w:rFonts w:ascii="Times New Roman"/>
                <w:sz w:val="18"/>
              </w:rPr>
              <w:t>5.46</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7"/>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黄润崎</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8" w:right="0"/>
              <w:jc w:val="center"/>
              <w:rPr>
                <w:rFonts w:ascii="宋体" w:hAnsi="宋体" w:cs="宋体" w:eastAsia="宋体" w:hint="default"/>
                <w:sz w:val="18"/>
                <w:szCs w:val="18"/>
              </w:rPr>
            </w:pPr>
            <w:r>
              <w:rPr>
                <w:rFonts w:ascii="宋体" w:hAnsi="宋体" w:cs="宋体" w:eastAsia="宋体" w:hint="default"/>
                <w:sz w:val="18"/>
                <w:szCs w:val="18"/>
              </w:rPr>
              <w:t>客 </w:t>
            </w:r>
            <w:r>
              <w:rPr>
                <w:rFonts w:ascii="宋体" w:hAnsi="宋体" w:cs="宋体" w:eastAsia="宋体" w:hint="default"/>
                <w:spacing w:val="2"/>
                <w:sz w:val="18"/>
                <w:szCs w:val="18"/>
              </w:rPr>
              <w:t> </w:t>
            </w:r>
            <w:r>
              <w:rPr>
                <w:rFonts w:ascii="宋体" w:hAnsi="宋体" w:cs="宋体" w:eastAsia="宋体" w:hint="default"/>
                <w:sz w:val="18"/>
                <w:szCs w:val="18"/>
              </w:rPr>
              <w:t>户</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300,000.00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80"/>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 w:right="0"/>
              <w:jc w:val="center"/>
              <w:rPr>
                <w:rFonts w:ascii="Times New Roman" w:hAnsi="Times New Roman" w:cs="Times New Roman" w:eastAsia="Times New Roman" w:hint="default"/>
                <w:sz w:val="18"/>
                <w:szCs w:val="18"/>
              </w:rPr>
            </w:pPr>
            <w:r>
              <w:rPr>
                <w:rFonts w:ascii="Times New Roman"/>
                <w:sz w:val="18"/>
              </w:rPr>
              <w:t>3.30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7"/>
              <w:jc w:val="right"/>
              <w:rPr>
                <w:rFonts w:ascii="宋体" w:hAnsi="宋体" w:cs="宋体" w:eastAsia="宋体" w:hint="default"/>
                <w:sz w:val="18"/>
                <w:szCs w:val="18"/>
              </w:rPr>
            </w:pPr>
            <w:r>
              <w:rPr>
                <w:rFonts w:ascii="宋体" w:hAnsi="宋体" w:cs="宋体" w:eastAsia="宋体" w:hint="default"/>
                <w:sz w:val="18"/>
                <w:szCs w:val="18"/>
              </w:rPr>
              <w:t>保证金</w:t>
            </w:r>
          </w:p>
        </w:tc>
      </w:tr>
      <w:tr>
        <w:trPr>
          <w:trHeight w:val="316"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4"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7,396,197.08</w:t>
            </w:r>
            <w:r>
              <w:rPr>
                <w:rFonts w:ascii="Times New Roman"/>
                <w:spacing w:val="-1"/>
                <w:sz w:val="18"/>
              </w:rPr>
            </w:r>
          </w:p>
        </w:tc>
        <w:tc>
          <w:tcPr>
            <w:tcW w:w="126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81.31</w:t>
            </w:r>
            <w:r>
              <w:rPr>
                <w:rFonts w:ascii="Times New Roman"/>
                <w:sz w:val="18"/>
              </w:rPr>
            </w:r>
          </w:p>
        </w:tc>
        <w:tc>
          <w:tcPr>
            <w:tcW w:w="123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24" w:right="0"/>
        <w:jc w:val="left"/>
      </w:pPr>
      <w:r>
        <w:rPr/>
        <w:t>（</w:t>
      </w:r>
      <w:r>
        <w:rPr>
          <w:rFonts w:ascii="Times New Roman" w:hAnsi="Times New Roman" w:cs="Times New Roman" w:eastAsia="Times New Roman" w:hint="default"/>
        </w:rPr>
        <w:t>6</w:t>
      </w:r>
      <w:r>
        <w:rPr/>
        <w:t>）其他应收款期末余额较期初余额增加</w:t>
      </w:r>
      <w:r>
        <w:rPr>
          <w:spacing w:val="-46"/>
        </w:rPr>
        <w:t> </w:t>
      </w:r>
      <w:r>
        <w:rPr>
          <w:rFonts w:ascii="Times New Roman" w:hAnsi="Times New Roman" w:cs="Times New Roman" w:eastAsia="Times New Roman" w:hint="default"/>
        </w:rPr>
        <w:t>659.25 </w:t>
      </w:r>
      <w:r>
        <w:rPr/>
        <w:t>万元，增长</w:t>
      </w:r>
      <w:r>
        <w:rPr>
          <w:spacing w:val="-49"/>
        </w:rPr>
        <w:t> </w:t>
      </w:r>
      <w:r>
        <w:rPr>
          <w:rFonts w:ascii="Times New Roman" w:hAnsi="Times New Roman" w:cs="Times New Roman" w:eastAsia="Times New Roman" w:hint="default"/>
        </w:rPr>
        <w:t>2.63 </w:t>
      </w:r>
      <w:r>
        <w:rPr/>
        <w:t>倍，主要原因是支付的保证金增加。</w:t>
      </w:r>
    </w:p>
    <w:p>
      <w:pPr>
        <w:spacing w:line="240" w:lineRule="auto" w:before="6"/>
        <w:rPr>
          <w:rFonts w:ascii="宋体" w:hAnsi="宋体" w:cs="宋体" w:eastAsia="宋体" w:hint="default"/>
          <w:sz w:val="20"/>
          <w:szCs w:val="20"/>
        </w:rPr>
      </w:pPr>
    </w:p>
    <w:p>
      <w:pPr>
        <w:pStyle w:val="BodyText"/>
        <w:spacing w:line="240" w:lineRule="auto"/>
        <w:ind w:left="524" w:right="0"/>
        <w:jc w:val="left"/>
      </w:pPr>
      <w:r>
        <w:rPr/>
        <w:t>（</w:t>
      </w:r>
      <w:r>
        <w:rPr>
          <w:rFonts w:ascii="宋体" w:hAnsi="宋体" w:cs="宋体" w:eastAsia="宋体" w:hint="default"/>
        </w:rPr>
        <w:t>7</w:t>
      </w:r>
      <w:r>
        <w:rPr/>
        <w:t>）本报告期无核销其他应收款情况。</w:t>
      </w:r>
    </w:p>
    <w:p>
      <w:pPr>
        <w:spacing w:line="240" w:lineRule="auto" w:before="6"/>
        <w:rPr>
          <w:rFonts w:ascii="宋体" w:hAnsi="宋体" w:cs="宋体" w:eastAsia="宋体" w:hint="default"/>
          <w:sz w:val="21"/>
          <w:szCs w:val="21"/>
        </w:rPr>
      </w:pPr>
    </w:p>
    <w:p>
      <w:pPr>
        <w:pStyle w:val="BodyText"/>
        <w:spacing w:line="240" w:lineRule="auto"/>
        <w:ind w:left="524" w:right="0"/>
        <w:jc w:val="left"/>
      </w:pPr>
      <w:r>
        <w:rPr/>
        <w:t>（</w:t>
      </w:r>
      <w:r>
        <w:rPr>
          <w:rFonts w:ascii="宋体" w:hAnsi="宋体" w:cs="宋体" w:eastAsia="宋体" w:hint="default"/>
        </w:rPr>
        <w:t>8</w:t>
      </w:r>
      <w:r>
        <w:rPr/>
        <w:t>）本报告期无重大收回或转回前期已全额计提坏账准备或计提减值准备的比例较大的其他应收款情况。</w:t>
      </w:r>
    </w:p>
    <w:p>
      <w:pPr>
        <w:spacing w:line="240" w:lineRule="auto" w:before="6"/>
        <w:rPr>
          <w:rFonts w:ascii="宋体" w:hAnsi="宋体" w:cs="宋体" w:eastAsia="宋体" w:hint="default"/>
          <w:sz w:val="21"/>
          <w:szCs w:val="21"/>
        </w:rPr>
      </w:pPr>
    </w:p>
    <w:p>
      <w:pPr>
        <w:pStyle w:val="BodyText"/>
        <w:spacing w:line="240" w:lineRule="auto"/>
        <w:ind w:left="524" w:right="0"/>
        <w:jc w:val="left"/>
      </w:pPr>
      <w:r>
        <w:rPr/>
        <w:t>（</w:t>
      </w:r>
      <w:r>
        <w:rPr>
          <w:rFonts w:ascii="宋体" w:hAnsi="宋体" w:cs="宋体" w:eastAsia="宋体" w:hint="default"/>
        </w:rPr>
        <w:t>9</w:t>
      </w:r>
      <w:r>
        <w:rPr/>
        <w:t>）本报告期无终止确认其他应收款情况。</w:t>
      </w:r>
    </w:p>
    <w:p>
      <w:pPr>
        <w:spacing w:line="240" w:lineRule="auto" w:before="7"/>
        <w:rPr>
          <w:rFonts w:ascii="宋体" w:hAnsi="宋体" w:cs="宋体" w:eastAsia="宋体" w:hint="default"/>
          <w:sz w:val="25"/>
          <w:szCs w:val="25"/>
        </w:rPr>
      </w:pPr>
    </w:p>
    <w:p>
      <w:pPr>
        <w:pStyle w:val="Heading5"/>
        <w:spacing w:line="240" w:lineRule="auto"/>
        <w:ind w:left="253"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613" w:right="0"/>
        <w:jc w:val="left"/>
      </w:pPr>
      <w:r>
        <w:rPr/>
        <w:t>（</w:t>
      </w:r>
      <w:r>
        <w:rPr>
          <w:rFonts w:ascii="Times New Roman" w:hAnsi="Times New Roman" w:cs="Times New Roman" w:eastAsia="Times New Roman" w:hint="default"/>
        </w:rPr>
        <w:t>1</w:t>
      </w:r>
      <w:r>
        <w:rPr/>
        <w:t>）按明细列示</w:t>
      </w:r>
    </w:p>
    <w:p>
      <w:pPr>
        <w:spacing w:line="240" w:lineRule="auto" w:before="1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942"/>
        <w:gridCol w:w="972"/>
        <w:gridCol w:w="1294"/>
        <w:gridCol w:w="1355"/>
        <w:gridCol w:w="1178"/>
        <w:gridCol w:w="926"/>
        <w:gridCol w:w="1276"/>
      </w:tblGrid>
      <w:tr>
        <w:trPr>
          <w:trHeight w:val="350" w:hRule="exact"/>
        </w:trPr>
        <w:tc>
          <w:tcPr>
            <w:tcW w:w="294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946" w:right="0"/>
              <w:jc w:val="left"/>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6"/>
              <w:jc w:val="center"/>
              <w:rPr>
                <w:rFonts w:ascii="宋体" w:hAnsi="宋体" w:cs="宋体" w:eastAsia="宋体" w:hint="default"/>
                <w:sz w:val="15"/>
                <w:szCs w:val="15"/>
              </w:rPr>
            </w:pPr>
            <w:r>
              <w:rPr>
                <w:rFonts w:ascii="宋体" w:hAnsi="宋体" w:cs="宋体" w:eastAsia="宋体" w:hint="default"/>
                <w:b/>
                <w:bCs/>
                <w:sz w:val="15"/>
                <w:szCs w:val="15"/>
              </w:rPr>
              <w:t>核算方法</w:t>
            </w:r>
            <w:r>
              <w:rPr>
                <w:rFonts w:ascii="宋体" w:hAnsi="宋体" w:cs="宋体" w:eastAsia="宋体" w:hint="default"/>
                <w:sz w:val="15"/>
                <w:szCs w:val="15"/>
              </w:rPr>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98" w:right="0"/>
              <w:jc w:val="left"/>
              <w:rPr>
                <w:rFonts w:ascii="宋体" w:hAnsi="宋体" w:cs="宋体" w:eastAsia="宋体" w:hint="default"/>
                <w:sz w:val="15"/>
                <w:szCs w:val="15"/>
              </w:rPr>
            </w:pPr>
            <w:r>
              <w:rPr>
                <w:rFonts w:ascii="宋体" w:hAnsi="宋体" w:cs="宋体" w:eastAsia="宋体" w:hint="default"/>
                <w:b/>
                <w:bCs/>
                <w:sz w:val="15"/>
                <w:szCs w:val="15"/>
              </w:rPr>
              <w:t>投资成本</w:t>
            </w:r>
            <w:r>
              <w:rPr>
                <w:rFonts w:ascii="宋体" w:hAnsi="宋体" w:cs="宋体" w:eastAsia="宋体" w:hint="default"/>
                <w:sz w:val="15"/>
                <w:szCs w:val="15"/>
              </w:rPr>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4" w:right="0"/>
              <w:jc w:val="left"/>
              <w:rPr>
                <w:rFonts w:ascii="宋体" w:hAnsi="宋体" w:cs="宋体" w:eastAsia="宋体" w:hint="default"/>
                <w:sz w:val="15"/>
                <w:szCs w:val="15"/>
              </w:rPr>
            </w:pPr>
            <w:r>
              <w:rPr>
                <w:rFonts w:ascii="宋体" w:hAnsi="宋体" w:cs="宋体" w:eastAsia="宋体" w:hint="default"/>
                <w:b/>
                <w:bCs/>
                <w:sz w:val="15"/>
                <w:szCs w:val="15"/>
              </w:rPr>
              <w:t>期初账面金额</w:t>
            </w:r>
            <w:r>
              <w:rPr>
                <w:rFonts w:ascii="宋体" w:hAnsi="宋体" w:cs="宋体" w:eastAsia="宋体" w:hint="default"/>
                <w:sz w:val="15"/>
                <w:szCs w:val="15"/>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37"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40"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81" w:right="0"/>
              <w:jc w:val="left"/>
              <w:rPr>
                <w:rFonts w:ascii="宋体" w:hAnsi="宋体" w:cs="宋体" w:eastAsia="宋体" w:hint="default"/>
                <w:sz w:val="15"/>
                <w:szCs w:val="15"/>
              </w:rPr>
            </w:pPr>
            <w:r>
              <w:rPr>
                <w:rFonts w:ascii="宋体" w:hAnsi="宋体" w:cs="宋体" w:eastAsia="宋体" w:hint="default"/>
                <w:b/>
                <w:bCs/>
                <w:sz w:val="15"/>
                <w:szCs w:val="15"/>
              </w:rPr>
              <w:t>期末账面金额</w:t>
            </w:r>
            <w:r>
              <w:rPr>
                <w:rFonts w:ascii="宋体" w:hAnsi="宋体" w:cs="宋体" w:eastAsia="宋体" w:hint="default"/>
                <w:sz w:val="15"/>
                <w:szCs w:val="15"/>
              </w:rPr>
            </w:r>
          </w:p>
        </w:tc>
      </w:tr>
      <w:tr>
        <w:trPr>
          <w:trHeight w:val="449" w:hRule="exact"/>
        </w:trPr>
        <w:tc>
          <w:tcPr>
            <w:tcW w:w="294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湖南天舟华文俪制传媒有限责任公司</w:t>
            </w: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62"/>
              <w:jc w:val="right"/>
              <w:rPr>
                <w:rFonts w:ascii="Times New Roman" w:hAnsi="Times New Roman" w:cs="Times New Roman" w:eastAsia="Times New Roman" w:hint="default"/>
                <w:sz w:val="15"/>
                <w:szCs w:val="15"/>
              </w:rPr>
            </w:pPr>
            <w:r>
              <w:rPr>
                <w:rFonts w:ascii="Times New Roman"/>
                <w:spacing w:val="-2"/>
                <w:sz w:val="15"/>
              </w:rPr>
              <w:t>30,829,211.92</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spacing w:val="-2"/>
                <w:sz w:val="15"/>
              </w:rPr>
              <w:t>30,829,211.92</w:t>
            </w:r>
          </w:p>
        </w:tc>
        <w:tc>
          <w:tcPr>
            <w:tcW w:w="1178" w:type="dxa"/>
            <w:tcBorders>
              <w:top w:val="single" w:sz="4" w:space="0" w:color="000000"/>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30,829,211.92</w:t>
            </w:r>
          </w:p>
        </w:tc>
      </w:tr>
      <w:tr>
        <w:trPr>
          <w:trHeight w:val="40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怀化天舟教育有限责任公司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2"/>
              <w:jc w:val="right"/>
              <w:rPr>
                <w:rFonts w:ascii="Times New Roman" w:hAnsi="Times New Roman" w:cs="Times New Roman" w:eastAsia="Times New Roman" w:hint="default"/>
                <w:sz w:val="15"/>
                <w:szCs w:val="15"/>
              </w:rPr>
            </w:pPr>
            <w:r>
              <w:rPr>
                <w:rFonts w:ascii="Times New Roman"/>
                <w:spacing w:val="-1"/>
                <w:sz w:val="15"/>
              </w:rPr>
              <w:t>5,692,958.55</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3"/>
              <w:jc w:val="right"/>
              <w:rPr>
                <w:rFonts w:ascii="Times New Roman" w:hAnsi="Times New Roman" w:cs="Times New Roman" w:eastAsia="Times New Roman" w:hint="default"/>
                <w:sz w:val="15"/>
                <w:szCs w:val="15"/>
              </w:rPr>
            </w:pPr>
            <w:r>
              <w:rPr>
                <w:rFonts w:ascii="Times New Roman"/>
                <w:spacing w:val="-1"/>
                <w:sz w:val="15"/>
              </w:rPr>
              <w:t>536,558.55</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8"/>
              <w:jc w:val="right"/>
              <w:rPr>
                <w:rFonts w:ascii="Times New Roman" w:hAnsi="Times New Roman" w:cs="Times New Roman" w:eastAsia="Times New Roman" w:hint="default"/>
                <w:sz w:val="15"/>
                <w:szCs w:val="15"/>
              </w:rPr>
            </w:pPr>
            <w:r>
              <w:rPr>
                <w:rFonts w:ascii="Times New Roman"/>
                <w:spacing w:val="-1"/>
                <w:sz w:val="15"/>
              </w:rPr>
              <w:t>5,156,400.00</w:t>
            </w: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5"/>
                <w:szCs w:val="15"/>
              </w:rPr>
            </w:pPr>
            <w:r>
              <w:rPr>
                <w:rFonts w:ascii="Times New Roman"/>
                <w:spacing w:val="-1"/>
                <w:sz w:val="15"/>
              </w:rPr>
              <w:t>5,692,958.55</w:t>
            </w:r>
          </w:p>
        </w:tc>
      </w:tr>
      <w:tr>
        <w:trPr>
          <w:trHeight w:val="40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北京北方天舟文化有限责任公司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5,000,000.00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15"/>
                <w:szCs w:val="15"/>
              </w:rPr>
            </w:pPr>
            <w:r>
              <w:rPr>
                <w:rFonts w:ascii="Times New Roman"/>
                <w:spacing w:val="-1"/>
                <w:sz w:val="15"/>
              </w:rPr>
              <w:t>5,000,000.00</w:t>
            </w:r>
          </w:p>
        </w:tc>
        <w:tc>
          <w:tcPr>
            <w:tcW w:w="117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spacing w:val="-1"/>
                <w:sz w:val="15"/>
              </w:rPr>
              <w:t>5,000,000.00</w:t>
            </w:r>
          </w:p>
        </w:tc>
      </w:tr>
      <w:tr>
        <w:trPr>
          <w:trHeight w:val="40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广州天瑞文化传播有限责任公司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1,800,000.00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15"/>
                <w:szCs w:val="15"/>
              </w:rPr>
            </w:pPr>
            <w:r>
              <w:rPr>
                <w:rFonts w:ascii="Times New Roman"/>
                <w:spacing w:val="-1"/>
                <w:sz w:val="15"/>
              </w:rPr>
              <w:t>1,800,000.00</w:t>
            </w:r>
          </w:p>
        </w:tc>
        <w:tc>
          <w:tcPr>
            <w:tcW w:w="117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spacing w:val="-1"/>
                <w:sz w:val="15"/>
              </w:rPr>
              <w:t>1,800,000.00</w:t>
            </w:r>
          </w:p>
        </w:tc>
      </w:tr>
      <w:tr>
        <w:trPr>
          <w:trHeight w:val="40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湖南天舟教育科技研究有限责任公司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2"/>
              <w:jc w:val="right"/>
              <w:rPr>
                <w:rFonts w:ascii="Times New Roman" w:hAnsi="Times New Roman" w:cs="Times New Roman" w:eastAsia="Times New Roman" w:hint="default"/>
                <w:sz w:val="15"/>
                <w:szCs w:val="15"/>
              </w:rPr>
            </w:pPr>
            <w:r>
              <w:rPr>
                <w:rFonts w:ascii="Times New Roman"/>
                <w:spacing w:val="-1"/>
                <w:sz w:val="15"/>
              </w:rPr>
              <w:t>14,500,000.00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3"/>
              <w:jc w:val="right"/>
              <w:rPr>
                <w:rFonts w:ascii="Times New Roman" w:hAnsi="Times New Roman" w:cs="Times New Roman" w:eastAsia="Times New Roman" w:hint="default"/>
                <w:sz w:val="15"/>
                <w:szCs w:val="15"/>
              </w:rPr>
            </w:pPr>
            <w:r>
              <w:rPr>
                <w:rFonts w:ascii="Times New Roman"/>
                <w:spacing w:val="-1"/>
                <w:sz w:val="15"/>
              </w:rPr>
              <w:t>14,500,000.00</w:t>
            </w:r>
          </w:p>
        </w:tc>
        <w:tc>
          <w:tcPr>
            <w:tcW w:w="117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5"/>
                <w:szCs w:val="15"/>
              </w:rPr>
            </w:pPr>
            <w:r>
              <w:rPr>
                <w:rFonts w:ascii="Times New Roman"/>
                <w:spacing w:val="-1"/>
                <w:sz w:val="15"/>
              </w:rPr>
              <w:t>14,500,000.00</w:t>
            </w:r>
          </w:p>
        </w:tc>
      </w:tr>
      <w:tr>
        <w:trPr>
          <w:trHeight w:val="40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浙江天舟图书有限责任公司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3,500,000.00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15"/>
                <w:szCs w:val="15"/>
              </w:rPr>
            </w:pPr>
            <w:r>
              <w:rPr>
                <w:rFonts w:ascii="Times New Roman"/>
                <w:spacing w:val="-1"/>
                <w:sz w:val="15"/>
              </w:rPr>
              <w:t>3,500,000.00</w:t>
            </w:r>
          </w:p>
        </w:tc>
        <w:tc>
          <w:tcPr>
            <w:tcW w:w="117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spacing w:val="-1"/>
                <w:sz w:val="15"/>
              </w:rPr>
              <w:t>3,500,000.00</w:t>
            </w:r>
          </w:p>
        </w:tc>
      </w:tr>
      <w:tr>
        <w:trPr>
          <w:trHeight w:val="40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北京永载文化传播有限责任公司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2,550,000.00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15"/>
                <w:szCs w:val="15"/>
              </w:rPr>
            </w:pPr>
            <w:r>
              <w:rPr>
                <w:rFonts w:ascii="Times New Roman"/>
                <w:spacing w:val="-1"/>
                <w:sz w:val="15"/>
              </w:rPr>
              <w:t>2,550,000.00</w:t>
            </w:r>
          </w:p>
        </w:tc>
        <w:tc>
          <w:tcPr>
            <w:tcW w:w="117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spacing w:val="-1"/>
                <w:sz w:val="15"/>
              </w:rPr>
              <w:t>2,550,000.00</w:t>
            </w:r>
          </w:p>
        </w:tc>
      </w:tr>
      <w:tr>
        <w:trPr>
          <w:trHeight w:val="40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w:t>
            </w:r>
            <w:r>
              <w:rPr>
                <w:rFonts w:ascii="宋体" w:hAnsi="宋体" w:cs="宋体" w:eastAsia="宋体" w:hint="default"/>
                <w:sz w:val="15"/>
                <w:szCs w:val="15"/>
              </w:rPr>
              <w:t>云上森信息技术（北京）有限责任公司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2"/>
              <w:jc w:val="right"/>
              <w:rPr>
                <w:rFonts w:ascii="Times New Roman" w:hAnsi="Times New Roman" w:cs="Times New Roman" w:eastAsia="Times New Roman" w:hint="default"/>
                <w:sz w:val="15"/>
                <w:szCs w:val="15"/>
              </w:rPr>
            </w:pPr>
            <w:r>
              <w:rPr>
                <w:rFonts w:ascii="Times New Roman"/>
                <w:spacing w:val="-1"/>
                <w:sz w:val="15"/>
              </w:rPr>
              <w:t>2,600,000.00</w:t>
            </w:r>
          </w:p>
        </w:tc>
        <w:tc>
          <w:tcPr>
            <w:tcW w:w="1355"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8"/>
              <w:jc w:val="right"/>
              <w:rPr>
                <w:rFonts w:ascii="Times New Roman" w:hAnsi="Times New Roman" w:cs="Times New Roman" w:eastAsia="Times New Roman" w:hint="default"/>
                <w:sz w:val="15"/>
                <w:szCs w:val="15"/>
              </w:rPr>
            </w:pPr>
            <w:r>
              <w:rPr>
                <w:rFonts w:ascii="Times New Roman"/>
                <w:spacing w:val="-1"/>
                <w:sz w:val="15"/>
              </w:rPr>
              <w:t>2,600,000.00</w:t>
            </w: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5"/>
                <w:szCs w:val="15"/>
              </w:rPr>
            </w:pPr>
            <w:r>
              <w:rPr>
                <w:rFonts w:ascii="Times New Roman"/>
                <w:spacing w:val="-1"/>
                <w:sz w:val="15"/>
              </w:rPr>
              <w:t>2,600,000.00</w:t>
            </w:r>
          </w:p>
        </w:tc>
      </w:tr>
      <w:tr>
        <w:trPr>
          <w:trHeight w:val="40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9.</w:t>
            </w:r>
            <w:r>
              <w:rPr>
                <w:rFonts w:ascii="宋体" w:hAnsi="宋体" w:cs="宋体" w:eastAsia="宋体" w:hint="default"/>
                <w:sz w:val="15"/>
                <w:szCs w:val="15"/>
              </w:rPr>
              <w:t>北京东方天舟教育科技有限责任公司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15,000,000.00</w:t>
            </w:r>
          </w:p>
        </w:tc>
        <w:tc>
          <w:tcPr>
            <w:tcW w:w="1355"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8"/>
              <w:jc w:val="right"/>
              <w:rPr>
                <w:rFonts w:ascii="Times New Roman" w:hAnsi="Times New Roman" w:cs="Times New Roman" w:eastAsia="Times New Roman" w:hint="default"/>
                <w:sz w:val="15"/>
                <w:szCs w:val="15"/>
              </w:rPr>
            </w:pPr>
            <w:r>
              <w:rPr>
                <w:rFonts w:ascii="Times New Roman"/>
                <w:spacing w:val="-1"/>
                <w:sz w:val="15"/>
              </w:rPr>
              <w:t>15,000,000.00</w:t>
            </w: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spacing w:val="-1"/>
                <w:sz w:val="15"/>
              </w:rPr>
              <w:t>15,000,000.00</w:t>
            </w:r>
          </w:p>
        </w:tc>
      </w:tr>
      <w:tr>
        <w:trPr>
          <w:trHeight w:val="40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宋体" w:hAnsi="宋体" w:cs="宋体" w:eastAsia="宋体" w:hint="default"/>
                <w:sz w:val="15"/>
                <w:szCs w:val="15"/>
              </w:rPr>
              <w:t>北京北舟文化传媒有限责任公司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29,400,000.00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15"/>
                <w:szCs w:val="15"/>
              </w:rPr>
            </w:pPr>
            <w:r>
              <w:rPr>
                <w:rFonts w:ascii="Times New Roman"/>
                <w:spacing w:val="-1"/>
                <w:sz w:val="15"/>
              </w:rPr>
              <w:t>29,287,499.24</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8"/>
              <w:jc w:val="right"/>
              <w:rPr>
                <w:rFonts w:ascii="Times New Roman" w:hAnsi="Times New Roman" w:cs="Times New Roman" w:eastAsia="Times New Roman" w:hint="default"/>
                <w:sz w:val="15"/>
                <w:szCs w:val="15"/>
              </w:rPr>
            </w:pPr>
            <w:r>
              <w:rPr>
                <w:rFonts w:ascii="Times New Roman"/>
                <w:spacing w:val="-1"/>
                <w:sz w:val="15"/>
              </w:rPr>
              <w:t>174,539.95</w:t>
            </w: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spacing w:val="-1"/>
                <w:sz w:val="15"/>
              </w:rPr>
              <w:t>29,462,039.19</w:t>
            </w:r>
          </w:p>
        </w:tc>
      </w:tr>
      <w:tr>
        <w:trPr>
          <w:trHeight w:val="28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11.</w:t>
            </w:r>
            <w:r>
              <w:rPr>
                <w:rFonts w:ascii="宋体" w:hAnsi="宋体" w:cs="宋体" w:eastAsia="宋体" w:hint="default"/>
                <w:sz w:val="15"/>
                <w:szCs w:val="15"/>
              </w:rPr>
              <w:t>江苏凤凰天舟新媒体发展有限责任公</w:t>
            </w:r>
          </w:p>
        </w:tc>
        <w:tc>
          <w:tcPr>
            <w:tcW w:w="97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r>
      <w:tr>
        <w:trPr>
          <w:trHeight w:val="43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972" w:type="dxa"/>
            <w:tcBorders>
              <w:top w:val="nil" w:sz="6" w:space="0" w:color="auto"/>
              <w:left w:val="nil" w:sz="6" w:space="0" w:color="auto"/>
              <w:bottom w:val="nil" w:sz="6" w:space="0" w:color="auto"/>
              <w:right w:val="nil" w:sz="6" w:space="0" w:color="auto"/>
            </w:tcBorders>
          </w:tcPr>
          <w:p>
            <w:pPr>
              <w:pStyle w:val="TableParagraph"/>
              <w:spacing w:line="150" w:lineRule="exact"/>
              <w:ind w:right="28"/>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94" w:type="dxa"/>
            <w:tcBorders>
              <w:top w:val="nil" w:sz="6" w:space="0" w:color="auto"/>
              <w:left w:val="nil" w:sz="6" w:space="0" w:color="auto"/>
              <w:bottom w:val="nil" w:sz="6" w:space="0" w:color="auto"/>
              <w:right w:val="nil" w:sz="6" w:space="0" w:color="auto"/>
            </w:tcBorders>
          </w:tcPr>
          <w:p>
            <w:pPr>
              <w:pStyle w:val="TableParagraph"/>
              <w:spacing w:line="162" w:lineRule="exact"/>
              <w:ind w:right="162"/>
              <w:jc w:val="right"/>
              <w:rPr>
                <w:rFonts w:ascii="Times New Roman" w:hAnsi="Times New Roman" w:cs="Times New Roman" w:eastAsia="Times New Roman" w:hint="default"/>
                <w:sz w:val="15"/>
                <w:szCs w:val="15"/>
              </w:rPr>
            </w:pPr>
            <w:r>
              <w:rPr>
                <w:rFonts w:ascii="Times New Roman"/>
                <w:spacing w:val="-1"/>
                <w:sz w:val="15"/>
              </w:rPr>
              <w:t>4,900,000.00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162" w:lineRule="exact"/>
              <w:ind w:right="173"/>
              <w:jc w:val="right"/>
              <w:rPr>
                <w:rFonts w:ascii="Times New Roman" w:hAnsi="Times New Roman" w:cs="Times New Roman" w:eastAsia="Times New Roman" w:hint="default"/>
                <w:sz w:val="15"/>
                <w:szCs w:val="15"/>
              </w:rPr>
            </w:pPr>
            <w:r>
              <w:rPr>
                <w:rFonts w:ascii="Times New Roman"/>
                <w:spacing w:val="-2"/>
                <w:sz w:val="15"/>
              </w:rPr>
              <w:t>5,013,115.19</w:t>
            </w:r>
          </w:p>
        </w:tc>
        <w:tc>
          <w:tcPr>
            <w:tcW w:w="1178" w:type="dxa"/>
            <w:tcBorders>
              <w:top w:val="nil" w:sz="6" w:space="0" w:color="auto"/>
              <w:left w:val="nil" w:sz="6" w:space="0" w:color="auto"/>
              <w:bottom w:val="nil" w:sz="6" w:space="0" w:color="auto"/>
              <w:right w:val="nil" w:sz="6" w:space="0" w:color="auto"/>
            </w:tcBorders>
          </w:tcPr>
          <w:p>
            <w:pPr>
              <w:pStyle w:val="TableParagraph"/>
              <w:spacing w:line="162" w:lineRule="exact"/>
              <w:ind w:right="138"/>
              <w:jc w:val="right"/>
              <w:rPr>
                <w:rFonts w:ascii="Times New Roman" w:hAnsi="Times New Roman" w:cs="Times New Roman" w:eastAsia="Times New Roman" w:hint="default"/>
                <w:sz w:val="15"/>
                <w:szCs w:val="15"/>
              </w:rPr>
            </w:pPr>
            <w:r>
              <w:rPr>
                <w:rFonts w:ascii="Times New Roman"/>
                <w:spacing w:val="-1"/>
                <w:sz w:val="15"/>
              </w:rPr>
              <w:t>380,044.30</w:t>
            </w: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162" w:lineRule="exact"/>
              <w:ind w:right="105"/>
              <w:jc w:val="right"/>
              <w:rPr>
                <w:rFonts w:ascii="Times New Roman" w:hAnsi="Times New Roman" w:cs="Times New Roman" w:eastAsia="Times New Roman" w:hint="default"/>
                <w:sz w:val="15"/>
                <w:szCs w:val="15"/>
              </w:rPr>
            </w:pPr>
            <w:r>
              <w:rPr>
                <w:rFonts w:ascii="Times New Roman"/>
                <w:spacing w:val="-1"/>
                <w:sz w:val="15"/>
              </w:rPr>
              <w:t>5,393,159.49</w:t>
            </w:r>
          </w:p>
        </w:tc>
      </w:tr>
      <w:tr>
        <w:trPr>
          <w:trHeight w:val="383"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7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115,772,170.47</w:t>
            </w:r>
            <w:r>
              <w:rPr>
                <w:rFonts w:ascii="Times New Roman"/>
                <w:spacing w:val="-2"/>
                <w:sz w:val="15"/>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93,016,384.90</w:t>
            </w:r>
            <w:r>
              <w:rPr>
                <w:rFonts w:ascii="Times New Roman"/>
                <w:spacing w:val="-1"/>
                <w:sz w:val="15"/>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23,310,984.25</w:t>
            </w:r>
            <w:r>
              <w:rPr>
                <w:rFonts w:ascii="Times New Roman"/>
                <w:spacing w:val="-1"/>
                <w:sz w:val="15"/>
              </w:rPr>
            </w:r>
          </w:p>
        </w:tc>
        <w:tc>
          <w:tcPr>
            <w:tcW w:w="92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116,327,369.15</w:t>
            </w:r>
            <w:r>
              <w:rPr>
                <w:rFonts w:ascii="Times New Roman"/>
                <w:spacing w:val="-2"/>
                <w:sz w:val="15"/>
              </w:rPr>
            </w:r>
          </w:p>
        </w:tc>
      </w:tr>
    </w:tbl>
    <w:p>
      <w:pPr>
        <w:spacing w:line="240" w:lineRule="auto" w:before="13"/>
        <w:rPr>
          <w:rFonts w:ascii="宋体" w:hAnsi="宋体" w:cs="宋体" w:eastAsia="宋体" w:hint="default"/>
          <w:sz w:val="21"/>
          <w:szCs w:val="21"/>
        </w:rPr>
      </w:pPr>
    </w:p>
    <w:p>
      <w:pPr>
        <w:pStyle w:val="BodyText"/>
        <w:spacing w:line="240" w:lineRule="auto" w:before="44"/>
        <w:ind w:left="613" w:right="0"/>
        <w:jc w:val="left"/>
      </w:pPr>
      <w:r>
        <w:rPr/>
        <w:t>接上表：</w:t>
      </w:r>
    </w:p>
    <w:p>
      <w:pPr>
        <w:spacing w:line="240" w:lineRule="auto" w:before="10"/>
        <w:rPr>
          <w:rFonts w:ascii="宋体" w:hAnsi="宋体" w:cs="宋体" w:eastAsia="宋体" w:hint="default"/>
          <w:sz w:val="28"/>
          <w:szCs w:val="28"/>
        </w:rPr>
      </w:pPr>
    </w:p>
    <w:tbl>
      <w:tblPr>
        <w:tblW w:w="0" w:type="auto"/>
        <w:jc w:val="left"/>
        <w:tblInd w:w="130" w:type="dxa"/>
        <w:tblLayout w:type="fixed"/>
        <w:tblCellMar>
          <w:top w:w="0" w:type="dxa"/>
          <w:left w:w="0" w:type="dxa"/>
          <w:bottom w:w="0" w:type="dxa"/>
          <w:right w:w="0" w:type="dxa"/>
        </w:tblCellMar>
        <w:tblLook w:val="01E0"/>
      </w:tblPr>
      <w:tblGrid>
        <w:gridCol w:w="1756"/>
        <w:gridCol w:w="1753"/>
        <w:gridCol w:w="2911"/>
        <w:gridCol w:w="799"/>
        <w:gridCol w:w="1497"/>
        <w:gridCol w:w="1155"/>
      </w:tblGrid>
      <w:tr>
        <w:trPr>
          <w:trHeight w:val="673" w:hRule="exact"/>
        </w:trPr>
        <w:tc>
          <w:tcPr>
            <w:tcW w:w="1756" w:type="dxa"/>
            <w:tcBorders>
              <w:top w:val="nil" w:sz="6" w:space="0" w:color="auto"/>
              <w:left w:val="nil" w:sz="6" w:space="0" w:color="auto"/>
              <w:bottom w:val="single" w:sz="4" w:space="0" w:color="000000"/>
              <w:right w:val="nil" w:sz="6" w:space="0" w:color="auto"/>
            </w:tcBorders>
          </w:tcPr>
          <w:p>
            <w:pPr>
              <w:pStyle w:val="TableParagraph"/>
              <w:spacing w:line="199" w:lineRule="exact"/>
              <w:ind w:left="15" w:right="0"/>
              <w:jc w:val="center"/>
              <w:rPr>
                <w:rFonts w:ascii="宋体" w:hAnsi="宋体" w:cs="宋体" w:eastAsia="宋体" w:hint="default"/>
                <w:sz w:val="18"/>
                <w:szCs w:val="18"/>
              </w:rPr>
            </w:pPr>
            <w:r>
              <w:rPr>
                <w:rFonts w:ascii="宋体" w:hAnsi="宋体" w:cs="宋体" w:eastAsia="宋体" w:hint="default"/>
                <w:b/>
                <w:bCs/>
                <w:sz w:val="18"/>
                <w:szCs w:val="18"/>
              </w:rPr>
              <w:t>在被投资单位的持</w:t>
            </w:r>
            <w:r>
              <w:rPr>
                <w:rFonts w:ascii="宋体" w:hAnsi="宋体" w:cs="宋体" w:eastAsia="宋体" w:hint="default"/>
                <w:sz w:val="18"/>
                <w:szCs w:val="18"/>
              </w:rPr>
            </w:r>
          </w:p>
          <w:p>
            <w:pPr>
              <w:pStyle w:val="TableParagraph"/>
              <w:spacing w:line="240" w:lineRule="auto" w:before="124"/>
              <w:ind w:left="11" w:right="0"/>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199" w:lineRule="exact"/>
              <w:ind w:right="11"/>
              <w:jc w:val="center"/>
              <w:rPr>
                <w:rFonts w:ascii="宋体" w:hAnsi="宋体" w:cs="宋体" w:eastAsia="宋体" w:hint="default"/>
                <w:sz w:val="18"/>
                <w:szCs w:val="18"/>
              </w:rPr>
            </w:pPr>
            <w:r>
              <w:rPr>
                <w:rFonts w:ascii="宋体" w:hAnsi="宋体" w:cs="宋体" w:eastAsia="宋体" w:hint="default"/>
                <w:b/>
                <w:bCs/>
                <w:sz w:val="18"/>
                <w:szCs w:val="18"/>
              </w:rPr>
              <w:t>在被投资单位表决</w:t>
            </w:r>
            <w:r>
              <w:rPr>
                <w:rFonts w:ascii="宋体" w:hAnsi="宋体" w:cs="宋体" w:eastAsia="宋体" w:hint="default"/>
                <w:sz w:val="18"/>
                <w:szCs w:val="18"/>
              </w:rPr>
            </w:r>
          </w:p>
          <w:p>
            <w:pPr>
              <w:pStyle w:val="TableParagraph"/>
              <w:spacing w:line="240" w:lineRule="auto" w:before="124"/>
              <w:ind w:right="15"/>
              <w:jc w:val="center"/>
              <w:rPr>
                <w:rFonts w:ascii="宋体" w:hAnsi="宋体" w:cs="宋体" w:eastAsia="宋体" w:hint="default"/>
                <w:sz w:val="18"/>
                <w:szCs w:val="18"/>
              </w:rPr>
            </w:pPr>
            <w:r>
              <w:rPr>
                <w:rFonts w:ascii="宋体" w:hAnsi="宋体" w:cs="宋体" w:eastAsia="宋体" w:hint="default"/>
                <w:b/>
                <w:bCs/>
                <w:sz w:val="18"/>
                <w:szCs w:val="18"/>
              </w:rPr>
              <w:t>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911" w:type="dxa"/>
            <w:tcBorders>
              <w:top w:val="nil" w:sz="6" w:space="0" w:color="auto"/>
              <w:left w:val="nil" w:sz="6" w:space="0" w:color="auto"/>
              <w:bottom w:val="single" w:sz="4" w:space="0" w:color="000000"/>
              <w:right w:val="nil" w:sz="6" w:space="0" w:color="auto"/>
            </w:tcBorders>
          </w:tcPr>
          <w:p>
            <w:pPr>
              <w:pStyle w:val="TableParagraph"/>
              <w:spacing w:line="199" w:lineRule="exact"/>
              <w:ind w:right="58"/>
              <w:jc w:val="center"/>
              <w:rPr>
                <w:rFonts w:ascii="宋体" w:hAnsi="宋体" w:cs="宋体" w:eastAsia="宋体" w:hint="default"/>
                <w:sz w:val="18"/>
                <w:szCs w:val="18"/>
              </w:rPr>
            </w:pPr>
            <w:r>
              <w:rPr>
                <w:rFonts w:ascii="宋体" w:hAnsi="宋体" w:cs="宋体" w:eastAsia="宋体" w:hint="default"/>
                <w:b/>
                <w:bCs/>
                <w:sz w:val="18"/>
                <w:szCs w:val="18"/>
              </w:rPr>
              <w:t>在被投资单位的持股比例与表决</w:t>
            </w:r>
            <w:r>
              <w:rPr>
                <w:rFonts w:ascii="宋体" w:hAnsi="宋体" w:cs="宋体" w:eastAsia="宋体" w:hint="default"/>
                <w:sz w:val="18"/>
                <w:szCs w:val="18"/>
              </w:rPr>
            </w:r>
          </w:p>
          <w:p>
            <w:pPr>
              <w:pStyle w:val="TableParagraph"/>
              <w:spacing w:line="240" w:lineRule="auto" w:before="124"/>
              <w:ind w:right="57"/>
              <w:jc w:val="center"/>
              <w:rPr>
                <w:rFonts w:ascii="宋体" w:hAnsi="宋体" w:cs="宋体" w:eastAsia="宋体" w:hint="default"/>
                <w:sz w:val="18"/>
                <w:szCs w:val="18"/>
              </w:rPr>
            </w:pPr>
            <w:r>
              <w:rPr>
                <w:rFonts w:ascii="宋体" w:hAnsi="宋体" w:cs="宋体" w:eastAsia="宋体" w:hint="default"/>
                <w:b/>
                <w:bCs/>
                <w:sz w:val="18"/>
                <w:szCs w:val="18"/>
              </w:rPr>
              <w:t>权比例不一致的说明</w:t>
            </w:r>
            <w:r>
              <w:rPr>
                <w:rFonts w:ascii="宋体" w:hAnsi="宋体" w:cs="宋体" w:eastAsia="宋体" w:hint="default"/>
                <w:sz w:val="18"/>
                <w:szCs w:val="18"/>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180"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199"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本期计提资产</w:t>
            </w:r>
            <w:r>
              <w:rPr>
                <w:rFonts w:ascii="宋体" w:hAnsi="宋体" w:cs="宋体" w:eastAsia="宋体" w:hint="default"/>
                <w:sz w:val="18"/>
                <w:szCs w:val="18"/>
              </w:rPr>
            </w:r>
          </w:p>
          <w:p>
            <w:pPr>
              <w:pStyle w:val="TableParagraph"/>
              <w:spacing w:line="240" w:lineRule="auto" w:before="124"/>
              <w:ind w:left="10"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99"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18" w:footer="979" w:top="1100" w:bottom="1180" w:left="880" w:right="8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741"/>
        <w:gridCol w:w="1753"/>
        <w:gridCol w:w="2911"/>
        <w:gridCol w:w="799"/>
        <w:gridCol w:w="1497"/>
        <w:gridCol w:w="1155"/>
      </w:tblGrid>
      <w:tr>
        <w:trPr>
          <w:trHeight w:val="673" w:hRule="exact"/>
        </w:trPr>
        <w:tc>
          <w:tcPr>
            <w:tcW w:w="1741"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在被投资单位的持</w:t>
            </w:r>
            <w:r>
              <w:rPr>
                <w:rFonts w:ascii="宋体" w:hAnsi="宋体" w:cs="宋体" w:eastAsia="宋体" w:hint="default"/>
                <w:sz w:val="18"/>
                <w:szCs w:val="18"/>
              </w:rPr>
            </w: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199" w:lineRule="exact"/>
              <w:ind w:right="11"/>
              <w:jc w:val="center"/>
              <w:rPr>
                <w:rFonts w:ascii="宋体" w:hAnsi="宋体" w:cs="宋体" w:eastAsia="宋体" w:hint="default"/>
                <w:sz w:val="18"/>
                <w:szCs w:val="18"/>
              </w:rPr>
            </w:pPr>
            <w:r>
              <w:rPr>
                <w:rFonts w:ascii="宋体" w:hAnsi="宋体" w:cs="宋体" w:eastAsia="宋体" w:hint="default"/>
                <w:b/>
                <w:bCs/>
                <w:sz w:val="18"/>
                <w:szCs w:val="18"/>
              </w:rPr>
              <w:t>在被投资单位表决</w:t>
            </w:r>
            <w:r>
              <w:rPr>
                <w:rFonts w:ascii="宋体" w:hAnsi="宋体" w:cs="宋体" w:eastAsia="宋体" w:hint="default"/>
                <w:sz w:val="18"/>
                <w:szCs w:val="18"/>
              </w:rPr>
            </w:r>
          </w:p>
          <w:p>
            <w:pPr>
              <w:pStyle w:val="TableParagraph"/>
              <w:spacing w:line="240" w:lineRule="auto" w:before="125"/>
              <w:ind w:right="15"/>
              <w:jc w:val="center"/>
              <w:rPr>
                <w:rFonts w:ascii="宋体" w:hAnsi="宋体" w:cs="宋体" w:eastAsia="宋体" w:hint="default"/>
                <w:sz w:val="18"/>
                <w:szCs w:val="18"/>
              </w:rPr>
            </w:pPr>
            <w:r>
              <w:rPr>
                <w:rFonts w:ascii="宋体" w:hAnsi="宋体" w:cs="宋体" w:eastAsia="宋体" w:hint="default"/>
                <w:b/>
                <w:bCs/>
                <w:sz w:val="18"/>
                <w:szCs w:val="18"/>
              </w:rPr>
              <w:t>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911" w:type="dxa"/>
            <w:tcBorders>
              <w:top w:val="nil" w:sz="6" w:space="0" w:color="auto"/>
              <w:left w:val="nil" w:sz="6" w:space="0" w:color="auto"/>
              <w:bottom w:val="single" w:sz="4" w:space="0" w:color="000000"/>
              <w:right w:val="nil" w:sz="6" w:space="0" w:color="auto"/>
            </w:tcBorders>
          </w:tcPr>
          <w:p>
            <w:pPr>
              <w:pStyle w:val="TableParagraph"/>
              <w:spacing w:line="199" w:lineRule="exact"/>
              <w:ind w:right="58"/>
              <w:jc w:val="center"/>
              <w:rPr>
                <w:rFonts w:ascii="宋体" w:hAnsi="宋体" w:cs="宋体" w:eastAsia="宋体" w:hint="default"/>
                <w:sz w:val="18"/>
                <w:szCs w:val="18"/>
              </w:rPr>
            </w:pPr>
            <w:r>
              <w:rPr>
                <w:rFonts w:ascii="宋体" w:hAnsi="宋体" w:cs="宋体" w:eastAsia="宋体" w:hint="default"/>
                <w:b/>
                <w:bCs/>
                <w:sz w:val="18"/>
                <w:szCs w:val="18"/>
              </w:rPr>
              <w:t>在被投资单位的持股比例与表决</w:t>
            </w:r>
            <w:r>
              <w:rPr>
                <w:rFonts w:ascii="宋体" w:hAnsi="宋体" w:cs="宋体" w:eastAsia="宋体" w:hint="default"/>
                <w:sz w:val="18"/>
                <w:szCs w:val="18"/>
              </w:rPr>
            </w:r>
          </w:p>
          <w:p>
            <w:pPr>
              <w:pStyle w:val="TableParagraph"/>
              <w:spacing w:line="240" w:lineRule="auto" w:before="125"/>
              <w:ind w:right="57"/>
              <w:jc w:val="center"/>
              <w:rPr>
                <w:rFonts w:ascii="宋体" w:hAnsi="宋体" w:cs="宋体" w:eastAsia="宋体" w:hint="default"/>
                <w:sz w:val="18"/>
                <w:szCs w:val="18"/>
              </w:rPr>
            </w:pPr>
            <w:r>
              <w:rPr>
                <w:rFonts w:ascii="宋体" w:hAnsi="宋体" w:cs="宋体" w:eastAsia="宋体" w:hint="default"/>
                <w:b/>
                <w:bCs/>
                <w:sz w:val="18"/>
                <w:szCs w:val="18"/>
              </w:rPr>
              <w:t>权比例不一致的说明</w:t>
            </w:r>
            <w:r>
              <w:rPr>
                <w:rFonts w:ascii="宋体" w:hAnsi="宋体" w:cs="宋体" w:eastAsia="宋体" w:hint="default"/>
                <w:sz w:val="18"/>
                <w:szCs w:val="18"/>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180"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199"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本期计提资产</w:t>
            </w:r>
            <w:r>
              <w:rPr>
                <w:rFonts w:ascii="宋体" w:hAnsi="宋体" w:cs="宋体" w:eastAsia="宋体" w:hint="default"/>
                <w:sz w:val="18"/>
                <w:szCs w:val="18"/>
              </w:rPr>
            </w: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199"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r>
        <w:trPr>
          <w:trHeight w:val="497" w:hRule="exact"/>
        </w:trPr>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sz w:val="18"/>
              </w:rPr>
              <w:t>100</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43"/>
              <w:jc w:val="right"/>
              <w:rPr>
                <w:rFonts w:ascii="Times New Roman" w:hAnsi="Times New Roman" w:cs="Times New Roman" w:eastAsia="Times New Roman" w:hint="default"/>
                <w:sz w:val="18"/>
                <w:szCs w:val="18"/>
              </w:rPr>
            </w:pPr>
            <w:r>
              <w:rPr>
                <w:rFonts w:ascii="Times New Roman"/>
                <w:sz w:val="18"/>
              </w:rPr>
              <w:t>100</w:t>
            </w:r>
          </w:p>
        </w:tc>
        <w:tc>
          <w:tcPr>
            <w:tcW w:w="2911" w:type="dxa"/>
            <w:tcBorders>
              <w:top w:val="single" w:sz="4" w:space="0" w:color="000000"/>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
        </w:tc>
        <w:tc>
          <w:tcPr>
            <w:tcW w:w="1497"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18"/>
                <w:szCs w:val="18"/>
              </w:rPr>
            </w:pPr>
            <w:r>
              <w:rPr>
                <w:rFonts w:ascii="Times New Roman"/>
                <w:sz w:val="18"/>
              </w:rPr>
              <w:t>100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43"/>
              <w:jc w:val="right"/>
              <w:rPr>
                <w:rFonts w:ascii="Times New Roman" w:hAnsi="Times New Roman" w:cs="Times New Roman" w:eastAsia="Times New Roman" w:hint="default"/>
                <w:sz w:val="18"/>
                <w:szCs w:val="18"/>
              </w:rPr>
            </w:pPr>
            <w:r>
              <w:rPr>
                <w:rFonts w:ascii="Times New Roman"/>
                <w:sz w:val="18"/>
              </w:rPr>
              <w:t>100</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39"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100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45"/>
              <w:jc w:val="right"/>
              <w:rPr>
                <w:rFonts w:ascii="Times New Roman" w:hAnsi="Times New Roman" w:cs="Times New Roman" w:eastAsia="Times New Roman" w:hint="default"/>
                <w:sz w:val="18"/>
                <w:szCs w:val="18"/>
              </w:rPr>
            </w:pPr>
            <w:r>
              <w:rPr>
                <w:rFonts w:ascii="Times New Roman"/>
                <w:sz w:val="18"/>
              </w:rPr>
              <w:t>100</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40"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60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9"/>
              <w:jc w:val="right"/>
              <w:rPr>
                <w:rFonts w:ascii="Times New Roman" w:hAnsi="Times New Roman" w:cs="Times New Roman" w:eastAsia="Times New Roman" w:hint="default"/>
                <w:sz w:val="18"/>
                <w:szCs w:val="18"/>
              </w:rPr>
            </w:pPr>
            <w:r>
              <w:rPr>
                <w:rFonts w:ascii="Times New Roman"/>
                <w:sz w:val="18"/>
              </w:rPr>
              <w:t>60</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40"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18"/>
                <w:szCs w:val="18"/>
              </w:rPr>
            </w:pPr>
            <w:r>
              <w:rPr>
                <w:rFonts w:ascii="Times New Roman"/>
                <w:sz w:val="18"/>
              </w:rPr>
              <w:t>100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43"/>
              <w:jc w:val="right"/>
              <w:rPr>
                <w:rFonts w:ascii="Times New Roman" w:hAnsi="Times New Roman" w:cs="Times New Roman" w:eastAsia="Times New Roman" w:hint="default"/>
                <w:sz w:val="18"/>
                <w:szCs w:val="18"/>
              </w:rPr>
            </w:pPr>
            <w:r>
              <w:rPr>
                <w:rFonts w:ascii="Times New Roman"/>
                <w:sz w:val="18"/>
              </w:rPr>
              <w:t>100</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39"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70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9"/>
              <w:jc w:val="right"/>
              <w:rPr>
                <w:rFonts w:ascii="Times New Roman" w:hAnsi="Times New Roman" w:cs="Times New Roman" w:eastAsia="Times New Roman" w:hint="default"/>
                <w:sz w:val="18"/>
                <w:szCs w:val="18"/>
              </w:rPr>
            </w:pPr>
            <w:r>
              <w:rPr>
                <w:rFonts w:ascii="Times New Roman"/>
                <w:sz w:val="18"/>
              </w:rPr>
              <w:t>70</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41"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51</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9"/>
              <w:jc w:val="right"/>
              <w:rPr>
                <w:rFonts w:ascii="Times New Roman" w:hAnsi="Times New Roman" w:cs="Times New Roman" w:eastAsia="Times New Roman" w:hint="default"/>
                <w:sz w:val="18"/>
                <w:szCs w:val="18"/>
              </w:rPr>
            </w:pPr>
            <w:r>
              <w:rPr>
                <w:rFonts w:ascii="Times New Roman"/>
                <w:sz w:val="18"/>
              </w:rPr>
              <w:t>51</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41"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96.77</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78"/>
              <w:jc w:val="right"/>
              <w:rPr>
                <w:rFonts w:ascii="Times New Roman" w:hAnsi="Times New Roman" w:cs="Times New Roman" w:eastAsia="Times New Roman" w:hint="default"/>
                <w:sz w:val="18"/>
                <w:szCs w:val="18"/>
              </w:rPr>
            </w:pPr>
            <w:r>
              <w:rPr>
                <w:rFonts w:ascii="Times New Roman"/>
                <w:sz w:val="18"/>
              </w:rPr>
              <w:t>96.77</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39"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75</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9"/>
              <w:jc w:val="right"/>
              <w:rPr>
                <w:rFonts w:ascii="Times New Roman" w:hAnsi="Times New Roman" w:cs="Times New Roman" w:eastAsia="Times New Roman" w:hint="default"/>
                <w:sz w:val="18"/>
                <w:szCs w:val="18"/>
              </w:rPr>
            </w:pPr>
            <w:r>
              <w:rPr>
                <w:rFonts w:ascii="Times New Roman"/>
                <w:sz w:val="18"/>
              </w:rPr>
              <w:t>75</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40"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49</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9"/>
              <w:jc w:val="right"/>
              <w:rPr>
                <w:rFonts w:ascii="Times New Roman" w:hAnsi="Times New Roman" w:cs="Times New Roman" w:eastAsia="Times New Roman" w:hint="default"/>
                <w:sz w:val="18"/>
                <w:szCs w:val="18"/>
              </w:rPr>
            </w:pPr>
            <w:r>
              <w:rPr>
                <w:rFonts w:ascii="Times New Roman"/>
                <w:sz w:val="18"/>
              </w:rPr>
              <w:t>49</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35"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18"/>
                <w:szCs w:val="18"/>
              </w:rPr>
            </w:pPr>
            <w:r>
              <w:rPr>
                <w:rFonts w:ascii="Times New Roman"/>
                <w:sz w:val="18"/>
              </w:rPr>
              <w:t>49</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89"/>
              <w:jc w:val="right"/>
              <w:rPr>
                <w:rFonts w:ascii="Times New Roman" w:hAnsi="Times New Roman" w:cs="Times New Roman" w:eastAsia="Times New Roman" w:hint="default"/>
                <w:sz w:val="18"/>
                <w:szCs w:val="18"/>
              </w:rPr>
            </w:pPr>
            <w:r>
              <w:rPr>
                <w:rFonts w:ascii="Times New Roman"/>
                <w:sz w:val="18"/>
              </w:rPr>
              <w:t>49</w:t>
            </w: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305"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53"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2</w:t>
      </w:r>
      <w:r>
        <w:rPr/>
        <w:t>）本期不存在向投资企业转移资金的能力受到限制的有关情况。</w:t>
      </w:r>
    </w:p>
    <w:p>
      <w:pPr>
        <w:spacing w:line="240" w:lineRule="auto" w:before="8"/>
        <w:rPr>
          <w:rFonts w:ascii="宋体" w:hAnsi="宋体" w:cs="宋体" w:eastAsia="宋体" w:hint="default"/>
          <w:sz w:val="20"/>
          <w:szCs w:val="20"/>
        </w:rPr>
      </w:pPr>
    </w:p>
    <w:p>
      <w:pPr>
        <w:pStyle w:val="BodyText"/>
        <w:spacing w:line="240" w:lineRule="auto"/>
        <w:ind w:left="578" w:right="0"/>
        <w:jc w:val="left"/>
      </w:pPr>
      <w:r>
        <w:rPr/>
        <w:t>（</w:t>
      </w:r>
      <w:r>
        <w:rPr>
          <w:rFonts w:ascii="Times New Roman" w:hAnsi="Times New Roman" w:cs="Times New Roman" w:eastAsia="Times New Roman" w:hint="default"/>
          <w:spacing w:val="1"/>
        </w:rPr>
        <w:t>3</w:t>
      </w:r>
      <w:r>
        <w:rPr/>
        <w:t>）长期股权投资期末余额较期初余额增加</w:t>
      </w:r>
      <w:r>
        <w:rPr>
          <w:spacing w:val="-4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万元</w:t>
      </w:r>
      <w:r>
        <w:rPr>
          <w:spacing w:val="-3"/>
        </w:rPr>
        <w:t>，</w:t>
      </w:r>
      <w:r>
        <w:rPr/>
        <w:t>增加的主要原因是</w:t>
      </w:r>
      <w:r>
        <w:rPr>
          <w:spacing w:val="-92"/>
        </w:rPr>
        <w:t>：</w:t>
      </w:r>
      <w:r>
        <w:rPr/>
        <w:t>（</w:t>
      </w:r>
      <w:r>
        <w:rPr>
          <w:rFonts w:ascii="Times New Roman" w:hAnsi="Times New Roman" w:cs="Times New Roman" w:eastAsia="Times New Roman" w:hint="default"/>
          <w:spacing w:val="1"/>
        </w:rPr>
        <w:t>1</w:t>
      </w:r>
      <w:r>
        <w:rPr/>
        <w:t>）对子公司怀化天舟教育有限责任</w:t>
      </w:r>
    </w:p>
    <w:p>
      <w:pPr>
        <w:pStyle w:val="BodyText"/>
        <w:spacing w:line="240" w:lineRule="auto" w:before="111"/>
        <w:ind w:left="213" w:right="0"/>
        <w:jc w:val="left"/>
      </w:pPr>
      <w:r>
        <w:rPr/>
        <w:t>公司增资</w:t>
      </w:r>
      <w:r>
        <w:rPr>
          <w:spacing w:val="-40"/>
        </w:rPr>
        <w:t> </w:t>
      </w:r>
      <w:r>
        <w:rPr>
          <w:rFonts w:ascii="Times New Roman" w:hAnsi="Times New Roman" w:cs="Times New Roman" w:eastAsia="Times New Roman" w:hint="default"/>
          <w:spacing w:val="1"/>
        </w:rPr>
        <w:t>40</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万元，并收购其</w:t>
      </w:r>
      <w:r>
        <w:rPr>
          <w:spacing w:val="-39"/>
        </w:rPr>
        <w:t> </w:t>
      </w:r>
      <w:r>
        <w:rPr>
          <w:rFonts w:ascii="Times New Roman" w:hAnsi="Times New Roman" w:cs="Times New Roman" w:eastAsia="Times New Roman" w:hint="default"/>
          <w:spacing w:val="1"/>
        </w:rPr>
        <w:t>49</w:t>
      </w:r>
      <w:r>
        <w:rPr>
          <w:rFonts w:ascii="Times New Roman" w:hAnsi="Times New Roman" w:cs="Times New Roman" w:eastAsia="Times New Roman" w:hint="default"/>
          <w:spacing w:val="-2"/>
        </w:rPr>
        <w:t>%</w:t>
      </w:r>
      <w:r>
        <w:rPr/>
        <w:t>的少数股权支出</w:t>
      </w:r>
      <w:r>
        <w:rPr>
          <w:spacing w:val="-40"/>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3"/>
        </w:rPr>
        <w:t>万</w:t>
      </w:r>
      <w:r>
        <w:rPr/>
        <w:t>元</w:t>
      </w:r>
      <w:r>
        <w:rPr>
          <w:spacing w:val="-92"/>
        </w:rPr>
        <w:t>；</w:t>
      </w:r>
      <w:r>
        <w:rPr/>
        <w:t>（</w:t>
      </w:r>
      <w:r>
        <w:rPr>
          <w:rFonts w:ascii="Times New Roman" w:hAnsi="Times New Roman" w:cs="Times New Roman" w:eastAsia="Times New Roman" w:hint="default"/>
          <w:spacing w:val="1"/>
        </w:rPr>
        <w:t>2</w:t>
      </w:r>
      <w:r>
        <w:rPr/>
        <w:t>）投资设立控股子公司增加投资</w:t>
      </w:r>
      <w:r>
        <w:rPr>
          <w:spacing w:val="-3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万元，其</w:t>
      </w:r>
      <w:r>
        <w:rPr>
          <w:spacing w:val="-3"/>
        </w:rPr>
        <w:t>中</w:t>
      </w:r>
      <w:r>
        <w:rPr/>
        <w:t>对</w:t>
      </w:r>
    </w:p>
    <w:p>
      <w:pPr>
        <w:pStyle w:val="BodyText"/>
        <w:spacing w:line="240" w:lineRule="auto" w:before="109"/>
        <w:ind w:left="213" w:right="0"/>
        <w:jc w:val="left"/>
      </w:pPr>
      <w:r>
        <w:rPr/>
        <w:t>云上森信息技术（北京）有限公司投资</w:t>
      </w:r>
      <w:r>
        <w:rPr>
          <w:spacing w:val="-45"/>
        </w:rPr>
        <w:t> </w:t>
      </w:r>
      <w:r>
        <w:rPr>
          <w:rFonts w:ascii="Times New Roman" w:hAnsi="Times New Roman" w:cs="Times New Roman" w:eastAsia="Times New Roman" w:hint="default"/>
        </w:rPr>
        <w:t>260 </w:t>
      </w:r>
      <w:r>
        <w:rPr/>
        <w:t>万元、北京东方天舟教育科技有限公司投资</w:t>
      </w:r>
      <w:r>
        <w:rPr>
          <w:spacing w:val="-4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24"/>
          <w:szCs w:val="24"/>
        </w:rPr>
      </w:pPr>
    </w:p>
    <w:p>
      <w:pPr>
        <w:pStyle w:val="Heading5"/>
        <w:spacing w:line="240" w:lineRule="auto"/>
        <w:ind w:left="213"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8"/>
          <w:szCs w:val="28"/>
        </w:rPr>
      </w:pPr>
    </w:p>
    <w:tbl>
      <w:tblPr>
        <w:tblW w:w="0" w:type="auto"/>
        <w:jc w:val="left"/>
        <w:tblInd w:w="213" w:type="dxa"/>
        <w:tblLayout w:type="fixed"/>
        <w:tblCellMar>
          <w:top w:w="0" w:type="dxa"/>
          <w:left w:w="0" w:type="dxa"/>
          <w:bottom w:w="0" w:type="dxa"/>
          <w:right w:w="0" w:type="dxa"/>
        </w:tblCellMar>
        <w:tblLook w:val="01E0"/>
      </w:tblPr>
      <w:tblGrid>
        <w:gridCol w:w="2295"/>
        <w:gridCol w:w="2070"/>
        <w:gridCol w:w="1576"/>
        <w:gridCol w:w="2226"/>
        <w:gridCol w:w="1473"/>
      </w:tblGrid>
      <w:tr>
        <w:trPr>
          <w:trHeight w:val="855" w:hRule="exact"/>
        </w:trPr>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）营业收入、成本</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28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7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43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473" w:type="dxa"/>
            <w:tcBorders>
              <w:top w:val="nil" w:sz="6" w:space="0" w:color="auto"/>
              <w:left w:val="nil" w:sz="6" w:space="0" w:color="auto"/>
              <w:bottom w:val="nil" w:sz="6" w:space="0" w:color="auto"/>
              <w:right w:val="nil" w:sz="6" w:space="0" w:color="auto"/>
            </w:tcBorders>
          </w:tcPr>
          <w:p>
            <w:pPr/>
          </w:p>
        </w:tc>
      </w:tr>
      <w:tr>
        <w:trPr>
          <w:trHeight w:val="513" w:hRule="exact"/>
        </w:trPr>
        <w:tc>
          <w:tcPr>
            <w:tcW w:w="2295" w:type="dxa"/>
            <w:tcBorders>
              <w:top w:val="nil" w:sz="6" w:space="0" w:color="auto"/>
              <w:left w:val="nil" w:sz="6" w:space="0" w:color="auto"/>
              <w:bottom w:val="single" w:sz="4" w:space="0" w:color="000000"/>
              <w:right w:val="nil" w:sz="6" w:space="0" w:color="auto"/>
            </w:tcBorders>
          </w:tcPr>
          <w:p>
            <w:pPr>
              <w:pStyle w:val="TableParagraph"/>
              <w:tabs>
                <w:tab w:pos="1139" w:val="left" w:leader="none"/>
              </w:tabs>
              <w:spacing w:line="200" w:lineRule="exact"/>
              <w:ind w:left="72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0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47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92" w:hRule="exact"/>
        </w:trPr>
        <w:tc>
          <w:tcPr>
            <w:tcW w:w="22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6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223" w:right="0"/>
              <w:jc w:val="left"/>
              <w:rPr>
                <w:rFonts w:ascii="Times New Roman" w:hAnsi="Times New Roman" w:cs="Times New Roman" w:eastAsia="Times New Roman" w:hint="default"/>
                <w:sz w:val="18"/>
                <w:szCs w:val="18"/>
              </w:rPr>
            </w:pPr>
            <w:r>
              <w:rPr>
                <w:rFonts w:ascii="Times New Roman"/>
                <w:sz w:val="18"/>
              </w:rPr>
              <w:t>178,556,458.09</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84"/>
              <w:jc w:val="right"/>
              <w:rPr>
                <w:rFonts w:ascii="Times New Roman" w:hAnsi="Times New Roman" w:cs="Times New Roman" w:eastAsia="Times New Roman" w:hint="default"/>
                <w:sz w:val="18"/>
                <w:szCs w:val="18"/>
              </w:rPr>
            </w:pPr>
            <w:r>
              <w:rPr>
                <w:rFonts w:ascii="Times New Roman"/>
                <w:spacing w:val="-1"/>
                <w:sz w:val="18"/>
              </w:rPr>
              <w:t>203,290,994.08</w:t>
            </w: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86" w:right="0"/>
              <w:jc w:val="left"/>
              <w:rPr>
                <w:rFonts w:ascii="Times New Roman" w:hAnsi="Times New Roman" w:cs="Times New Roman" w:eastAsia="Times New Roman" w:hint="default"/>
                <w:sz w:val="18"/>
                <w:szCs w:val="18"/>
              </w:rPr>
            </w:pPr>
            <w:r>
              <w:rPr>
                <w:rFonts w:ascii="Times New Roman"/>
                <w:sz w:val="18"/>
              </w:rPr>
              <w:t>122,297,703.15</w:t>
            </w: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6" w:right="0"/>
              <w:jc w:val="left"/>
              <w:rPr>
                <w:rFonts w:ascii="Times New Roman" w:hAnsi="Times New Roman" w:cs="Times New Roman" w:eastAsia="Times New Roman" w:hint="default"/>
                <w:sz w:val="18"/>
                <w:szCs w:val="18"/>
              </w:rPr>
            </w:pPr>
            <w:r>
              <w:rPr>
                <w:rFonts w:ascii="Times New Roman"/>
                <w:sz w:val="18"/>
              </w:rPr>
              <w:t>144,813,112.92</w:t>
            </w:r>
          </w:p>
        </w:tc>
      </w:tr>
      <w:tr>
        <w:trPr>
          <w:trHeight w:val="441" w:hRule="exact"/>
        </w:trPr>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6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37" w:right="0"/>
              <w:jc w:val="left"/>
              <w:rPr>
                <w:rFonts w:ascii="Times New Roman" w:hAnsi="Times New Roman" w:cs="Times New Roman" w:eastAsia="Times New Roman" w:hint="default"/>
                <w:sz w:val="18"/>
                <w:szCs w:val="18"/>
              </w:rPr>
            </w:pPr>
            <w:r>
              <w:rPr>
                <w:rFonts w:ascii="Times New Roman"/>
                <w:sz w:val="18"/>
              </w:rPr>
              <w:t>134,614.30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4"/>
              <w:jc w:val="right"/>
              <w:rPr>
                <w:rFonts w:ascii="Times New Roman" w:hAnsi="Times New Roman" w:cs="Times New Roman" w:eastAsia="Times New Roman" w:hint="default"/>
                <w:sz w:val="18"/>
                <w:szCs w:val="18"/>
              </w:rPr>
            </w:pPr>
            <w:r>
              <w:rPr>
                <w:rFonts w:ascii="Times New Roman"/>
                <w:spacing w:val="-1"/>
                <w:sz w:val="18"/>
              </w:rPr>
              <w:t>172,336.00</w:t>
            </w:r>
          </w:p>
        </w:tc>
        <w:tc>
          <w:tcPr>
            <w:tcW w:w="22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415" w:hRule="exact"/>
        </w:trPr>
        <w:tc>
          <w:tcPr>
            <w:tcW w:w="2295" w:type="dxa"/>
            <w:tcBorders>
              <w:top w:val="nil" w:sz="6" w:space="0" w:color="auto"/>
              <w:left w:val="nil" w:sz="6" w:space="0" w:color="auto"/>
              <w:bottom w:val="nil" w:sz="6" w:space="0" w:color="auto"/>
              <w:right w:val="nil" w:sz="6" w:space="0" w:color="auto"/>
            </w:tcBorders>
          </w:tcPr>
          <w:p>
            <w:pPr>
              <w:pStyle w:val="TableParagraph"/>
              <w:tabs>
                <w:tab w:pos="1139" w:val="left" w:leader="none"/>
              </w:tabs>
              <w:spacing w:line="240" w:lineRule="auto" w:before="69"/>
              <w:ind w:left="7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178,691,072.39</w:t>
            </w:r>
            <w:r>
              <w:rPr>
                <w:rFonts w:ascii="Times New Roman"/>
                <w:sz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203,463,330.08</w:t>
            </w:r>
            <w:r>
              <w:rPr>
                <w:rFonts w:ascii="Times New Roman"/>
                <w:spacing w:val="-1"/>
                <w:sz w:val="18"/>
              </w:rPr>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8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122,297,703.15</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144,813,112.92</w:t>
            </w:r>
            <w:r>
              <w:rPr>
                <w:rFonts w:ascii="Times New Roman"/>
                <w:sz w:val="18"/>
              </w:rPr>
            </w:r>
          </w:p>
        </w:tc>
      </w:tr>
    </w:tbl>
    <w:p>
      <w:pPr>
        <w:spacing w:line="240" w:lineRule="auto" w:before="1"/>
        <w:rPr>
          <w:rFonts w:ascii="宋体" w:hAnsi="宋体" w:cs="宋体" w:eastAsia="宋体" w:hint="default"/>
          <w:b/>
          <w:bCs/>
          <w:sz w:val="22"/>
          <w:szCs w:val="22"/>
        </w:rPr>
      </w:pPr>
    </w:p>
    <w:p>
      <w:pPr>
        <w:pStyle w:val="BodyText"/>
        <w:spacing w:line="240" w:lineRule="auto" w:before="44"/>
        <w:ind w:left="573" w:right="0"/>
        <w:jc w:val="left"/>
      </w:pPr>
      <w:r>
        <w:rPr/>
        <w:t>（</w:t>
      </w:r>
      <w:r>
        <w:rPr>
          <w:rFonts w:ascii="Times New Roman" w:hAnsi="Times New Roman" w:cs="Times New Roman" w:eastAsia="Times New Roman" w:hint="default"/>
        </w:rPr>
        <w:t>2</w:t>
      </w:r>
      <w:r>
        <w:rPr/>
        <w:t>）主营业务（分行业）</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7"/>
          <w:pgSz w:w="11910" w:h="16840"/>
          <w:pgMar w:header="918" w:footer="979" w:top="1100" w:bottom="1180" w:left="920" w:right="900"/>
        </w:sectPr>
      </w:pPr>
    </w:p>
    <w:p>
      <w:pPr>
        <w:spacing w:line="240" w:lineRule="auto" w:before="4"/>
        <w:rPr>
          <w:rFonts w:ascii="宋体" w:hAnsi="宋体" w:cs="宋体" w:eastAsia="宋体" w:hint="default"/>
          <w:sz w:val="20"/>
          <w:szCs w:val="20"/>
        </w:rPr>
      </w:pPr>
    </w:p>
    <w:p>
      <w:pPr>
        <w:pStyle w:val="Heading8"/>
        <w:spacing w:line="240" w:lineRule="auto"/>
        <w:ind w:left="746" w:right="0"/>
        <w:jc w:val="left"/>
        <w:rPr>
          <w:b w:val="0"/>
          <w:bCs w:val="0"/>
        </w:rPr>
      </w:pPr>
      <w:r>
        <w:rPr>
          <w:w w:val="95"/>
        </w:rPr>
        <w:t>行业名称</w:t>
      </w:r>
      <w:r>
        <w:rPr>
          <w:b w:val="0"/>
          <w:bCs w:val="0"/>
        </w:rPr>
      </w:r>
    </w:p>
    <w:p>
      <w:pPr>
        <w:pStyle w:val="Heading8"/>
        <w:tabs>
          <w:tab w:pos="3928" w:val="left" w:leader="none"/>
        </w:tabs>
        <w:spacing w:line="240" w:lineRule="auto" w:before="44"/>
        <w:ind w:left="1" w:right="0"/>
        <w:jc w:val="center"/>
        <w:rPr>
          <w:b w:val="0"/>
          <w:bCs w:val="0"/>
        </w:rPr>
      </w:pPr>
      <w:r>
        <w:rPr>
          <w:b w:val="0"/>
          <w:bCs w:val="0"/>
          <w:w w:val="95"/>
        </w:rPr>
        <w:br w:type="column"/>
      </w:r>
      <w:r>
        <w:rPr>
          <w:w w:val="95"/>
        </w:rPr>
        <w:t>本期金额</w:t>
        <w:tab/>
      </w:r>
      <w:r>
        <w:rPr/>
        <w:t>上期金额</w:t>
      </w:r>
      <w:r>
        <w:rPr>
          <w:b w:val="0"/>
          <w:bCs w:val="0"/>
        </w:rPr>
      </w:r>
    </w:p>
    <w:p>
      <w:pPr>
        <w:spacing w:line="240" w:lineRule="auto" w:before="7"/>
        <w:rPr>
          <w:rFonts w:ascii="宋体" w:hAnsi="宋体" w:cs="宋体" w:eastAsia="宋体" w:hint="default"/>
          <w:b/>
          <w:bCs/>
          <w:sz w:val="15"/>
          <w:szCs w:val="15"/>
        </w:rPr>
      </w:pPr>
    </w:p>
    <w:p>
      <w:pPr>
        <w:pStyle w:val="Heading8"/>
        <w:tabs>
          <w:tab w:pos="1965" w:val="left" w:leader="none"/>
          <w:tab w:pos="3926" w:val="left" w:leader="none"/>
          <w:tab w:pos="5888" w:val="left" w:leader="none"/>
        </w:tabs>
        <w:spacing w:line="240" w:lineRule="auto"/>
        <w:ind w:right="0"/>
        <w:jc w:val="center"/>
        <w:rPr>
          <w:b w:val="0"/>
          <w:bCs w:val="0"/>
        </w:rPr>
      </w:pPr>
      <w:r>
        <w:rPr>
          <w:w w:val="95"/>
        </w:rPr>
        <w:t>营业收入</w:t>
        <w:tab/>
        <w:t>营业成本</w:t>
        <w:tab/>
        <w:t>营业收入</w:t>
        <w:tab/>
      </w:r>
      <w:r>
        <w:rPr/>
        <w:t>营业成本</w:t>
      </w:r>
      <w:r>
        <w:rPr>
          <w:b w:val="0"/>
          <w:bCs w:val="0"/>
        </w:rPr>
      </w:r>
    </w:p>
    <w:p>
      <w:pPr>
        <w:spacing w:after="0" w:line="240" w:lineRule="auto"/>
        <w:jc w:val="center"/>
        <w:sectPr>
          <w:type w:val="continuous"/>
          <w:pgSz w:w="11910" w:h="16840"/>
          <w:pgMar w:top="1100" w:bottom="1180" w:left="920" w:right="900"/>
          <w:cols w:num="2" w:equalWidth="0">
            <w:col w:w="1469" w:space="514"/>
            <w:col w:w="8107"/>
          </w:cols>
        </w:sectPr>
      </w:pPr>
    </w:p>
    <w:p>
      <w:pPr>
        <w:spacing w:line="240" w:lineRule="auto" w:before="11"/>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93.35pt;height:.5pt;mso-position-horizontal-relative:char;mso-position-vertical-relative:line" coordorigin="0,0" coordsize="9867,10">
            <v:group style="position:absolute;left:5;top:5;width:2005;height:2" coordorigin="5,5" coordsize="2005,2">
              <v:shape style="position:absolute;left:5;top:5;width:2005;height:2" coordorigin="5,5" coordsize="2005,0" path="m5,5l2009,5e" filled="false" stroked="true" strokeweight=".47998pt" strokecolor="#000000">
                <v:path arrowok="t"/>
              </v:shape>
            </v:group>
            <v:group style="position:absolute;left:2009;top:5;width:10;height:2" coordorigin="2009,5" coordsize="10,2">
              <v:shape style="position:absolute;left:2009;top:5;width:10;height:2" coordorigin="2009,5" coordsize="10,0" path="m2009,5l2019,5e" filled="false" stroked="true" strokeweight=".47998pt" strokecolor="#000000">
                <v:path arrowok="t"/>
              </v:shape>
            </v:group>
            <v:group style="position:absolute;left:2019;top:5;width:1952;height:2" coordorigin="2019,5" coordsize="1952,2">
              <v:shape style="position:absolute;left:2019;top:5;width:1952;height:2" coordorigin="2019,5" coordsize="1952,0" path="m2019,5l3970,5e" filled="false" stroked="true" strokeweight=".47998pt" strokecolor="#000000">
                <v:path arrowok="t"/>
              </v:shape>
            </v:group>
            <v:group style="position:absolute;left:3971;top:5;width:10;height:2" coordorigin="3971,5" coordsize="10,2">
              <v:shape style="position:absolute;left:3971;top:5;width:10;height:2" coordorigin="3971,5" coordsize="10,0" path="m3971,5l3980,5e" filled="false" stroked="true" strokeweight=".47998pt" strokecolor="#000000">
                <v:path arrowok="t"/>
              </v:shape>
            </v:group>
            <v:group style="position:absolute;left:3980;top:5;width:1957;height:2" coordorigin="3980,5" coordsize="1957,2">
              <v:shape style="position:absolute;left:3980;top:5;width:1957;height:2" coordorigin="3980,5" coordsize="1957,0" path="m3980,5l5937,5e" filled="false" stroked="true" strokeweight=".47998pt" strokecolor="#000000">
                <v:path arrowok="t"/>
              </v:shape>
            </v:group>
            <v:group style="position:absolute;left:5937;top:5;width:10;height:2" coordorigin="5937,5" coordsize="10,2">
              <v:shape style="position:absolute;left:5937;top:5;width:10;height:2" coordorigin="5937,5" coordsize="10,0" path="m5937,5l5946,5e" filled="false" stroked="true" strokeweight=".47998pt" strokecolor="#000000">
                <v:path arrowok="t"/>
              </v:shape>
            </v:group>
            <v:group style="position:absolute;left:5946;top:5;width:1952;height:2" coordorigin="5946,5" coordsize="1952,2">
              <v:shape style="position:absolute;left:5946;top:5;width:1952;height:2" coordorigin="5946,5" coordsize="1952,0" path="m5946,5l7898,5e" filled="false" stroked="true" strokeweight=".47998pt" strokecolor="#000000">
                <v:path arrowok="t"/>
              </v:shape>
            </v:group>
            <v:group style="position:absolute;left:7898;top:5;width:10;height:2" coordorigin="7898,5" coordsize="10,2">
              <v:shape style="position:absolute;left:7898;top:5;width:10;height:2" coordorigin="7898,5" coordsize="10,0" path="m7898,5l7908,5e" filled="false" stroked="true" strokeweight=".47998pt" strokecolor="#000000">
                <v:path arrowok="t"/>
              </v:shape>
            </v:group>
            <v:group style="position:absolute;left:7908;top:5;width:1955;height:2" coordorigin="7908,5" coordsize="1955,2">
              <v:shape style="position:absolute;left:7908;top:5;width:1955;height:2" coordorigin="7908,5" coordsize="1955,0" path="m7908,5l9862,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pStyle w:val="BodyText"/>
        <w:tabs>
          <w:tab w:pos="2527" w:val="left" w:leader="none"/>
          <w:tab w:pos="4492" w:val="left" w:leader="none"/>
          <w:tab w:pos="6454" w:val="left" w:leader="none"/>
          <w:tab w:pos="8420" w:val="left" w:leader="none"/>
        </w:tabs>
        <w:spacing w:line="240" w:lineRule="auto" w:before="44"/>
        <w:ind w:left="566" w:right="0"/>
        <w:jc w:val="left"/>
        <w:rPr>
          <w:rFonts w:ascii="Times New Roman" w:hAnsi="Times New Roman" w:cs="Times New Roman" w:eastAsia="Times New Roman" w:hint="default"/>
        </w:rPr>
      </w:pPr>
      <w:r>
        <w:rPr/>
        <w:t>图书出版发行</w:t>
        <w:tab/>
      </w:r>
      <w:r>
        <w:rPr>
          <w:rFonts w:ascii="Times New Roman" w:hAnsi="Times New Roman" w:cs="Times New Roman" w:eastAsia="Times New Roman" w:hint="default"/>
          <w:spacing w:val="-1"/>
        </w:rPr>
        <w:t>178,556,458.09</w:t>
        <w:tab/>
        <w:t>122,297,703.15</w:t>
        <w:tab/>
        <w:t>203,290,994.08</w:t>
        <w:tab/>
        <w:t>144,813,112.92</w:t>
      </w:r>
    </w:p>
    <w:p>
      <w:pPr>
        <w:spacing w:after="0" w:line="240" w:lineRule="auto"/>
        <w:jc w:val="left"/>
        <w:rPr>
          <w:rFonts w:ascii="Times New Roman" w:hAnsi="Times New Roman" w:cs="Times New Roman" w:eastAsia="Times New Roman" w:hint="default"/>
        </w:rPr>
        <w:sectPr>
          <w:type w:val="continuous"/>
          <w:pgSz w:w="11910" w:h="16840"/>
          <w:pgMar w:top="1100" w:bottom="1180" w:left="920" w:right="9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918" w:footer="979" w:top="1100" w:bottom="1180" w:left="900" w:right="900"/>
        </w:sect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Heading8"/>
        <w:spacing w:line="240" w:lineRule="auto"/>
        <w:ind w:left="766" w:right="0"/>
        <w:jc w:val="left"/>
        <w:rPr>
          <w:b w:val="0"/>
          <w:bCs w:val="0"/>
        </w:rPr>
      </w:pPr>
      <w:r>
        <w:rPr>
          <w:w w:val="95"/>
        </w:rPr>
        <w:t>行业名称</w:t>
      </w:r>
      <w:r>
        <w:rPr>
          <w:b w:val="0"/>
          <w:bCs w:val="0"/>
        </w:rPr>
      </w:r>
    </w:p>
    <w:p>
      <w:pPr>
        <w:spacing w:line="240" w:lineRule="auto" w:before="11"/>
        <w:rPr>
          <w:rFonts w:ascii="宋体" w:hAnsi="宋体" w:cs="宋体" w:eastAsia="宋体" w:hint="default"/>
          <w:b/>
          <w:bCs/>
          <w:sz w:val="15"/>
          <w:szCs w:val="15"/>
        </w:rPr>
      </w:pPr>
      <w:r>
        <w:rPr/>
        <w:br w:type="column"/>
      </w:r>
      <w:r>
        <w:rPr>
          <w:rFonts w:ascii="宋体"/>
          <w:b/>
          <w:sz w:val="15"/>
        </w:rPr>
      </w:r>
    </w:p>
    <w:p>
      <w:pPr>
        <w:pStyle w:val="Heading8"/>
        <w:tabs>
          <w:tab w:pos="3948" w:val="left" w:leader="none"/>
        </w:tabs>
        <w:spacing w:line="240" w:lineRule="auto"/>
        <w:ind w:left="21" w:right="0"/>
        <w:jc w:val="center"/>
        <w:rPr>
          <w:b w:val="0"/>
          <w:bCs w:val="0"/>
        </w:rPr>
      </w:pPr>
      <w:r>
        <w:rPr>
          <w:w w:val="95"/>
        </w:rPr>
        <w:t>本期金额</w:t>
        <w:tab/>
      </w:r>
      <w:r>
        <w:rPr/>
        <w:t>上期金额</w:t>
      </w:r>
      <w:r>
        <w:rPr>
          <w:b w:val="0"/>
          <w:bCs w:val="0"/>
        </w:rPr>
      </w:r>
    </w:p>
    <w:p>
      <w:pPr>
        <w:spacing w:line="240" w:lineRule="auto" w:before="8"/>
        <w:rPr>
          <w:rFonts w:ascii="宋体" w:hAnsi="宋体" w:cs="宋体" w:eastAsia="宋体" w:hint="default"/>
          <w:b/>
          <w:bCs/>
          <w:sz w:val="15"/>
          <w:szCs w:val="15"/>
        </w:rPr>
      </w:pPr>
    </w:p>
    <w:p>
      <w:pPr>
        <w:pStyle w:val="Heading8"/>
        <w:tabs>
          <w:tab w:pos="1984" w:val="left" w:leader="none"/>
          <w:tab w:pos="3945" w:val="left" w:leader="none"/>
          <w:tab w:pos="5907" w:val="left" w:leader="none"/>
        </w:tabs>
        <w:spacing w:line="240" w:lineRule="auto"/>
        <w:ind w:left="19" w:right="0"/>
        <w:jc w:val="center"/>
        <w:rPr>
          <w:b w:val="0"/>
          <w:bCs w:val="0"/>
        </w:rPr>
      </w:pPr>
      <w:r>
        <w:rPr>
          <w:w w:val="95"/>
        </w:rPr>
        <w:t>营业收入</w:t>
        <w:tab/>
        <w:t>营业成本</w:t>
        <w:tab/>
        <w:t>营业收入</w:t>
        <w:tab/>
      </w:r>
      <w:r>
        <w:rPr/>
        <w:t>营业成本</w:t>
      </w:r>
      <w:r>
        <w:rPr>
          <w:b w:val="0"/>
          <w:bCs w:val="0"/>
        </w:rPr>
      </w:r>
    </w:p>
    <w:p>
      <w:pPr>
        <w:spacing w:after="0" w:line="240" w:lineRule="auto"/>
        <w:jc w:val="center"/>
        <w:sectPr>
          <w:type w:val="continuous"/>
          <w:pgSz w:w="11910" w:h="16840"/>
          <w:pgMar w:top="1100" w:bottom="1180" w:left="900" w:right="900"/>
          <w:cols w:num="2" w:equalWidth="0">
            <w:col w:w="1489" w:space="494"/>
            <w:col w:w="8127"/>
          </w:cols>
        </w:sectPr>
      </w:pPr>
    </w:p>
    <w:p>
      <w:pPr>
        <w:spacing w:line="240" w:lineRule="auto" w:before="11"/>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5pt;height:.5pt;mso-position-horizontal-relative:char;mso-position-vertical-relative:line" coordorigin="0,0" coordsize="9867,10">
            <v:group style="position:absolute;left:5;top:5;width:2005;height:2" coordorigin="5,5" coordsize="2005,2">
              <v:shape style="position:absolute;left:5;top:5;width:2005;height:2" coordorigin="5,5" coordsize="2005,0" path="m5,5l2009,5e" filled="false" stroked="true" strokeweight=".48pt" strokecolor="#000000">
                <v:path arrowok="t"/>
              </v:shape>
            </v:group>
            <v:group style="position:absolute;left:2009;top:5;width:10;height:2" coordorigin="2009,5" coordsize="10,2">
              <v:shape style="position:absolute;left:2009;top:5;width:10;height:2" coordorigin="2009,5" coordsize="10,0" path="m2009,5l2019,5e" filled="false" stroked="true" strokeweight=".48pt" strokecolor="#000000">
                <v:path arrowok="t"/>
              </v:shape>
            </v:group>
            <v:group style="position:absolute;left:2019;top:5;width:1952;height:2" coordorigin="2019,5" coordsize="1952,2">
              <v:shape style="position:absolute;left:2019;top:5;width:1952;height:2" coordorigin="2019,5" coordsize="1952,0" path="m2019,5l3970,5e" filled="false" stroked="true" strokeweight=".48pt" strokecolor="#000000">
                <v:path arrowok="t"/>
              </v:shape>
            </v:group>
            <v:group style="position:absolute;left:3971;top:5;width:10;height:2" coordorigin="3971,5" coordsize="10,2">
              <v:shape style="position:absolute;left:3971;top:5;width:10;height:2" coordorigin="3971,5" coordsize="10,0" path="m3971,5l3980,5e" filled="false" stroked="true" strokeweight=".48pt" strokecolor="#000000">
                <v:path arrowok="t"/>
              </v:shape>
            </v:group>
            <v:group style="position:absolute;left:3980;top:5;width:1957;height:2" coordorigin="3980,5" coordsize="1957,2">
              <v:shape style="position:absolute;left:3980;top:5;width:1957;height:2" coordorigin="3980,5" coordsize="1957,0" path="m3980,5l5937,5e" filled="false" stroked="true" strokeweight=".48pt" strokecolor="#000000">
                <v:path arrowok="t"/>
              </v:shape>
            </v:group>
            <v:group style="position:absolute;left:5937;top:5;width:10;height:2" coordorigin="5937,5" coordsize="10,2">
              <v:shape style="position:absolute;left:5937;top:5;width:10;height:2" coordorigin="5937,5" coordsize="10,0" path="m5937,5l5946,5e" filled="false" stroked="true" strokeweight=".48pt" strokecolor="#000000">
                <v:path arrowok="t"/>
              </v:shape>
            </v:group>
            <v:group style="position:absolute;left:5946;top:5;width:1952;height:2" coordorigin="5946,5" coordsize="1952,2">
              <v:shape style="position:absolute;left:5946;top:5;width:1952;height:2" coordorigin="5946,5" coordsize="1952,0" path="m5946,5l7898,5e" filled="false" stroked="true" strokeweight=".48pt" strokecolor="#000000">
                <v:path arrowok="t"/>
              </v:shape>
            </v:group>
            <v:group style="position:absolute;left:7898;top:5;width:10;height:2" coordorigin="7898,5" coordsize="10,2">
              <v:shape style="position:absolute;left:7898;top:5;width:10;height:2" coordorigin="7898,5" coordsize="10,0" path="m7898,5l7908,5e" filled="false" stroked="true" strokeweight=".48pt" strokecolor="#000000">
                <v:path arrowok="t"/>
              </v:shape>
            </v:group>
            <v:group style="position:absolute;left:7908;top:5;width:1955;height:2" coordorigin="7908,5" coordsize="1955,2">
              <v:shape style="position:absolute;left:7908;top:5;width:1955;height:2" coordorigin="7908,5" coordsize="1955,0" path="m7908,5l9862,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pStyle w:val="BodyText"/>
        <w:tabs>
          <w:tab w:pos="2547" w:val="left" w:leader="none"/>
          <w:tab w:pos="4512" w:val="left" w:leader="none"/>
          <w:tab w:pos="6474" w:val="left" w:leader="none"/>
          <w:tab w:pos="8440" w:val="left" w:leader="none"/>
        </w:tabs>
        <w:spacing w:line="240" w:lineRule="auto" w:before="44"/>
        <w:ind w:left="857" w:right="283"/>
        <w:jc w:val="left"/>
        <w:rPr>
          <w:rFonts w:ascii="Times New Roman" w:hAnsi="Times New Roman" w:cs="Times New Roman" w:eastAsia="Times New Roman" w:hint="default"/>
        </w:rPr>
      </w:pPr>
      <w:r>
        <w:rPr/>
        <w:t>合 </w:t>
      </w:r>
      <w:r>
        <w:rPr>
          <w:spacing w:val="2"/>
        </w:rPr>
        <w:t> </w:t>
      </w:r>
      <w:r>
        <w:rPr/>
        <w:t>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178,556,458.09</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122,297,703.15</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203,290,994.08</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144,813,112.92</w:t>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pStyle w:val="Heading6"/>
        <w:spacing w:line="240" w:lineRule="auto"/>
        <w:ind w:left="653" w:right="283"/>
        <w:jc w:val="left"/>
      </w:pPr>
      <w:r>
        <w:rPr/>
        <w:t>（</w:t>
      </w:r>
      <w:r>
        <w:rPr>
          <w:rFonts w:ascii="Times New Roman" w:hAnsi="Times New Roman" w:cs="Times New Roman" w:eastAsia="Times New Roman" w:hint="default"/>
        </w:rPr>
        <w:t>3</w:t>
      </w:r>
      <w:r>
        <w:rPr/>
        <w:t>）主营业务（分产品）</w:t>
      </w:r>
    </w:p>
    <w:p>
      <w:pPr>
        <w:spacing w:line="240" w:lineRule="auto" w:before="2"/>
        <w:rPr>
          <w:rFonts w:ascii="宋体" w:hAnsi="宋体" w:cs="宋体" w:eastAsia="宋体" w:hint="default"/>
          <w:sz w:val="18"/>
          <w:szCs w:val="18"/>
        </w:rPr>
      </w:pPr>
    </w:p>
    <w:p>
      <w:pPr>
        <w:tabs>
          <w:tab w:pos="7629" w:val="left" w:leader="none"/>
        </w:tabs>
        <w:spacing w:before="37"/>
        <w:ind w:left="3632" w:right="283" w:firstLine="0"/>
        <w:jc w:val="left"/>
        <w:rPr>
          <w:rFonts w:ascii="宋体" w:hAnsi="宋体" w:cs="宋体" w:eastAsia="宋体" w:hint="default"/>
          <w:sz w:val="20"/>
          <w:szCs w:val="20"/>
        </w:rPr>
      </w:pPr>
      <w:r>
        <w:rPr>
          <w:rFonts w:ascii="宋体" w:hAnsi="宋体" w:cs="宋体" w:eastAsia="宋体" w:hint="default"/>
          <w:b/>
          <w:bCs/>
          <w:w w:val="95"/>
          <w:sz w:val="20"/>
          <w:szCs w:val="20"/>
        </w:rPr>
        <w:t>本期金额</w:t>
        <w:tab/>
      </w:r>
      <w:r>
        <w:rPr>
          <w:rFonts w:ascii="宋体" w:hAnsi="宋体" w:cs="宋体" w:eastAsia="宋体" w:hint="default"/>
          <w:b/>
          <w:bCs/>
          <w:sz w:val="20"/>
          <w:szCs w:val="20"/>
        </w:rPr>
        <w:t>上期金额</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1843"/>
        <w:gridCol w:w="2080"/>
        <w:gridCol w:w="2015"/>
        <w:gridCol w:w="2009"/>
        <w:gridCol w:w="1910"/>
      </w:tblGrid>
      <w:tr>
        <w:trPr>
          <w:trHeight w:val="524" w:hRule="exact"/>
        </w:trPr>
        <w:tc>
          <w:tcPr>
            <w:tcW w:w="1843" w:type="dxa"/>
            <w:tcBorders>
              <w:top w:val="nil" w:sz="6" w:space="0" w:color="auto"/>
              <w:left w:val="nil" w:sz="6" w:space="0" w:color="auto"/>
              <w:bottom w:val="single" w:sz="8" w:space="0" w:color="000000"/>
              <w:right w:val="nil" w:sz="6" w:space="0" w:color="auto"/>
            </w:tcBorders>
          </w:tcPr>
          <w:p>
            <w:pPr>
              <w:pStyle w:val="TableParagraph"/>
              <w:spacing w:line="199" w:lineRule="exact"/>
              <w:ind w:left="526"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2080"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49" w:right="0"/>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015"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58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2009"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56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910"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558"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499" w:hRule="exact"/>
        </w:trPr>
        <w:tc>
          <w:tcPr>
            <w:tcW w:w="184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99"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2080"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66" w:right="0"/>
              <w:jc w:val="center"/>
              <w:rPr>
                <w:rFonts w:ascii="Times New Roman" w:hAnsi="Times New Roman" w:cs="Times New Roman" w:eastAsia="Times New Roman" w:hint="default"/>
                <w:sz w:val="18"/>
                <w:szCs w:val="18"/>
              </w:rPr>
            </w:pPr>
            <w:r>
              <w:rPr>
                <w:rFonts w:ascii="Times New Roman"/>
                <w:sz w:val="18"/>
              </w:rPr>
              <w:t>107,276,565.61</w:t>
            </w:r>
          </w:p>
        </w:tc>
        <w:tc>
          <w:tcPr>
            <w:tcW w:w="2015"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43"/>
              <w:jc w:val="right"/>
              <w:rPr>
                <w:rFonts w:ascii="Times New Roman" w:hAnsi="Times New Roman" w:cs="Times New Roman" w:eastAsia="Times New Roman" w:hint="default"/>
                <w:sz w:val="18"/>
                <w:szCs w:val="18"/>
              </w:rPr>
            </w:pPr>
            <w:r>
              <w:rPr>
                <w:rFonts w:ascii="Times New Roman"/>
                <w:spacing w:val="-1"/>
                <w:sz w:val="18"/>
              </w:rPr>
              <w:t>66,306,860.40</w:t>
            </w:r>
          </w:p>
        </w:tc>
        <w:tc>
          <w:tcPr>
            <w:tcW w:w="2009"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36"/>
              <w:jc w:val="right"/>
              <w:rPr>
                <w:rFonts w:ascii="Times New Roman" w:hAnsi="Times New Roman" w:cs="Times New Roman" w:eastAsia="Times New Roman" w:hint="default"/>
                <w:sz w:val="18"/>
                <w:szCs w:val="18"/>
              </w:rPr>
            </w:pPr>
            <w:r>
              <w:rPr>
                <w:rFonts w:ascii="Times New Roman"/>
                <w:spacing w:val="-1"/>
                <w:sz w:val="18"/>
              </w:rPr>
              <w:t>143,278,333.06</w:t>
            </w:r>
          </w:p>
        </w:tc>
        <w:tc>
          <w:tcPr>
            <w:tcW w:w="1910"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44"/>
              <w:jc w:val="right"/>
              <w:rPr>
                <w:rFonts w:ascii="Times New Roman" w:hAnsi="Times New Roman" w:cs="Times New Roman" w:eastAsia="Times New Roman" w:hint="default"/>
                <w:sz w:val="18"/>
                <w:szCs w:val="18"/>
              </w:rPr>
            </w:pPr>
            <w:r>
              <w:rPr>
                <w:rFonts w:ascii="Times New Roman"/>
                <w:spacing w:val="-1"/>
                <w:sz w:val="18"/>
              </w:rPr>
              <w:t>101,533,149.05</w:t>
            </w:r>
          </w:p>
        </w:tc>
      </w:tr>
      <w:tr>
        <w:trPr>
          <w:trHeight w:val="440"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9"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7" w:right="0"/>
              <w:jc w:val="center"/>
              <w:rPr>
                <w:rFonts w:ascii="Times New Roman" w:hAnsi="Times New Roman" w:cs="Times New Roman" w:eastAsia="Times New Roman" w:hint="default"/>
                <w:sz w:val="18"/>
                <w:szCs w:val="18"/>
              </w:rPr>
            </w:pPr>
            <w:r>
              <w:rPr>
                <w:rFonts w:ascii="Times New Roman"/>
                <w:sz w:val="18"/>
              </w:rPr>
              <w:t>71,279,892.48</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3"/>
              <w:jc w:val="right"/>
              <w:rPr>
                <w:rFonts w:ascii="Times New Roman" w:hAnsi="Times New Roman" w:cs="Times New Roman" w:eastAsia="Times New Roman" w:hint="default"/>
                <w:sz w:val="18"/>
                <w:szCs w:val="18"/>
              </w:rPr>
            </w:pPr>
            <w:r>
              <w:rPr>
                <w:rFonts w:ascii="Times New Roman"/>
                <w:spacing w:val="-1"/>
                <w:sz w:val="18"/>
              </w:rPr>
              <w:t>55,990,842.75</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6"/>
              <w:jc w:val="right"/>
              <w:rPr>
                <w:rFonts w:ascii="Times New Roman" w:hAnsi="Times New Roman" w:cs="Times New Roman" w:eastAsia="Times New Roman" w:hint="default"/>
                <w:sz w:val="18"/>
                <w:szCs w:val="18"/>
              </w:rPr>
            </w:pPr>
            <w:r>
              <w:rPr>
                <w:rFonts w:ascii="Times New Roman"/>
                <w:spacing w:val="-1"/>
                <w:sz w:val="18"/>
              </w:rPr>
              <w:t>60,012,661.02</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4"/>
              <w:jc w:val="right"/>
              <w:rPr>
                <w:rFonts w:ascii="Times New Roman" w:hAnsi="Times New Roman" w:cs="Times New Roman" w:eastAsia="Times New Roman" w:hint="default"/>
                <w:sz w:val="18"/>
                <w:szCs w:val="18"/>
              </w:rPr>
            </w:pPr>
            <w:r>
              <w:rPr>
                <w:rFonts w:ascii="Times New Roman"/>
                <w:spacing w:val="-1"/>
                <w:sz w:val="18"/>
              </w:rPr>
              <w:t>43,279,963.87</w:t>
            </w:r>
          </w:p>
        </w:tc>
      </w:tr>
      <w:tr>
        <w:trPr>
          <w:trHeight w:val="415"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178,556,458.09</w:t>
            </w:r>
            <w:r>
              <w:rPr>
                <w:rFonts w:ascii="Times New Roman"/>
                <w:sz w:val="18"/>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122,297,703.15</w:t>
            </w:r>
            <w:r>
              <w:rPr>
                <w:rFonts w:ascii="Times New Roman"/>
                <w:spacing w:val="-1"/>
                <w:sz w:val="18"/>
              </w:rPr>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203,290,994.08</w:t>
            </w:r>
            <w:r>
              <w:rPr>
                <w:rFonts w:ascii="Times New Roman"/>
                <w:spacing w:val="-1"/>
                <w:sz w:val="18"/>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144,813,112.92</w:t>
            </w:r>
            <w:r>
              <w:rPr>
                <w:rFonts w:ascii="Times New Roman"/>
                <w:spacing w:val="-1"/>
                <w:sz w:val="18"/>
              </w:rPr>
            </w:r>
          </w:p>
        </w:tc>
      </w:tr>
    </w:tbl>
    <w:p>
      <w:pPr>
        <w:spacing w:line="240" w:lineRule="auto" w:before="4"/>
        <w:rPr>
          <w:rFonts w:ascii="宋体" w:hAnsi="宋体" w:cs="宋体" w:eastAsia="宋体" w:hint="default"/>
          <w:b/>
          <w:bCs/>
          <w:sz w:val="22"/>
          <w:szCs w:val="22"/>
        </w:rPr>
      </w:pPr>
    </w:p>
    <w:p>
      <w:pPr>
        <w:pStyle w:val="BodyText"/>
        <w:spacing w:line="240" w:lineRule="auto" w:before="44"/>
        <w:ind w:left="593" w:right="283"/>
        <w:jc w:val="left"/>
      </w:pPr>
      <w:r>
        <w:rPr/>
        <w:t>（</w:t>
      </w:r>
      <w:r>
        <w:rPr>
          <w:rFonts w:ascii="Times New Roman" w:hAnsi="Times New Roman" w:cs="Times New Roman" w:eastAsia="Times New Roman" w:hint="default"/>
        </w:rPr>
        <w:t>4</w:t>
      </w:r>
      <w:r>
        <w:rPr/>
        <w:t>）主营业务（分地区）</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807"/>
        <w:gridCol w:w="2509"/>
        <w:gridCol w:w="1654"/>
        <w:gridCol w:w="2021"/>
        <w:gridCol w:w="1866"/>
      </w:tblGrid>
      <w:tr>
        <w:trPr>
          <w:trHeight w:val="205" w:hRule="exact"/>
        </w:trPr>
        <w:tc>
          <w:tcPr>
            <w:tcW w:w="1807"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180" w:lineRule="exact"/>
              <w:ind w:right="60"/>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89"/>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30"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05" w:lineRule="exact"/>
              <w:ind w:left="590"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509"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
        </w:tc>
      </w:tr>
      <w:tr>
        <w:trPr>
          <w:trHeight w:val="302" w:hRule="exact"/>
        </w:trPr>
        <w:tc>
          <w:tcPr>
            <w:tcW w:w="1807" w:type="dxa"/>
            <w:tcBorders>
              <w:top w:val="nil" w:sz="6" w:space="0" w:color="auto"/>
              <w:left w:val="nil" w:sz="6" w:space="0" w:color="auto"/>
              <w:bottom w:val="single" w:sz="8" w:space="0" w:color="000000"/>
              <w:right w:val="nil" w:sz="6" w:space="0" w:color="auto"/>
            </w:tcBorders>
          </w:tcPr>
          <w:p>
            <w:pPr/>
          </w:p>
        </w:tc>
        <w:tc>
          <w:tcPr>
            <w:tcW w:w="2509" w:type="dxa"/>
            <w:tcBorders>
              <w:top w:val="nil" w:sz="6" w:space="0" w:color="auto"/>
              <w:left w:val="nil" w:sz="6" w:space="0" w:color="auto"/>
              <w:bottom w:val="single" w:sz="8" w:space="0" w:color="000000"/>
              <w:right w:val="nil" w:sz="6" w:space="0" w:color="auto"/>
            </w:tcBorders>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54" w:type="dxa"/>
            <w:tcBorders>
              <w:top w:val="nil" w:sz="6" w:space="0" w:color="auto"/>
              <w:left w:val="nil" w:sz="6" w:space="0" w:color="auto"/>
              <w:bottom w:val="single" w:sz="8" w:space="0" w:color="000000"/>
              <w:right w:val="nil" w:sz="6" w:space="0" w:color="auto"/>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021" w:type="dxa"/>
            <w:tcBorders>
              <w:top w:val="nil" w:sz="6" w:space="0" w:color="auto"/>
              <w:left w:val="nil" w:sz="6" w:space="0" w:color="auto"/>
              <w:bottom w:val="single" w:sz="8" w:space="0" w:color="000000"/>
              <w:right w:val="nil" w:sz="6" w:space="0" w:color="auto"/>
            </w:tcBorders>
          </w:tcPr>
          <w:p>
            <w:pPr>
              <w:pStyle w:val="TableParagraph"/>
              <w:spacing w:line="205"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6" w:type="dxa"/>
            <w:tcBorders>
              <w:top w:val="nil" w:sz="6" w:space="0" w:color="auto"/>
              <w:left w:val="nil" w:sz="6" w:space="0" w:color="auto"/>
              <w:bottom w:val="single" w:sz="8" w:space="0" w:color="000000"/>
              <w:right w:val="nil" w:sz="6" w:space="0" w:color="auto"/>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98" w:hRule="exact"/>
        </w:trPr>
        <w:tc>
          <w:tcPr>
            <w:tcW w:w="1807"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湖南省内销售</w:t>
            </w:r>
          </w:p>
        </w:tc>
        <w:tc>
          <w:tcPr>
            <w:tcW w:w="2509"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582" w:right="0"/>
              <w:jc w:val="left"/>
              <w:rPr>
                <w:rFonts w:ascii="Times New Roman" w:hAnsi="Times New Roman" w:cs="Times New Roman" w:eastAsia="Times New Roman" w:hint="default"/>
                <w:sz w:val="18"/>
                <w:szCs w:val="18"/>
              </w:rPr>
            </w:pPr>
            <w:r>
              <w:rPr>
                <w:rFonts w:ascii="Times New Roman"/>
                <w:sz w:val="18"/>
              </w:rPr>
              <w:t>136,739,618.22</w:t>
            </w:r>
          </w:p>
        </w:tc>
        <w:tc>
          <w:tcPr>
            <w:tcW w:w="1654"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63"/>
              <w:jc w:val="right"/>
              <w:rPr>
                <w:rFonts w:ascii="Times New Roman" w:hAnsi="Times New Roman" w:cs="Times New Roman" w:eastAsia="Times New Roman" w:hint="default"/>
                <w:sz w:val="18"/>
                <w:szCs w:val="18"/>
              </w:rPr>
            </w:pPr>
            <w:r>
              <w:rPr>
                <w:rFonts w:ascii="Times New Roman"/>
                <w:spacing w:val="-1"/>
                <w:sz w:val="18"/>
              </w:rPr>
              <w:t>91,687,773.49</w:t>
            </w:r>
          </w:p>
        </w:tc>
        <w:tc>
          <w:tcPr>
            <w:tcW w:w="2021"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427"/>
              <w:jc w:val="right"/>
              <w:rPr>
                <w:rFonts w:ascii="Times New Roman" w:hAnsi="Times New Roman" w:cs="Times New Roman" w:eastAsia="Times New Roman" w:hint="default"/>
                <w:sz w:val="18"/>
                <w:szCs w:val="18"/>
              </w:rPr>
            </w:pPr>
            <w:r>
              <w:rPr>
                <w:rFonts w:ascii="Times New Roman"/>
                <w:spacing w:val="-1"/>
                <w:sz w:val="18"/>
              </w:rPr>
              <w:t>160,744,476.54</w:t>
            </w:r>
          </w:p>
        </w:tc>
        <w:tc>
          <w:tcPr>
            <w:tcW w:w="1866"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08"/>
              <w:jc w:val="right"/>
              <w:rPr>
                <w:rFonts w:ascii="Times New Roman" w:hAnsi="Times New Roman" w:cs="Times New Roman" w:eastAsia="Times New Roman" w:hint="default"/>
                <w:sz w:val="18"/>
                <w:szCs w:val="18"/>
              </w:rPr>
            </w:pPr>
            <w:r>
              <w:rPr>
                <w:rFonts w:ascii="Times New Roman"/>
                <w:spacing w:val="-1"/>
                <w:sz w:val="18"/>
              </w:rPr>
              <w:t>112,550,913.97</w:t>
            </w:r>
          </w:p>
        </w:tc>
      </w:tr>
      <w:tr>
        <w:trPr>
          <w:trHeight w:val="439"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湖南省外销售</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73" w:right="0"/>
              <w:jc w:val="left"/>
              <w:rPr>
                <w:rFonts w:ascii="Times New Roman" w:hAnsi="Times New Roman" w:cs="Times New Roman" w:eastAsia="Times New Roman" w:hint="default"/>
                <w:sz w:val="18"/>
                <w:szCs w:val="18"/>
              </w:rPr>
            </w:pPr>
            <w:r>
              <w:rPr>
                <w:rFonts w:ascii="Times New Roman"/>
                <w:sz w:val="18"/>
              </w:rPr>
              <w:t>41,816,839.87</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63"/>
              <w:jc w:val="right"/>
              <w:rPr>
                <w:rFonts w:ascii="Times New Roman" w:hAnsi="Times New Roman" w:cs="Times New Roman" w:eastAsia="Times New Roman" w:hint="default"/>
                <w:sz w:val="18"/>
                <w:szCs w:val="18"/>
              </w:rPr>
            </w:pPr>
            <w:r>
              <w:rPr>
                <w:rFonts w:ascii="Times New Roman"/>
                <w:spacing w:val="-1"/>
                <w:sz w:val="18"/>
              </w:rPr>
              <w:t>30,609,929.66</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9"/>
              <w:jc w:val="right"/>
              <w:rPr>
                <w:rFonts w:ascii="Times New Roman" w:hAnsi="Times New Roman" w:cs="Times New Roman" w:eastAsia="Times New Roman" w:hint="default"/>
                <w:sz w:val="18"/>
                <w:szCs w:val="18"/>
              </w:rPr>
            </w:pPr>
            <w:r>
              <w:rPr>
                <w:rFonts w:ascii="Times New Roman"/>
                <w:spacing w:val="-1"/>
                <w:sz w:val="18"/>
              </w:rPr>
              <w:t>42,546,517.54</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8"/>
              <w:jc w:val="right"/>
              <w:rPr>
                <w:rFonts w:ascii="Times New Roman" w:hAnsi="Times New Roman" w:cs="Times New Roman" w:eastAsia="Times New Roman" w:hint="default"/>
                <w:sz w:val="18"/>
                <w:szCs w:val="18"/>
              </w:rPr>
            </w:pPr>
            <w:r>
              <w:rPr>
                <w:rFonts w:ascii="Times New Roman"/>
                <w:spacing w:val="-1"/>
                <w:sz w:val="18"/>
              </w:rPr>
              <w:t>32,262,198.95</w:t>
            </w:r>
          </w:p>
        </w:tc>
      </w:tr>
      <w:tr>
        <w:trPr>
          <w:trHeight w:val="315"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8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178,556,458.09</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122,297,703.15</w:t>
            </w:r>
            <w:r>
              <w:rPr>
                <w:rFonts w:ascii="Times New Roman"/>
                <w:sz w:val="18"/>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203,290,994.08</w:t>
            </w:r>
            <w:r>
              <w:rPr>
                <w:rFonts w:ascii="Times New Roman"/>
                <w:spacing w:val="-1"/>
                <w:sz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144,813,112.92</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93" w:right="283"/>
        <w:jc w:val="left"/>
      </w:pPr>
      <w:r>
        <w:rPr/>
        <w:t>（</w:t>
      </w:r>
      <w:r>
        <w:rPr>
          <w:rFonts w:ascii="Times New Roman" w:hAnsi="Times New Roman" w:cs="Times New Roman" w:eastAsia="Times New Roman" w:hint="default"/>
        </w:rPr>
        <w:t>5</w:t>
      </w:r>
      <w:r>
        <w:rPr/>
        <w:t>）公司前五名客户的营业收入情况</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780"/>
        <w:gridCol w:w="2529"/>
        <w:gridCol w:w="3548"/>
      </w:tblGrid>
      <w:tr>
        <w:trPr>
          <w:trHeight w:val="279" w:hRule="exact"/>
        </w:trPr>
        <w:tc>
          <w:tcPr>
            <w:tcW w:w="3780" w:type="dxa"/>
            <w:tcBorders>
              <w:top w:val="nil" w:sz="6" w:space="0" w:color="auto"/>
              <w:left w:val="nil" w:sz="6" w:space="0" w:color="auto"/>
              <w:bottom w:val="single" w:sz="8" w:space="0" w:color="000000"/>
              <w:right w:val="nil" w:sz="6" w:space="0" w:color="auto"/>
            </w:tcBorders>
          </w:tcPr>
          <w:p>
            <w:pPr>
              <w:pStyle w:val="TableParagraph"/>
              <w:spacing w:line="180" w:lineRule="exact"/>
              <w:ind w:right="491"/>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529" w:type="dxa"/>
            <w:tcBorders>
              <w:top w:val="nil" w:sz="6" w:space="0" w:color="auto"/>
              <w:left w:val="nil" w:sz="6" w:space="0" w:color="auto"/>
              <w:bottom w:val="single" w:sz="8" w:space="0" w:color="000000"/>
              <w:right w:val="nil" w:sz="6" w:space="0" w:color="auto"/>
            </w:tcBorders>
          </w:tcPr>
          <w:p>
            <w:pPr>
              <w:pStyle w:val="TableParagraph"/>
              <w:spacing w:line="180" w:lineRule="exact"/>
              <w:ind w:left="79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548" w:type="dxa"/>
            <w:tcBorders>
              <w:top w:val="nil" w:sz="6" w:space="0" w:color="auto"/>
              <w:left w:val="nil" w:sz="6" w:space="0" w:color="auto"/>
              <w:bottom w:val="single" w:sz="8" w:space="0" w:color="000000"/>
              <w:right w:val="nil" w:sz="6" w:space="0" w:color="auto"/>
            </w:tcBorders>
          </w:tcPr>
          <w:p>
            <w:pPr>
              <w:pStyle w:val="TableParagraph"/>
              <w:spacing w:line="194" w:lineRule="exact"/>
              <w:ind w:left="549"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6" w:hRule="exact"/>
        </w:trPr>
        <w:tc>
          <w:tcPr>
            <w:tcW w:w="3780"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湖南省新华书店有限公司</w:t>
            </w:r>
          </w:p>
        </w:tc>
        <w:tc>
          <w:tcPr>
            <w:tcW w:w="2529"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547"/>
              <w:jc w:val="right"/>
              <w:rPr>
                <w:rFonts w:ascii="Times New Roman" w:hAnsi="Times New Roman" w:cs="Times New Roman" w:eastAsia="Times New Roman" w:hint="default"/>
                <w:sz w:val="18"/>
                <w:szCs w:val="18"/>
              </w:rPr>
            </w:pPr>
            <w:r>
              <w:rPr>
                <w:rFonts w:ascii="Times New Roman"/>
                <w:spacing w:val="-2"/>
                <w:sz w:val="18"/>
              </w:rPr>
              <w:t>72,766,111.06</w:t>
            </w:r>
          </w:p>
        </w:tc>
        <w:tc>
          <w:tcPr>
            <w:tcW w:w="3548"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2037" w:right="0"/>
              <w:jc w:val="left"/>
              <w:rPr>
                <w:rFonts w:ascii="Times New Roman" w:hAnsi="Times New Roman" w:cs="Times New Roman" w:eastAsia="Times New Roman" w:hint="default"/>
                <w:sz w:val="18"/>
                <w:szCs w:val="18"/>
              </w:rPr>
            </w:pPr>
            <w:r>
              <w:rPr>
                <w:rFonts w:ascii="Times New Roman"/>
                <w:sz w:val="18"/>
              </w:rPr>
              <w:t>40.72</w:t>
            </w:r>
          </w:p>
        </w:tc>
      </w:tr>
      <w:tr>
        <w:trPr>
          <w:trHeight w:val="440"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湖南省新闻出版局</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8"/>
              <w:jc w:val="right"/>
              <w:rPr>
                <w:rFonts w:ascii="Times New Roman" w:hAnsi="Times New Roman" w:cs="Times New Roman" w:eastAsia="Times New Roman" w:hint="default"/>
                <w:sz w:val="18"/>
                <w:szCs w:val="18"/>
              </w:rPr>
            </w:pPr>
            <w:r>
              <w:rPr>
                <w:rFonts w:ascii="Times New Roman"/>
                <w:spacing w:val="-1"/>
                <w:sz w:val="18"/>
              </w:rPr>
              <w:t>35,228,318.58</w:t>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37" w:right="0"/>
              <w:jc w:val="left"/>
              <w:rPr>
                <w:rFonts w:ascii="Times New Roman" w:hAnsi="Times New Roman" w:cs="Times New Roman" w:eastAsia="Times New Roman" w:hint="default"/>
                <w:sz w:val="18"/>
                <w:szCs w:val="18"/>
              </w:rPr>
            </w:pPr>
            <w:r>
              <w:rPr>
                <w:rFonts w:ascii="Times New Roman"/>
                <w:sz w:val="18"/>
              </w:rPr>
              <w:t>19.71</w:t>
            </w:r>
          </w:p>
        </w:tc>
      </w:tr>
      <w:tr>
        <w:trPr>
          <w:trHeight w:val="440"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河北省新华书店有限责任公司</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7"/>
              <w:jc w:val="right"/>
              <w:rPr>
                <w:rFonts w:ascii="Times New Roman" w:hAnsi="Times New Roman" w:cs="Times New Roman" w:eastAsia="Times New Roman" w:hint="default"/>
                <w:sz w:val="18"/>
                <w:szCs w:val="18"/>
              </w:rPr>
            </w:pPr>
            <w:r>
              <w:rPr>
                <w:rFonts w:ascii="Times New Roman"/>
                <w:spacing w:val="-1"/>
                <w:sz w:val="18"/>
              </w:rPr>
              <w:t>7,240,716.60</w:t>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29" w:right="0"/>
              <w:jc w:val="left"/>
              <w:rPr>
                <w:rFonts w:ascii="Times New Roman" w:hAnsi="Times New Roman" w:cs="Times New Roman" w:eastAsia="Times New Roman" w:hint="default"/>
                <w:sz w:val="18"/>
                <w:szCs w:val="18"/>
              </w:rPr>
            </w:pPr>
            <w:r>
              <w:rPr>
                <w:rFonts w:ascii="Times New Roman"/>
                <w:sz w:val="18"/>
              </w:rPr>
              <w:t>4.05</w:t>
            </w:r>
          </w:p>
        </w:tc>
      </w:tr>
      <w:tr>
        <w:trPr>
          <w:trHeight w:val="439"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安徽省教育委员会</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pacing w:val="-1"/>
                <w:sz w:val="18"/>
              </w:rPr>
              <w:t>6,424,001.77</w:t>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29" w:right="0"/>
              <w:jc w:val="left"/>
              <w:rPr>
                <w:rFonts w:ascii="Times New Roman" w:hAnsi="Times New Roman" w:cs="Times New Roman" w:eastAsia="Times New Roman" w:hint="default"/>
                <w:sz w:val="18"/>
                <w:szCs w:val="18"/>
              </w:rPr>
            </w:pPr>
            <w:r>
              <w:rPr>
                <w:rFonts w:ascii="Times New Roman"/>
                <w:sz w:val="18"/>
              </w:rPr>
              <w:t>3.60</w:t>
            </w:r>
          </w:p>
        </w:tc>
      </w:tr>
      <w:tr>
        <w:trPr>
          <w:trHeight w:val="441"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pacing w:val="-1"/>
                <w:sz w:val="18"/>
              </w:rPr>
              <w:t>8,769,771.46</w:t>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29" w:right="0"/>
              <w:jc w:val="left"/>
              <w:rPr>
                <w:rFonts w:ascii="Times New Roman" w:hAnsi="Times New Roman" w:cs="Times New Roman" w:eastAsia="Times New Roman" w:hint="default"/>
                <w:sz w:val="18"/>
                <w:szCs w:val="18"/>
              </w:rPr>
            </w:pPr>
            <w:r>
              <w:rPr>
                <w:rFonts w:ascii="Times New Roman"/>
                <w:sz w:val="18"/>
              </w:rPr>
              <w:t>4.91</w:t>
            </w:r>
          </w:p>
        </w:tc>
      </w:tr>
      <w:tr>
        <w:trPr>
          <w:trHeight w:val="316"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88"/>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4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130,428,919.47</w:t>
            </w:r>
            <w:r>
              <w:rPr>
                <w:rFonts w:ascii="Times New Roman"/>
                <w:spacing w:val="-1"/>
                <w:sz w:val="18"/>
              </w:rPr>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03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72.99</w:t>
            </w:r>
            <w:r>
              <w:rPr>
                <w:rFonts w:ascii="Times New Roman"/>
                <w:sz w:val="18"/>
              </w:rPr>
            </w:r>
          </w:p>
        </w:tc>
      </w:tr>
    </w:tbl>
    <w:p>
      <w:pPr>
        <w:spacing w:line="240" w:lineRule="auto" w:before="2"/>
        <w:rPr>
          <w:rFonts w:ascii="宋体" w:hAnsi="宋体" w:cs="宋体" w:eastAsia="宋体" w:hint="default"/>
          <w:sz w:val="25"/>
          <w:szCs w:val="25"/>
        </w:rPr>
      </w:pPr>
    </w:p>
    <w:p>
      <w:pPr>
        <w:pStyle w:val="Heading5"/>
        <w:spacing w:line="240" w:lineRule="auto" w:before="36"/>
        <w:ind w:left="233" w:right="28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93" w:right="283"/>
        <w:jc w:val="left"/>
      </w:pPr>
      <w:r>
        <w:rPr/>
        <w:pict>
          <v:group style="position:absolute;margin-left:55.70401pt;margin-top:43.987743pt;width:483.25pt;height:.5pt;mso-position-horizontal-relative:page;mso-position-vertical-relative:paragraph;z-index:-686032" coordorigin="1114,880" coordsize="9665,10">
            <v:group style="position:absolute;left:1119;top:885;width:4521;height:2" coordorigin="1119,885" coordsize="4521,2">
              <v:shape style="position:absolute;left:1119;top:885;width:4521;height:2" coordorigin="1119,885" coordsize="4521,0" path="m1119,885l5639,885e" filled="false" stroked="true" strokeweight=".47998pt" strokecolor="#000000">
                <v:path arrowok="t"/>
              </v:shape>
            </v:group>
            <v:group style="position:absolute;left:5625;top:885;width:10;height:2" coordorigin="5625,885" coordsize="10,2">
              <v:shape style="position:absolute;left:5625;top:885;width:10;height:2" coordorigin="5625,885" coordsize="10,0" path="m5625,885l5634,885e" filled="false" stroked="true" strokeweight=".47998pt" strokecolor="#000000">
                <v:path arrowok="t"/>
              </v:shape>
            </v:group>
            <v:group style="position:absolute;left:5634;top:885;width:2588;height:2" coordorigin="5634,885" coordsize="2588,2">
              <v:shape style="position:absolute;left:5634;top:885;width:2588;height:2" coordorigin="5634,885" coordsize="2588,0" path="m5634,885l8222,885e" filled="false" stroked="true" strokeweight=".47998pt" strokecolor="#000000">
                <v:path arrowok="t"/>
              </v:shape>
            </v:group>
            <v:group style="position:absolute;left:8208;top:885;width:10;height:2" coordorigin="8208,885" coordsize="10,2">
              <v:shape style="position:absolute;left:8208;top:885;width:10;height:2" coordorigin="8208,885" coordsize="10,0" path="m8208,885l8217,885e" filled="false" stroked="true" strokeweight=".47998pt" strokecolor="#000000">
                <v:path arrowok="t"/>
              </v:shape>
            </v:group>
            <v:group style="position:absolute;left:8217;top:885;width:2557;height:2" coordorigin="8217,885" coordsize="2557,2">
              <v:shape style="position:absolute;left:8217;top:885;width:2557;height:2" coordorigin="8217,885" coordsize="2557,0" path="m8217,885l10774,885e" filled="false" stroked="true" strokeweight=".47998pt" strokecolor="#000000">
                <v:path arrowok="t"/>
              </v:shape>
            </v:group>
            <w10:wrap type="none"/>
          </v:group>
        </w:pict>
      </w:r>
      <w:r>
        <w:rPr/>
        <w:t>（</w:t>
      </w:r>
      <w:r>
        <w:rPr>
          <w:rFonts w:ascii="Times New Roman" w:hAnsi="Times New Roman" w:cs="Times New Roman" w:eastAsia="Times New Roman" w:hint="default"/>
        </w:rPr>
        <w:t>1</w:t>
      </w:r>
      <w:r>
        <w:rPr/>
        <w:t>）按项目列示</w:t>
      </w:r>
    </w:p>
    <w:p>
      <w:pPr>
        <w:spacing w:line="240" w:lineRule="auto" w:before="7"/>
        <w:rPr>
          <w:rFonts w:ascii="宋体" w:hAnsi="宋体" w:cs="宋体" w:eastAsia="宋体" w:hint="default"/>
          <w:sz w:val="27"/>
          <w:szCs w:val="27"/>
        </w:rPr>
      </w:pPr>
    </w:p>
    <w:tbl>
      <w:tblPr>
        <w:tblW w:w="0" w:type="auto"/>
        <w:jc w:val="left"/>
        <w:tblInd w:w="1470" w:type="dxa"/>
        <w:tblLayout w:type="fixed"/>
        <w:tblCellMar>
          <w:top w:w="0" w:type="dxa"/>
          <w:left w:w="0" w:type="dxa"/>
          <w:bottom w:w="0" w:type="dxa"/>
          <w:right w:w="0" w:type="dxa"/>
        </w:tblCellMar>
        <w:tblLook w:val="01E0"/>
      </w:tblPr>
      <w:tblGrid>
        <w:gridCol w:w="3013"/>
        <w:gridCol w:w="2831"/>
        <w:gridCol w:w="1844"/>
      </w:tblGrid>
      <w:tr>
        <w:trPr>
          <w:trHeight w:val="275"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831" w:type="dxa"/>
            <w:tcBorders>
              <w:top w:val="nil" w:sz="6" w:space="0" w:color="auto"/>
              <w:left w:val="nil" w:sz="6" w:space="0" w:color="auto"/>
              <w:bottom w:val="nil" w:sz="6" w:space="0" w:color="auto"/>
              <w:right w:val="nil" w:sz="6" w:space="0" w:color="auto"/>
            </w:tcBorders>
          </w:tcPr>
          <w:p>
            <w:pPr>
              <w:pStyle w:val="TableParagraph"/>
              <w:spacing w:line="180" w:lineRule="exact"/>
              <w:ind w:left="118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180" w:lineRule="exact"/>
              <w:ind w:left="92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40"/>
          <w:pgMar w:top="1100" w:bottom="1180" w:left="90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221" w:type="dxa"/>
        <w:tblLayout w:type="fixed"/>
        <w:tblCellMar>
          <w:top w:w="0" w:type="dxa"/>
          <w:left w:w="0" w:type="dxa"/>
          <w:bottom w:w="0" w:type="dxa"/>
          <w:right w:w="0" w:type="dxa"/>
        </w:tblCellMar>
        <w:tblLook w:val="01E0"/>
      </w:tblPr>
      <w:tblGrid>
        <w:gridCol w:w="4080"/>
        <w:gridCol w:w="3195"/>
        <w:gridCol w:w="1630"/>
      </w:tblGrid>
      <w:tr>
        <w:trPr>
          <w:trHeight w:val="322"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186" w:lineRule="exact"/>
              <w:ind w:right="1358"/>
              <w:jc w:val="righ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5" w:type="dxa"/>
            <w:tcBorders>
              <w:top w:val="nil" w:sz="6" w:space="0" w:color="auto"/>
              <w:left w:val="nil" w:sz="6" w:space="0" w:color="auto"/>
              <w:bottom w:val="nil" w:sz="6" w:space="0" w:color="auto"/>
              <w:right w:val="nil" w:sz="6" w:space="0" w:color="auto"/>
            </w:tcBorders>
          </w:tcPr>
          <w:p>
            <w:pPr>
              <w:pStyle w:val="TableParagraph"/>
              <w:spacing w:line="204" w:lineRule="exact"/>
              <w:ind w:right="933"/>
              <w:jc w:val="right"/>
              <w:rPr>
                <w:rFonts w:ascii="Times New Roman" w:hAnsi="Times New Roman" w:cs="Times New Roman" w:eastAsia="Times New Roman" w:hint="default"/>
                <w:sz w:val="20"/>
                <w:szCs w:val="20"/>
              </w:rPr>
            </w:pPr>
            <w:r>
              <w:rPr>
                <w:rFonts w:ascii="Times New Roman"/>
                <w:w w:val="95"/>
                <w:sz w:val="20"/>
              </w:rPr>
              <w:t>554,584.25</w:t>
            </w:r>
            <w:r>
              <w:rPr>
                <w:rFonts w:ascii="Times New Roman"/>
                <w:sz w:val="20"/>
              </w:rPr>
            </w:r>
          </w:p>
        </w:tc>
        <w:tc>
          <w:tcPr>
            <w:tcW w:w="163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Times New Roman" w:hAnsi="Times New Roman" w:cs="Times New Roman" w:eastAsia="Times New Roman" w:hint="default"/>
                <w:sz w:val="18"/>
                <w:szCs w:val="18"/>
              </w:rPr>
            </w:pPr>
            <w:r>
              <w:rPr>
                <w:rFonts w:ascii="Times New Roman"/>
                <w:spacing w:val="-1"/>
                <w:sz w:val="18"/>
              </w:rPr>
              <w:t>614.43</w:t>
            </w:r>
          </w:p>
        </w:tc>
      </w:tr>
      <w:tr>
        <w:trPr>
          <w:trHeight w:val="313" w:hRule="exact"/>
        </w:trPr>
        <w:tc>
          <w:tcPr>
            <w:tcW w:w="4080"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67"/>
              <w:ind w:right="143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554,584.25</w:t>
            </w:r>
            <w:r>
              <w:rPr>
                <w:rFonts w:ascii="Times New Roman"/>
                <w:spacing w:val="-1"/>
                <w:sz w:val="18"/>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614.43</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73" w:right="0"/>
        <w:jc w:val="left"/>
      </w:pPr>
      <w:r>
        <w:rPr/>
        <w:t>（</w:t>
      </w:r>
      <w:r>
        <w:rPr>
          <w:rFonts w:ascii="Times New Roman" w:hAnsi="Times New Roman" w:cs="Times New Roman" w:eastAsia="Times New Roman" w:hint="default"/>
        </w:rPr>
        <w:t>2</w:t>
      </w:r>
      <w:r>
        <w:rPr/>
        <w:t>）按权益法核算的长期股权投资按投资单位分项列示投资收益</w:t>
      </w:r>
    </w:p>
    <w:p>
      <w:pPr>
        <w:spacing w:line="240" w:lineRule="auto" w:before="7"/>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811"/>
        <w:gridCol w:w="1771"/>
        <w:gridCol w:w="1533"/>
        <w:gridCol w:w="2629"/>
      </w:tblGrid>
      <w:tr>
        <w:trPr>
          <w:trHeight w:val="311"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180" w:lineRule="exact"/>
              <w:ind w:right="449"/>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629" w:type="dxa"/>
            <w:tcBorders>
              <w:top w:val="nil" w:sz="6" w:space="0" w:color="auto"/>
              <w:left w:val="nil" w:sz="6" w:space="0" w:color="auto"/>
              <w:bottom w:val="nil" w:sz="6" w:space="0" w:color="auto"/>
              <w:right w:val="nil" w:sz="6" w:space="0" w:color="auto"/>
            </w:tcBorders>
          </w:tcPr>
          <w:p>
            <w:pPr>
              <w:pStyle w:val="TableParagraph"/>
              <w:spacing w:line="180" w:lineRule="exact"/>
              <w:ind w:left="60"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445"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06"/>
              <w:jc w:val="right"/>
              <w:rPr>
                <w:rFonts w:ascii="Times New Roman" w:hAnsi="Times New Roman" w:cs="Times New Roman" w:eastAsia="Times New Roman" w:hint="default"/>
                <w:sz w:val="18"/>
                <w:szCs w:val="18"/>
              </w:rPr>
            </w:pPr>
            <w:r>
              <w:rPr>
                <w:rFonts w:ascii="Times New Roman"/>
                <w:spacing w:val="-1"/>
                <w:sz w:val="18"/>
              </w:rPr>
              <w:t>380,044.30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41" w:right="0"/>
              <w:jc w:val="left"/>
              <w:rPr>
                <w:rFonts w:ascii="Times New Roman" w:hAnsi="Times New Roman" w:cs="Times New Roman" w:eastAsia="Times New Roman" w:hint="default"/>
                <w:sz w:val="18"/>
                <w:szCs w:val="18"/>
              </w:rPr>
            </w:pPr>
            <w:r>
              <w:rPr>
                <w:rFonts w:ascii="Times New Roman"/>
                <w:sz w:val="18"/>
              </w:rPr>
              <w:t>113,115.19</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3" w:right="0"/>
              <w:jc w:val="center"/>
              <w:rPr>
                <w:rFonts w:ascii="宋体" w:hAnsi="宋体" w:cs="宋体" w:eastAsia="宋体" w:hint="default"/>
                <w:sz w:val="18"/>
                <w:szCs w:val="18"/>
              </w:rPr>
            </w:pPr>
            <w:r>
              <w:rPr>
                <w:rFonts w:ascii="宋体" w:hAnsi="宋体" w:cs="宋体" w:eastAsia="宋体" w:hint="default"/>
                <w:sz w:val="18"/>
                <w:szCs w:val="18"/>
              </w:rPr>
              <w:t>实现净利润增加</w:t>
            </w:r>
          </w:p>
        </w:tc>
      </w:tr>
      <w:tr>
        <w:trPr>
          <w:trHeight w:val="439"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6"/>
              <w:jc w:val="right"/>
              <w:rPr>
                <w:rFonts w:ascii="Times New Roman" w:hAnsi="Times New Roman" w:cs="Times New Roman" w:eastAsia="Times New Roman" w:hint="default"/>
                <w:sz w:val="18"/>
                <w:szCs w:val="18"/>
              </w:rPr>
            </w:pPr>
            <w:r>
              <w:rPr>
                <w:rFonts w:ascii="Times New Roman"/>
                <w:spacing w:val="-1"/>
                <w:sz w:val="18"/>
              </w:rPr>
              <w:t>174,539.95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08" w:right="0"/>
              <w:jc w:val="left"/>
              <w:rPr>
                <w:rFonts w:ascii="Times New Roman" w:hAnsi="Times New Roman" w:cs="Times New Roman" w:eastAsia="Times New Roman" w:hint="default"/>
                <w:sz w:val="18"/>
                <w:szCs w:val="18"/>
              </w:rPr>
            </w:pPr>
            <w:r>
              <w:rPr>
                <w:rFonts w:ascii="Times New Roman"/>
                <w:sz w:val="18"/>
              </w:rPr>
              <w:t>-112,500.76</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 w:right="0"/>
              <w:jc w:val="center"/>
              <w:rPr>
                <w:rFonts w:ascii="宋体" w:hAnsi="宋体" w:cs="宋体" w:eastAsia="宋体" w:hint="default"/>
                <w:sz w:val="18"/>
                <w:szCs w:val="18"/>
              </w:rPr>
            </w:pPr>
            <w:r>
              <w:rPr>
                <w:rFonts w:ascii="宋体" w:hAnsi="宋体" w:cs="宋体" w:eastAsia="宋体" w:hint="default"/>
                <w:sz w:val="18"/>
                <w:szCs w:val="18"/>
              </w:rPr>
              <w:t>实现净利润增加</w:t>
            </w:r>
          </w:p>
        </w:tc>
      </w:tr>
      <w:tr>
        <w:trPr>
          <w:trHeight w:val="315"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554,584.25</w:t>
            </w:r>
            <w:r>
              <w:rPr>
                <w:rFonts w:ascii="Times New Roman"/>
                <w:spacing w:val="-1"/>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9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614.43</w:t>
            </w:r>
            <w:r>
              <w:rPr>
                <w:rFonts w:ascii="Times New Roman"/>
                <w:sz w:val="18"/>
              </w:rPr>
            </w:r>
          </w:p>
        </w:tc>
        <w:tc>
          <w:tcPr>
            <w:tcW w:w="2629"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1"/>
          <w:szCs w:val="11"/>
        </w:rPr>
      </w:pPr>
    </w:p>
    <w:p>
      <w:pPr>
        <w:pStyle w:val="BodyText"/>
        <w:spacing w:line="240" w:lineRule="auto" w:before="44"/>
        <w:ind w:left="673" w:right="0"/>
        <w:jc w:val="left"/>
      </w:pPr>
      <w:r>
        <w:rPr/>
        <w:t>（</w:t>
      </w:r>
      <w:r>
        <w:rPr>
          <w:rFonts w:ascii="Times New Roman" w:hAnsi="Times New Roman" w:cs="Times New Roman" w:eastAsia="Times New Roman" w:hint="default"/>
        </w:rPr>
        <w:t>3</w:t>
      </w:r>
      <w:r>
        <w:rPr/>
        <w:t>）本期不存在投资收益汇回受重大限制的被投资单位。</w:t>
      </w:r>
    </w:p>
    <w:p>
      <w:pPr>
        <w:spacing w:line="240" w:lineRule="auto" w:before="7"/>
        <w:rPr>
          <w:rFonts w:ascii="宋体" w:hAnsi="宋体" w:cs="宋体" w:eastAsia="宋体" w:hint="default"/>
          <w:sz w:val="24"/>
          <w:szCs w:val="24"/>
        </w:rPr>
      </w:pPr>
    </w:p>
    <w:p>
      <w:pPr>
        <w:pStyle w:val="Heading5"/>
        <w:spacing w:line="240" w:lineRule="auto"/>
        <w:ind w:left="313" w:right="0"/>
        <w:jc w:val="left"/>
        <w:rPr>
          <w:b w:val="0"/>
          <w:bCs w:val="0"/>
        </w:rPr>
      </w:pPr>
      <w:r>
        <w:rPr>
          <w:rFonts w:ascii="Times New Roman" w:hAnsi="Times New Roman" w:cs="Times New Roman" w:eastAsia="Times New Roman" w:hint="default"/>
        </w:rPr>
        <w:t>6</w:t>
      </w:r>
      <w:r>
        <w:rPr/>
        <w:t>、净利润调节为经营活动现金流量的信息</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tbl>
      <w:tblPr>
        <w:tblW w:w="0" w:type="auto"/>
        <w:jc w:val="left"/>
        <w:tblInd w:w="282" w:type="dxa"/>
        <w:tblLayout w:type="fixed"/>
        <w:tblCellMar>
          <w:top w:w="0" w:type="dxa"/>
          <w:left w:w="0" w:type="dxa"/>
          <w:bottom w:w="0" w:type="dxa"/>
          <w:right w:w="0" w:type="dxa"/>
        </w:tblCellMar>
        <w:tblLook w:val="01E0"/>
      </w:tblPr>
      <w:tblGrid>
        <w:gridCol w:w="5404"/>
        <w:gridCol w:w="2478"/>
        <w:gridCol w:w="1912"/>
      </w:tblGrid>
      <w:tr>
        <w:trPr>
          <w:trHeight w:val="272" w:hRule="exact"/>
        </w:trPr>
        <w:tc>
          <w:tcPr>
            <w:tcW w:w="5404" w:type="dxa"/>
            <w:tcBorders>
              <w:top w:val="nil" w:sz="6" w:space="0" w:color="auto"/>
              <w:left w:val="nil" w:sz="6" w:space="0" w:color="auto"/>
              <w:bottom w:val="single" w:sz="4" w:space="0" w:color="000000"/>
              <w:right w:val="nil" w:sz="6" w:space="0" w:color="auto"/>
            </w:tcBorders>
          </w:tcPr>
          <w:p>
            <w:pPr>
              <w:pStyle w:val="TableParagraph"/>
              <w:spacing w:line="180" w:lineRule="exact"/>
              <w:ind w:left="21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78" w:type="dxa"/>
            <w:tcBorders>
              <w:top w:val="nil" w:sz="6" w:space="0" w:color="auto"/>
              <w:left w:val="nil" w:sz="6" w:space="0" w:color="auto"/>
              <w:bottom w:val="single" w:sz="4" w:space="0" w:color="000000"/>
              <w:right w:val="nil" w:sz="6" w:space="0" w:color="auto"/>
            </w:tcBorders>
          </w:tcPr>
          <w:p>
            <w:pPr>
              <w:pStyle w:val="TableParagraph"/>
              <w:spacing w:line="180"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12" w:type="dxa"/>
            <w:tcBorders>
              <w:top w:val="nil" w:sz="6" w:space="0" w:color="auto"/>
              <w:left w:val="nil" w:sz="6" w:space="0" w:color="auto"/>
              <w:bottom w:val="single" w:sz="4" w:space="0" w:color="000000"/>
              <w:right w:val="nil" w:sz="6" w:space="0" w:color="auto"/>
            </w:tcBorders>
          </w:tcPr>
          <w:p>
            <w:pPr>
              <w:pStyle w:val="TableParagraph"/>
              <w:spacing w:line="180" w:lineRule="exact"/>
              <w:ind w:left="63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2" w:hRule="exact"/>
        </w:trPr>
        <w:tc>
          <w:tcPr>
            <w:tcW w:w="540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478" w:type="dxa"/>
            <w:tcBorders>
              <w:top w:val="single" w:sz="4" w:space="0" w:color="000000"/>
              <w:left w:val="nil" w:sz="6" w:space="0" w:color="auto"/>
              <w:bottom w:val="nil" w:sz="6" w:space="0" w:color="auto"/>
              <w:right w:val="nil" w:sz="6" w:space="0" w:color="auto"/>
            </w:tcBorders>
          </w:tcPr>
          <w:p>
            <w:pPr/>
          </w:p>
        </w:tc>
        <w:tc>
          <w:tcPr>
            <w:tcW w:w="1912" w:type="dxa"/>
            <w:tcBorders>
              <w:top w:val="single" w:sz="4" w:space="0" w:color="000000"/>
              <w:left w:val="nil" w:sz="6" w:space="0" w:color="auto"/>
              <w:bottom w:val="nil" w:sz="6" w:space="0" w:color="auto"/>
              <w:right w:val="nil" w:sz="6" w:space="0" w:color="auto"/>
            </w:tcBorders>
          </w:tcPr>
          <w:p>
            <w:pP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8"/>
              <w:jc w:val="right"/>
              <w:rPr>
                <w:rFonts w:ascii="Times New Roman" w:hAnsi="Times New Roman" w:cs="Times New Roman" w:eastAsia="Times New Roman" w:hint="default"/>
                <w:sz w:val="18"/>
                <w:szCs w:val="18"/>
              </w:rPr>
            </w:pPr>
            <w:r>
              <w:rPr>
                <w:rFonts w:ascii="Times New Roman"/>
                <w:spacing w:val="-1"/>
                <w:sz w:val="18"/>
              </w:rPr>
              <w:t>24,005,845.03</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5"/>
              <w:jc w:val="right"/>
              <w:rPr>
                <w:rFonts w:ascii="Times New Roman" w:hAnsi="Times New Roman" w:cs="Times New Roman" w:eastAsia="Times New Roman" w:hint="default"/>
                <w:sz w:val="18"/>
                <w:szCs w:val="18"/>
              </w:rPr>
            </w:pPr>
            <w:r>
              <w:rPr>
                <w:rFonts w:ascii="Times New Roman"/>
                <w:spacing w:val="-1"/>
                <w:sz w:val="18"/>
              </w:rPr>
              <w:t>32,955,783.45</w:t>
            </w:r>
          </w:p>
        </w:tc>
      </w:tr>
      <w:tr>
        <w:trPr>
          <w:trHeight w:val="439"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68"/>
              <w:jc w:val="right"/>
              <w:rPr>
                <w:rFonts w:ascii="Times New Roman" w:hAnsi="Times New Roman" w:cs="Times New Roman" w:eastAsia="Times New Roman" w:hint="default"/>
                <w:sz w:val="18"/>
                <w:szCs w:val="18"/>
              </w:rPr>
            </w:pPr>
            <w:r>
              <w:rPr>
                <w:rFonts w:ascii="Times New Roman"/>
                <w:spacing w:val="-1"/>
                <w:sz w:val="18"/>
              </w:rPr>
              <w:t>725,737.99</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pacing w:val="-1"/>
                <w:sz w:val="18"/>
              </w:rPr>
              <w:t>658,739.53</w:t>
            </w: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68"/>
              <w:jc w:val="right"/>
              <w:rPr>
                <w:rFonts w:ascii="Times New Roman" w:hAnsi="Times New Roman" w:cs="Times New Roman" w:eastAsia="Times New Roman" w:hint="default"/>
                <w:sz w:val="18"/>
                <w:szCs w:val="18"/>
              </w:rPr>
            </w:pPr>
            <w:r>
              <w:rPr>
                <w:rFonts w:ascii="Times New Roman"/>
                <w:spacing w:val="-1"/>
                <w:sz w:val="18"/>
              </w:rPr>
              <w:t>2,812,229.92</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pacing w:val="-1"/>
                <w:sz w:val="18"/>
              </w:rPr>
              <w:t>2,058,975.58</w:t>
            </w:r>
          </w:p>
        </w:tc>
      </w:tr>
      <w:tr>
        <w:trPr>
          <w:trHeight w:val="441"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8"/>
              <w:jc w:val="right"/>
              <w:rPr>
                <w:rFonts w:ascii="Times New Roman" w:hAnsi="Times New Roman" w:cs="Times New Roman" w:eastAsia="Times New Roman" w:hint="default"/>
                <w:sz w:val="18"/>
                <w:szCs w:val="18"/>
              </w:rPr>
            </w:pPr>
            <w:r>
              <w:rPr>
                <w:rFonts w:ascii="Times New Roman"/>
                <w:spacing w:val="-1"/>
                <w:sz w:val="18"/>
              </w:rPr>
              <w:t>213,585.34</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5"/>
              <w:jc w:val="right"/>
              <w:rPr>
                <w:rFonts w:ascii="Times New Roman" w:hAnsi="Times New Roman" w:cs="Times New Roman" w:eastAsia="Times New Roman" w:hint="default"/>
                <w:sz w:val="18"/>
                <w:szCs w:val="18"/>
              </w:rPr>
            </w:pPr>
            <w:r>
              <w:rPr>
                <w:rFonts w:ascii="Times New Roman"/>
                <w:spacing w:val="-1"/>
                <w:sz w:val="18"/>
              </w:rPr>
              <w:t>232,801.70</w:t>
            </w:r>
          </w:p>
        </w:tc>
      </w:tr>
      <w:tr>
        <w:trPr>
          <w:trHeight w:val="439"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835"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w w:val="95"/>
                <w:sz w:val="18"/>
              </w:rPr>
              <w:t>8,474.20</w:t>
            </w: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444"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5"/>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68"/>
              <w:jc w:val="right"/>
              <w:rPr>
                <w:rFonts w:ascii="Times New Roman" w:hAnsi="Times New Roman" w:cs="Times New Roman" w:eastAsia="Times New Roman" w:hint="default"/>
                <w:sz w:val="18"/>
                <w:szCs w:val="18"/>
              </w:rPr>
            </w:pPr>
            <w:r>
              <w:rPr>
                <w:rFonts w:ascii="Times New Roman"/>
                <w:spacing w:val="-1"/>
                <w:sz w:val="18"/>
              </w:rPr>
              <w:t>-554,584.25</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4"/>
              <w:jc w:val="right"/>
              <w:rPr>
                <w:rFonts w:ascii="Times New Roman" w:hAnsi="Times New Roman" w:cs="Times New Roman" w:eastAsia="Times New Roman" w:hint="default"/>
                <w:sz w:val="18"/>
                <w:szCs w:val="18"/>
              </w:rPr>
            </w:pPr>
            <w:r>
              <w:rPr>
                <w:rFonts w:ascii="Times New Roman"/>
                <w:spacing w:val="-1"/>
                <w:sz w:val="18"/>
              </w:rPr>
              <w:t>-614.43</w:t>
            </w: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7"/>
              <w:jc w:val="right"/>
              <w:rPr>
                <w:rFonts w:ascii="Times New Roman" w:hAnsi="Times New Roman" w:cs="Times New Roman" w:eastAsia="Times New Roman" w:hint="default"/>
                <w:sz w:val="18"/>
                <w:szCs w:val="18"/>
              </w:rPr>
            </w:pPr>
            <w:r>
              <w:rPr>
                <w:rFonts w:ascii="Times New Roman"/>
                <w:spacing w:val="-1"/>
                <w:sz w:val="18"/>
              </w:rPr>
              <w:t>-1,841.21</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5"/>
              <w:jc w:val="right"/>
              <w:rPr>
                <w:rFonts w:ascii="Times New Roman" w:hAnsi="Times New Roman" w:cs="Times New Roman" w:eastAsia="Times New Roman" w:hint="default"/>
                <w:sz w:val="18"/>
                <w:szCs w:val="18"/>
              </w:rPr>
            </w:pPr>
            <w:r>
              <w:rPr>
                <w:rFonts w:ascii="Times New Roman"/>
                <w:spacing w:val="-1"/>
                <w:sz w:val="18"/>
              </w:rPr>
              <w:t>-49,640.25</w:t>
            </w:r>
          </w:p>
        </w:tc>
      </w:tr>
      <w:tr>
        <w:trPr>
          <w:trHeight w:val="435"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446"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68"/>
              <w:jc w:val="right"/>
              <w:rPr>
                <w:rFonts w:ascii="Times New Roman" w:hAnsi="Times New Roman" w:cs="Times New Roman" w:eastAsia="Times New Roman" w:hint="default"/>
                <w:sz w:val="18"/>
                <w:szCs w:val="18"/>
              </w:rPr>
            </w:pPr>
            <w:r>
              <w:rPr>
                <w:rFonts w:ascii="Times New Roman"/>
                <w:spacing w:val="-1"/>
                <w:sz w:val="18"/>
              </w:rPr>
              <w:t>-7,442,901.86</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5"/>
              <w:jc w:val="right"/>
              <w:rPr>
                <w:rFonts w:ascii="Times New Roman" w:hAnsi="Times New Roman" w:cs="Times New Roman" w:eastAsia="Times New Roman" w:hint="default"/>
                <w:sz w:val="18"/>
                <w:szCs w:val="18"/>
              </w:rPr>
            </w:pPr>
            <w:r>
              <w:rPr>
                <w:rFonts w:ascii="Times New Roman"/>
                <w:spacing w:val="-1"/>
                <w:sz w:val="18"/>
              </w:rPr>
              <w:t>-7,851,312.20</w:t>
            </w:r>
          </w:p>
        </w:tc>
      </w:tr>
      <w:tr>
        <w:trPr>
          <w:trHeight w:val="440"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8"/>
              <w:jc w:val="right"/>
              <w:rPr>
                <w:rFonts w:ascii="Times New Roman" w:hAnsi="Times New Roman" w:cs="Times New Roman" w:eastAsia="Times New Roman" w:hint="default"/>
                <w:sz w:val="18"/>
                <w:szCs w:val="18"/>
              </w:rPr>
            </w:pPr>
            <w:r>
              <w:rPr>
                <w:rFonts w:ascii="Times New Roman"/>
                <w:spacing w:val="-1"/>
                <w:sz w:val="18"/>
              </w:rPr>
              <w:t>-2,011,176.27</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4"/>
              <w:jc w:val="right"/>
              <w:rPr>
                <w:rFonts w:ascii="Times New Roman" w:hAnsi="Times New Roman" w:cs="Times New Roman" w:eastAsia="Times New Roman" w:hint="default"/>
                <w:sz w:val="18"/>
                <w:szCs w:val="18"/>
              </w:rPr>
            </w:pPr>
            <w:r>
              <w:rPr>
                <w:rFonts w:ascii="Times New Roman"/>
                <w:spacing w:val="-1"/>
                <w:sz w:val="18"/>
              </w:rPr>
              <w:t>-6,367,531.21</w:t>
            </w:r>
          </w:p>
        </w:tc>
      </w:tr>
      <w:tr>
        <w:trPr>
          <w:trHeight w:val="439"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68"/>
              <w:jc w:val="right"/>
              <w:rPr>
                <w:rFonts w:ascii="Times New Roman" w:hAnsi="Times New Roman" w:cs="Times New Roman" w:eastAsia="Times New Roman" w:hint="default"/>
                <w:sz w:val="18"/>
                <w:szCs w:val="18"/>
              </w:rPr>
            </w:pPr>
            <w:r>
              <w:rPr>
                <w:rFonts w:ascii="Times New Roman"/>
                <w:spacing w:val="-1"/>
                <w:sz w:val="18"/>
              </w:rPr>
              <w:t>3,000,178.56</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pacing w:val="-1"/>
                <w:sz w:val="18"/>
              </w:rPr>
              <w:t>17,321,826.98</w:t>
            </w:r>
          </w:p>
        </w:tc>
      </w:tr>
      <w:tr>
        <w:trPr>
          <w:trHeight w:val="435"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7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321" w:hRule="exact"/>
        </w:trPr>
        <w:tc>
          <w:tcPr>
            <w:tcW w:w="54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20,747,073.25</w:t>
            </w:r>
            <w:r>
              <w:rPr>
                <w:rFonts w:ascii="Times New Roman"/>
                <w:spacing w:val="-1"/>
                <w:sz w:val="18"/>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39,127,503.35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79" w:top="1100" w:bottom="1180" w:left="820" w:right="9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202" w:type="dxa"/>
        <w:tblLayout w:type="fixed"/>
        <w:tblCellMar>
          <w:top w:w="0" w:type="dxa"/>
          <w:left w:w="0" w:type="dxa"/>
          <w:bottom w:w="0" w:type="dxa"/>
          <w:right w:w="0" w:type="dxa"/>
        </w:tblCellMar>
        <w:tblLook w:val="01E0"/>
      </w:tblPr>
      <w:tblGrid>
        <w:gridCol w:w="4634"/>
        <w:gridCol w:w="3202"/>
        <w:gridCol w:w="1958"/>
      </w:tblGrid>
      <w:tr>
        <w:trPr>
          <w:trHeight w:val="273" w:hRule="exact"/>
        </w:trPr>
        <w:tc>
          <w:tcPr>
            <w:tcW w:w="4634" w:type="dxa"/>
            <w:tcBorders>
              <w:top w:val="nil" w:sz="6" w:space="0" w:color="auto"/>
              <w:left w:val="nil" w:sz="6" w:space="0" w:color="auto"/>
              <w:bottom w:val="single" w:sz="4" w:space="0" w:color="000000"/>
              <w:right w:val="nil" w:sz="6" w:space="0" w:color="auto"/>
            </w:tcBorders>
          </w:tcPr>
          <w:p>
            <w:pPr>
              <w:pStyle w:val="TableParagraph"/>
              <w:spacing w:line="180" w:lineRule="exact"/>
              <w:ind w:left="98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02" w:type="dxa"/>
            <w:tcBorders>
              <w:top w:val="nil" w:sz="6" w:space="0" w:color="auto"/>
              <w:left w:val="nil" w:sz="6" w:space="0" w:color="auto"/>
              <w:bottom w:val="single" w:sz="4" w:space="0" w:color="000000"/>
              <w:right w:val="nil" w:sz="6" w:space="0" w:color="auto"/>
            </w:tcBorders>
          </w:tcPr>
          <w:p>
            <w:pPr>
              <w:pStyle w:val="TableParagraph"/>
              <w:spacing w:line="180" w:lineRule="exact"/>
              <w:ind w:left="167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58" w:type="dxa"/>
            <w:tcBorders>
              <w:top w:val="nil" w:sz="6" w:space="0" w:color="auto"/>
              <w:left w:val="nil" w:sz="6" w:space="0" w:color="auto"/>
              <w:bottom w:val="single" w:sz="4" w:space="0" w:color="000000"/>
              <w:right w:val="nil" w:sz="6" w:space="0" w:color="auto"/>
            </w:tcBorders>
          </w:tcPr>
          <w:p>
            <w:pPr>
              <w:pStyle w:val="TableParagraph"/>
              <w:spacing w:line="180" w:lineRule="exact"/>
              <w:ind w:left="135"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3" w:hRule="exact"/>
        </w:trPr>
        <w:tc>
          <w:tcPr>
            <w:tcW w:w="46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3202" w:type="dxa"/>
            <w:tcBorders>
              <w:top w:val="single" w:sz="4" w:space="0" w:color="000000"/>
              <w:left w:val="nil" w:sz="6" w:space="0" w:color="auto"/>
              <w:bottom w:val="nil" w:sz="6" w:space="0" w:color="auto"/>
              <w:right w:val="nil" w:sz="6" w:space="0" w:color="auto"/>
            </w:tcBorders>
          </w:tcPr>
          <w:p>
            <w:pPr/>
          </w:p>
        </w:tc>
        <w:tc>
          <w:tcPr>
            <w:tcW w:w="1958" w:type="dxa"/>
            <w:tcBorders>
              <w:top w:val="single" w:sz="4" w:space="0" w:color="000000"/>
              <w:left w:val="nil" w:sz="6" w:space="0" w:color="auto"/>
              <w:bottom w:val="nil" w:sz="6" w:space="0" w:color="auto"/>
              <w:right w:val="nil" w:sz="6" w:space="0" w:color="auto"/>
            </w:tcBorders>
          </w:tcPr>
          <w:p>
            <w:pPr/>
          </w:p>
        </w:tc>
      </w:tr>
      <w:tr>
        <w:trPr>
          <w:trHeight w:val="434"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20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440"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20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440"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20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444"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20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440"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2"/>
              <w:jc w:val="right"/>
              <w:rPr>
                <w:rFonts w:ascii="Times New Roman" w:hAnsi="Times New Roman" w:cs="Times New Roman" w:eastAsia="Times New Roman" w:hint="default"/>
                <w:sz w:val="18"/>
                <w:szCs w:val="18"/>
              </w:rPr>
            </w:pPr>
            <w:r>
              <w:rPr>
                <w:rFonts w:ascii="Times New Roman"/>
                <w:spacing w:val="-1"/>
                <w:sz w:val="18"/>
              </w:rPr>
              <w:t>351,390,849.72</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7" w:right="0"/>
              <w:jc w:val="center"/>
              <w:rPr>
                <w:rFonts w:ascii="Times New Roman" w:hAnsi="Times New Roman" w:cs="Times New Roman" w:eastAsia="Times New Roman" w:hint="default"/>
                <w:sz w:val="18"/>
                <w:szCs w:val="18"/>
              </w:rPr>
            </w:pPr>
            <w:r>
              <w:rPr>
                <w:rFonts w:ascii="Times New Roman"/>
                <w:sz w:val="18"/>
              </w:rPr>
              <w:t>366,002,648.15</w:t>
            </w:r>
          </w:p>
        </w:tc>
      </w:tr>
      <w:tr>
        <w:trPr>
          <w:trHeight w:val="440"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2"/>
              <w:jc w:val="right"/>
              <w:rPr>
                <w:rFonts w:ascii="Times New Roman" w:hAnsi="Times New Roman" w:cs="Times New Roman" w:eastAsia="Times New Roman" w:hint="default"/>
                <w:sz w:val="18"/>
                <w:szCs w:val="18"/>
              </w:rPr>
            </w:pPr>
            <w:r>
              <w:rPr>
                <w:rFonts w:ascii="Times New Roman"/>
                <w:spacing w:val="-1"/>
                <w:sz w:val="18"/>
              </w:rPr>
              <w:t>366,002,648.15</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7" w:right="0"/>
              <w:jc w:val="center"/>
              <w:rPr>
                <w:rFonts w:ascii="Times New Roman" w:hAnsi="Times New Roman" w:cs="Times New Roman" w:eastAsia="Times New Roman" w:hint="default"/>
                <w:sz w:val="18"/>
                <w:szCs w:val="18"/>
              </w:rPr>
            </w:pPr>
            <w:r>
              <w:rPr>
                <w:rFonts w:ascii="Times New Roman"/>
                <w:sz w:val="18"/>
              </w:rPr>
              <w:t>435,484,382.51</w:t>
            </w:r>
          </w:p>
        </w:tc>
      </w:tr>
      <w:tr>
        <w:trPr>
          <w:trHeight w:val="435"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20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441"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320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321"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22"/>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-14,611,798.43</w:t>
            </w:r>
            <w:r>
              <w:rPr>
                <w:rFonts w:ascii="Times New Roman"/>
                <w:spacing w:val="-1"/>
                <w:sz w:val="18"/>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48"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-69,481,734.36</w:t>
            </w:r>
            <w:r>
              <w:rPr>
                <w:rFonts w:ascii="Times New Roman"/>
                <w:sz w:val="18"/>
              </w:rPr>
            </w:r>
          </w:p>
        </w:tc>
      </w:tr>
    </w:tbl>
    <w:p>
      <w:pPr>
        <w:spacing w:line="240" w:lineRule="auto" w:before="2"/>
        <w:rPr>
          <w:rFonts w:ascii="宋体" w:hAnsi="宋体" w:cs="宋体" w:eastAsia="宋体" w:hint="default"/>
          <w:b/>
          <w:bCs/>
          <w:sz w:val="25"/>
          <w:szCs w:val="25"/>
        </w:rPr>
      </w:pPr>
    </w:p>
    <w:p>
      <w:pPr>
        <w:pStyle w:val="Heading5"/>
        <w:spacing w:line="240" w:lineRule="auto" w:before="36"/>
        <w:ind w:left="233" w:right="283"/>
        <w:jc w:val="left"/>
        <w:rPr>
          <w:b w:val="0"/>
          <w:bCs w:val="0"/>
        </w:rPr>
      </w:pPr>
      <w:r>
        <w:rPr>
          <w:rFonts w:ascii="Times New Roman" w:hAnsi="Times New Roman" w:cs="Times New Roman" w:eastAsia="Times New Roman" w:hint="default"/>
        </w:rPr>
        <w:t>7</w:t>
      </w:r>
      <w:r>
        <w:rPr/>
        <w:t>、现金与现金等价物的构成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202" w:type="dxa"/>
        <w:tblLayout w:type="fixed"/>
        <w:tblCellMar>
          <w:top w:w="0" w:type="dxa"/>
          <w:left w:w="0" w:type="dxa"/>
          <w:bottom w:w="0" w:type="dxa"/>
          <w:right w:w="0" w:type="dxa"/>
        </w:tblCellMar>
        <w:tblLook w:val="01E0"/>
      </w:tblPr>
      <w:tblGrid>
        <w:gridCol w:w="4660"/>
        <w:gridCol w:w="3176"/>
        <w:gridCol w:w="1864"/>
      </w:tblGrid>
      <w:tr>
        <w:trPr>
          <w:trHeight w:val="275" w:hRule="exact"/>
        </w:trPr>
        <w:tc>
          <w:tcPr>
            <w:tcW w:w="4660" w:type="dxa"/>
            <w:tcBorders>
              <w:top w:val="nil" w:sz="6" w:space="0" w:color="auto"/>
              <w:left w:val="nil" w:sz="6" w:space="0" w:color="auto"/>
              <w:bottom w:val="single" w:sz="4" w:space="0" w:color="000000"/>
              <w:right w:val="nil" w:sz="6" w:space="0" w:color="auto"/>
            </w:tcBorders>
          </w:tcPr>
          <w:p>
            <w:pPr>
              <w:pStyle w:val="TableParagraph"/>
              <w:spacing w:line="180" w:lineRule="exact"/>
              <w:ind w:right="158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76" w:type="dxa"/>
            <w:tcBorders>
              <w:top w:val="nil" w:sz="6" w:space="0" w:color="auto"/>
              <w:left w:val="nil" w:sz="6" w:space="0" w:color="auto"/>
              <w:bottom w:val="single" w:sz="4" w:space="0" w:color="000000"/>
              <w:right w:val="nil" w:sz="6" w:space="0" w:color="auto"/>
            </w:tcBorders>
          </w:tcPr>
          <w:p>
            <w:pPr>
              <w:pStyle w:val="TableParagraph"/>
              <w:spacing w:line="180" w:lineRule="exact"/>
              <w:ind w:left="17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64" w:type="dxa"/>
            <w:tcBorders>
              <w:top w:val="nil" w:sz="6" w:space="0" w:color="auto"/>
              <w:left w:val="nil" w:sz="6" w:space="0" w:color="auto"/>
              <w:bottom w:val="single" w:sz="4" w:space="0" w:color="000000"/>
              <w:right w:val="nil" w:sz="6" w:space="0" w:color="auto"/>
            </w:tcBorders>
          </w:tcPr>
          <w:p>
            <w:pPr>
              <w:pStyle w:val="TableParagraph"/>
              <w:spacing w:line="180" w:lineRule="exact"/>
              <w:ind w:left="59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1" w:hRule="exact"/>
        </w:trPr>
        <w:tc>
          <w:tcPr>
            <w:tcW w:w="46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7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351,390,849.72</w:t>
            </w:r>
            <w:r>
              <w:rPr>
                <w:rFonts w:ascii="Times New Roman"/>
                <w:spacing w:val="-1"/>
                <w:sz w:val="18"/>
              </w:rPr>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366,002,648.15</w:t>
            </w:r>
            <w:r>
              <w:rPr>
                <w:rFonts w:ascii="Times New Roman"/>
                <w:spacing w:val="-1"/>
                <w:sz w:val="18"/>
              </w:rPr>
            </w:r>
          </w:p>
        </w:tc>
      </w:tr>
      <w:tr>
        <w:trPr>
          <w:trHeight w:val="440"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9"/>
              <w:jc w:val="right"/>
              <w:rPr>
                <w:rFonts w:ascii="Times New Roman" w:hAnsi="Times New Roman" w:cs="Times New Roman" w:eastAsia="Times New Roman" w:hint="default"/>
                <w:sz w:val="18"/>
                <w:szCs w:val="18"/>
              </w:rPr>
            </w:pPr>
            <w:r>
              <w:rPr>
                <w:rFonts w:ascii="Times New Roman"/>
                <w:spacing w:val="-1"/>
                <w:sz w:val="18"/>
              </w:rPr>
              <w:t>104,445.56</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w w:val="95"/>
                <w:sz w:val="18"/>
              </w:rPr>
              <w:t>1,972.58</w:t>
            </w:r>
          </w:p>
        </w:tc>
      </w:tr>
      <w:tr>
        <w:trPr>
          <w:trHeight w:val="441"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66"/>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9"/>
              <w:jc w:val="right"/>
              <w:rPr>
                <w:rFonts w:ascii="Times New Roman" w:hAnsi="Times New Roman" w:cs="Times New Roman" w:eastAsia="Times New Roman" w:hint="default"/>
                <w:sz w:val="18"/>
                <w:szCs w:val="18"/>
              </w:rPr>
            </w:pPr>
            <w:r>
              <w:rPr>
                <w:rFonts w:ascii="Times New Roman"/>
                <w:spacing w:val="-1"/>
                <w:sz w:val="18"/>
              </w:rPr>
              <w:t>351,286,404.16</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5"/>
              <w:jc w:val="right"/>
              <w:rPr>
                <w:rFonts w:ascii="Times New Roman" w:hAnsi="Times New Roman" w:cs="Times New Roman" w:eastAsia="Times New Roman" w:hint="default"/>
                <w:sz w:val="18"/>
                <w:szCs w:val="18"/>
              </w:rPr>
            </w:pPr>
            <w:r>
              <w:rPr>
                <w:rFonts w:ascii="Times New Roman"/>
                <w:spacing w:val="-1"/>
                <w:sz w:val="18"/>
              </w:rPr>
              <w:t>366,000,675.57</w:t>
            </w:r>
          </w:p>
        </w:tc>
      </w:tr>
      <w:tr>
        <w:trPr>
          <w:trHeight w:val="434"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17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
        </w:tc>
      </w:tr>
      <w:tr>
        <w:trPr>
          <w:trHeight w:val="440"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17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
        </w:tc>
      </w:tr>
      <w:tr>
        <w:trPr>
          <w:trHeight w:val="445" w:hRule="exact"/>
        </w:trPr>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351,390,849.72</w:t>
            </w:r>
            <w:r>
              <w:rPr>
                <w:rFonts w:ascii="Times New Roman"/>
                <w:spacing w:val="-1"/>
                <w:sz w:val="18"/>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366,002,648.15</w:t>
            </w:r>
            <w:r>
              <w:rPr>
                <w:rFonts w:ascii="Times New Roman"/>
                <w:spacing w:val="-1"/>
                <w:sz w:val="18"/>
              </w:rPr>
            </w:r>
          </w:p>
        </w:tc>
      </w:tr>
      <w:tr>
        <w:trPr>
          <w:trHeight w:val="305" w:hRule="exact"/>
        </w:trPr>
        <w:tc>
          <w:tcPr>
            <w:tcW w:w="78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6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b/>
          <w:bCs/>
          <w:sz w:val="24"/>
          <w:szCs w:val="24"/>
        </w:rPr>
      </w:pPr>
    </w:p>
    <w:p>
      <w:pPr>
        <w:pStyle w:val="Heading3"/>
        <w:spacing w:line="240" w:lineRule="auto" w:before="26"/>
        <w:ind w:left="233" w:right="28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33" w:right="283"/>
        <w:jc w:val="left"/>
        <w:rPr>
          <w:b w:val="0"/>
          <w:bCs w:val="0"/>
        </w:rPr>
      </w:pPr>
      <w:r>
        <w:rPr>
          <w:rFonts w:ascii="Times New Roman" w:hAnsi="Times New Roman" w:cs="Times New Roman" w:eastAsia="Times New Roman" w:hint="default"/>
        </w:rPr>
        <w:t>1</w:t>
      </w:r>
      <w:r>
        <w:rPr/>
        <w:t>、净资产收益率和每股收益</w:t>
      </w:r>
      <w:r>
        <w:rPr>
          <w:b w:val="0"/>
          <w:bCs w:val="0"/>
        </w:rPr>
      </w:r>
    </w:p>
    <w:p>
      <w:pPr>
        <w:spacing w:line="240" w:lineRule="auto" w:before="10"/>
        <w:rPr>
          <w:rFonts w:ascii="宋体" w:hAnsi="宋体" w:cs="宋体" w:eastAsia="宋体" w:hint="default"/>
          <w:b/>
          <w:bCs/>
          <w:sz w:val="28"/>
          <w:szCs w:val="28"/>
        </w:rPr>
      </w:pPr>
    </w:p>
    <w:p>
      <w:pPr>
        <w:pStyle w:val="Heading6"/>
        <w:spacing w:line="297" w:lineRule="auto" w:before="0"/>
        <w:ind w:left="233" w:right="283" w:firstLine="420"/>
        <w:jc w:val="left"/>
      </w:pPr>
      <w:r>
        <w:rPr/>
        <w:t>按照中国证监会《公开发行证券的公司信息披露编报规则第九号</w:t>
      </w:r>
      <w:r>
        <w:rPr>
          <w:rFonts w:ascii="Times New Roman" w:hAnsi="Times New Roman" w:cs="Times New Roman" w:eastAsia="Times New Roman" w:hint="default"/>
        </w:rPr>
        <w:t>-</w:t>
      </w:r>
      <w:r>
        <w:rPr/>
        <w:t>净资产收益率和每股收益计算及披</w:t>
      </w:r>
      <w:r>
        <w:rPr>
          <w:w w:val="100"/>
        </w:rPr>
        <w:t> </w:t>
      </w:r>
      <w:r>
        <w:rPr/>
        <w:t>露》的要求，本公司报告期加权平均的净资产收益率和每股收益计算如下：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68"/>
          <w:pgSz w:w="11910" w:h="16840"/>
          <w:pgMar w:header="918" w:footer="979" w:top="1100" w:bottom="1180" w:left="900" w:right="900"/>
        </w:sectPr>
      </w:pPr>
    </w:p>
    <w:p>
      <w:pPr>
        <w:spacing w:line="240" w:lineRule="auto" w:before="4"/>
        <w:rPr>
          <w:rFonts w:ascii="宋体" w:hAnsi="宋体" w:cs="宋体" w:eastAsia="宋体" w:hint="default"/>
          <w:sz w:val="20"/>
          <w:szCs w:val="20"/>
        </w:rPr>
      </w:pPr>
    </w:p>
    <w:p>
      <w:pPr>
        <w:pStyle w:val="Heading8"/>
        <w:spacing w:line="240" w:lineRule="auto"/>
        <w:ind w:right="0"/>
        <w:jc w:val="right"/>
        <w:rPr>
          <w:b w:val="0"/>
          <w:bCs w:val="0"/>
        </w:rPr>
      </w:pPr>
      <w:r>
        <w:rPr>
          <w:w w:val="95"/>
        </w:rPr>
        <w:t>报告期利润</w:t>
      </w:r>
      <w:r>
        <w:rPr>
          <w:b w:val="0"/>
          <w:bCs w:val="0"/>
        </w:rPr>
      </w:r>
    </w:p>
    <w:p>
      <w:pPr>
        <w:pStyle w:val="Heading8"/>
        <w:spacing w:line="240" w:lineRule="auto" w:before="44"/>
        <w:ind w:left="1102" w:right="0"/>
        <w:jc w:val="center"/>
        <w:rPr>
          <w:b w:val="0"/>
          <w:bCs w:val="0"/>
        </w:rPr>
      </w:pPr>
      <w:r>
        <w:rPr>
          <w:b w:val="0"/>
          <w:bCs w:val="0"/>
        </w:rPr>
        <w:br w:type="column"/>
      </w:r>
      <w:r>
        <w:rPr/>
        <w:t>加权平均净资产收益率</w:t>
      </w:r>
      <w:r>
        <w:rPr>
          <w:b w:val="0"/>
          <w:bCs w:val="0"/>
        </w:rPr>
      </w:r>
    </w:p>
    <w:p>
      <w:pPr>
        <w:spacing w:line="240" w:lineRule="auto" w:before="10"/>
        <w:rPr>
          <w:rFonts w:ascii="宋体" w:hAnsi="宋体" w:cs="宋体" w:eastAsia="宋体" w:hint="default"/>
          <w:b/>
          <w:bCs/>
          <w:sz w:val="15"/>
          <w:szCs w:val="15"/>
        </w:rPr>
      </w:pPr>
    </w:p>
    <w:p>
      <w:pPr>
        <w:pStyle w:val="Heading8"/>
        <w:tabs>
          <w:tab w:pos="3535" w:val="left" w:leader="none"/>
        </w:tabs>
        <w:spacing w:line="240" w:lineRule="auto"/>
        <w:ind w:left="1106" w:right="0"/>
        <w:jc w:val="center"/>
        <w:rPr>
          <w:b w:val="0"/>
          <w:bCs w:val="0"/>
        </w:rPr>
      </w:pPr>
      <w:r>
        <w:rPr>
          <w:w w:val="95"/>
        </w:rPr>
        <w:t>本期数</w:t>
        <w:tab/>
      </w:r>
      <w:r>
        <w:rPr/>
        <w:t>上期数</w:t>
      </w:r>
      <w:r>
        <w:rPr>
          <w:b w:val="0"/>
          <w:bCs w:val="0"/>
        </w:rPr>
      </w:r>
    </w:p>
    <w:p>
      <w:pPr>
        <w:spacing w:after="0" w:line="240" w:lineRule="auto"/>
        <w:jc w:val="center"/>
        <w:sectPr>
          <w:type w:val="continuous"/>
          <w:pgSz w:w="11910" w:h="16840"/>
          <w:pgMar w:top="1100" w:bottom="1180" w:left="900" w:right="900"/>
          <w:cols w:num="2" w:equalWidth="0">
            <w:col w:w="3075" w:space="821"/>
            <w:col w:w="6214"/>
          </w:cols>
        </w:sectPr>
      </w:pPr>
    </w:p>
    <w:p>
      <w:pPr>
        <w:spacing w:line="240" w:lineRule="auto" w:before="9"/>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5pt;height:.5pt;mso-position-horizontal-relative:char;mso-position-vertical-relative:line" coordorigin="0,0" coordsize="9867,10">
            <v:group style="position:absolute;left:5;top:5;width:5001;height:2" coordorigin="5,5" coordsize="5001,2">
              <v:shape style="position:absolute;left:5;top:5;width:5001;height:2" coordorigin="5,5" coordsize="5001,0" path="m5,5l5005,5e" filled="false" stroked="true" strokeweight=".48004pt" strokecolor="#000000">
                <v:path arrowok="t"/>
              </v:shape>
            </v:group>
            <v:group style="position:absolute;left:5005;top:5;width:10;height:2" coordorigin="5005,5" coordsize="10,2">
              <v:shape style="position:absolute;left:5005;top:5;width:10;height:2" coordorigin="5005,5" coordsize="10,0" path="m5005,5l5015,5e" filled="false" stroked="true" strokeweight=".48004pt" strokecolor="#000000">
                <v:path arrowok="t"/>
              </v:shape>
            </v:group>
            <v:group style="position:absolute;left:5015;top:5;width:2418;height:2" coordorigin="5015,5" coordsize="2418,2">
              <v:shape style="position:absolute;left:5015;top:5;width:2418;height:2" coordorigin="5015,5" coordsize="2418,0" path="m5015,5l7432,5e" filled="false" stroked="true" strokeweight=".48004pt" strokecolor="#000000">
                <v:path arrowok="t"/>
              </v:shape>
            </v:group>
            <v:group style="position:absolute;left:7432;top:5;width:10;height:2" coordorigin="7432,5" coordsize="10,2">
              <v:shape style="position:absolute;left:7432;top:5;width:10;height:2" coordorigin="7432,5" coordsize="10,0" path="m7432,5l7442,5e" filled="false" stroked="true" strokeweight=".48004pt" strokecolor="#000000">
                <v:path arrowok="t"/>
              </v:shape>
            </v:group>
            <v:group style="position:absolute;left:7442;top:5;width:2420;height:2" coordorigin="7442,5" coordsize="2420,2">
              <v:shape style="position:absolute;left:7442;top:5;width:2420;height:2" coordorigin="7442,5" coordsize="2420,0" path="m7442,5l9862,5e" filled="false" stroked="true" strokeweight=".48004pt" strokecolor="#000000">
                <v:path arrowok="t"/>
              </v:shape>
            </v:group>
          </v:group>
        </w:pict>
      </w:r>
      <w:r>
        <w:rPr>
          <w:rFonts w:ascii="宋体" w:hAnsi="宋体" w:cs="宋体" w:eastAsia="宋体" w:hint="default"/>
          <w:sz w:val="2"/>
          <w:szCs w:val="2"/>
        </w:rPr>
      </w:r>
    </w:p>
    <w:p>
      <w:pPr>
        <w:pStyle w:val="BodyText"/>
        <w:tabs>
          <w:tab w:pos="6106" w:val="left" w:leader="none"/>
          <w:tab w:pos="8536" w:val="left" w:leader="none"/>
        </w:tabs>
        <w:spacing w:line="240" w:lineRule="auto" w:before="105"/>
        <w:ind w:left="233" w:right="283"/>
        <w:jc w:val="left"/>
        <w:rPr>
          <w:rFonts w:ascii="Times New Roman" w:hAnsi="Times New Roman" w:cs="Times New Roman" w:eastAsia="Times New Roman" w:hint="default"/>
        </w:rPr>
      </w:pPr>
      <w:r>
        <w:rPr/>
        <w:t>归属于公司普通股股东的净利润</w:t>
        <w:tab/>
      </w:r>
      <w:r>
        <w:rPr>
          <w:rFonts w:ascii="Times New Roman" w:hAnsi="Times New Roman" w:cs="Times New Roman" w:eastAsia="Times New Roman" w:hint="default"/>
          <w:position w:val="4"/>
        </w:rPr>
        <w:t>3.64%</w:t>
        <w:tab/>
      </w:r>
      <w:r>
        <w:rPr>
          <w:rFonts w:ascii="Times New Roman" w:hAnsi="Times New Roman" w:cs="Times New Roman" w:eastAsia="Times New Roman" w:hint="default"/>
        </w:rPr>
        <w:t>6.51%</w:t>
      </w:r>
    </w:p>
    <w:p>
      <w:pPr>
        <w:spacing w:after="0" w:line="240" w:lineRule="auto"/>
        <w:jc w:val="left"/>
        <w:rPr>
          <w:rFonts w:ascii="Times New Roman" w:hAnsi="Times New Roman" w:cs="Times New Roman" w:eastAsia="Times New Roman" w:hint="default"/>
        </w:rPr>
        <w:sectPr>
          <w:type w:val="continuous"/>
          <w:pgSz w:w="11910" w:h="16840"/>
          <w:pgMar w:top="1100" w:bottom="1180" w:left="900" w:right="9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5207"/>
        <w:gridCol w:w="2314"/>
        <w:gridCol w:w="1648"/>
      </w:tblGrid>
      <w:tr>
        <w:trPr>
          <w:trHeight w:val="223" w:hRule="exact"/>
        </w:trPr>
        <w:tc>
          <w:tcPr>
            <w:tcW w:w="5207" w:type="dxa"/>
            <w:tcBorders>
              <w:top w:val="nil" w:sz="6" w:space="0" w:color="auto"/>
              <w:left w:val="nil" w:sz="6" w:space="0" w:color="auto"/>
              <w:bottom w:val="nil" w:sz="6" w:space="0" w:color="auto"/>
              <w:right w:val="nil" w:sz="6" w:space="0" w:color="auto"/>
            </w:tcBorders>
          </w:tcPr>
          <w:p>
            <w:pPr>
              <w:pStyle w:val="TableParagraph"/>
              <w:spacing w:line="213" w:lineRule="exact"/>
              <w:ind w:left="20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314" w:type="dxa"/>
            <w:tcBorders>
              <w:top w:val="nil" w:sz="6" w:space="0" w:color="auto"/>
              <w:left w:val="nil" w:sz="6" w:space="0" w:color="auto"/>
              <w:bottom w:val="nil" w:sz="6" w:space="0" w:color="auto"/>
              <w:right w:val="nil" w:sz="6" w:space="0" w:color="auto"/>
            </w:tcBorders>
          </w:tcPr>
          <w:p>
            <w:pPr>
              <w:pStyle w:val="TableParagraph"/>
              <w:spacing w:line="184" w:lineRule="exact"/>
              <w:ind w:right="113"/>
              <w:jc w:val="center"/>
              <w:rPr>
                <w:rFonts w:ascii="Times New Roman" w:hAnsi="Times New Roman" w:cs="Times New Roman" w:eastAsia="Times New Roman" w:hint="default"/>
                <w:sz w:val="18"/>
                <w:szCs w:val="18"/>
              </w:rPr>
            </w:pPr>
            <w:r>
              <w:rPr>
                <w:rFonts w:ascii="Times New Roman"/>
                <w:sz w:val="18"/>
              </w:rPr>
              <w:t>3.50%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81" w:right="0"/>
              <w:jc w:val="left"/>
              <w:rPr>
                <w:rFonts w:ascii="Times New Roman" w:hAnsi="Times New Roman" w:cs="Times New Roman" w:eastAsia="Times New Roman" w:hint="default"/>
                <w:sz w:val="18"/>
                <w:szCs w:val="18"/>
              </w:rPr>
            </w:pPr>
            <w:r>
              <w:rPr>
                <w:rFonts w:ascii="Times New Roman"/>
                <w:sz w:val="18"/>
              </w:rPr>
              <w:t>6.33%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918" w:footer="979" w:top="1100" w:bottom="1180" w:left="820" w:right="900"/>
        </w:sect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6"/>
          <w:szCs w:val="16"/>
        </w:rPr>
      </w:pPr>
    </w:p>
    <w:p>
      <w:pPr>
        <w:pStyle w:val="Heading8"/>
        <w:spacing w:line="240" w:lineRule="auto"/>
        <w:ind w:right="0"/>
        <w:jc w:val="right"/>
        <w:rPr>
          <w:b w:val="0"/>
          <w:bCs w:val="0"/>
        </w:rPr>
      </w:pPr>
      <w:r>
        <w:rPr>
          <w:w w:val="95"/>
        </w:rPr>
        <w:t>报告期利润</w:t>
      </w:r>
      <w:r>
        <w:rPr>
          <w:b w:val="0"/>
          <w:bCs w:val="0"/>
        </w:rPr>
      </w:r>
    </w:p>
    <w:p>
      <w:pPr>
        <w:spacing w:line="240" w:lineRule="auto" w:before="6"/>
        <w:rPr>
          <w:rFonts w:ascii="宋体" w:hAnsi="宋体" w:cs="宋体" w:eastAsia="宋体" w:hint="default"/>
          <w:b/>
          <w:bCs/>
          <w:sz w:val="13"/>
          <w:szCs w:val="13"/>
        </w:rPr>
      </w:pPr>
      <w:r>
        <w:rPr/>
        <w:br w:type="column"/>
      </w:r>
      <w:r>
        <w:rPr>
          <w:rFonts w:ascii="宋体"/>
          <w:b/>
          <w:sz w:val="13"/>
        </w:rPr>
      </w:r>
    </w:p>
    <w:p>
      <w:pPr>
        <w:pStyle w:val="Heading8"/>
        <w:tabs>
          <w:tab w:pos="3464" w:val="left" w:leader="none"/>
          <w:tab w:pos="4684" w:val="left" w:leader="none"/>
          <w:tab w:pos="5029" w:val="left" w:leader="none"/>
          <w:tab w:pos="5901" w:val="left" w:leader="none"/>
        </w:tabs>
        <w:spacing w:line="448" w:lineRule="auto"/>
        <w:ind w:left="2271" w:right="459" w:firstLine="348"/>
        <w:jc w:val="left"/>
        <w:rPr>
          <w:b w:val="0"/>
          <w:bCs w:val="0"/>
        </w:rPr>
      </w:pPr>
      <w:r>
        <w:rPr/>
        <w:pict>
          <v:group style="position:absolute;margin-left:51pt;margin-top:38.231739pt;width:493.35pt;height:.5pt;mso-position-horizontal-relative:page;mso-position-vertical-relative:paragraph;z-index:-685984" coordorigin="1020,765" coordsize="9867,10">
            <v:group style="position:absolute;left:1025;top:769;width:5037;height:2" coordorigin="1025,769" coordsize="5037,2">
              <v:shape style="position:absolute;left:1025;top:769;width:5037;height:2" coordorigin="1025,769" coordsize="5037,0" path="m1025,769l6061,769e" filled="false" stroked="true" strokeweight=".48pt" strokecolor="#000000">
                <v:path arrowok="t"/>
              </v:shape>
            </v:group>
            <v:group style="position:absolute;left:6061;top:769;width:10;height:2" coordorigin="6061,769" coordsize="10,2">
              <v:shape style="position:absolute;left:6061;top:769;width:10;height:2" coordorigin="6061,769" coordsize="10,0" path="m6061,769l6071,769e" filled="false" stroked="true" strokeweight=".48pt" strokecolor="#000000">
                <v:path arrowok="t"/>
              </v:shape>
            </v:group>
            <v:group style="position:absolute;left:6071;top:769;width:1160;height:2" coordorigin="6071,769" coordsize="1160,2">
              <v:shape style="position:absolute;left:6071;top:769;width:1160;height:2" coordorigin="6071,769" coordsize="1160,0" path="m6071,769l7230,769e" filled="false" stroked="true" strokeweight=".48pt" strokecolor="#000000">
                <v:path arrowok="t"/>
              </v:shape>
            </v:group>
            <v:group style="position:absolute;left:7230;top:769;width:10;height:2" coordorigin="7230,769" coordsize="10,2">
              <v:shape style="position:absolute;left:7230;top:769;width:10;height:2" coordorigin="7230,769" coordsize="10,0" path="m7230,769l7240,769e" filled="false" stroked="true" strokeweight=".48pt" strokecolor="#000000">
                <v:path arrowok="t"/>
              </v:shape>
            </v:group>
            <v:group style="position:absolute;left:7240;top:769;width:1208;height:2" coordorigin="7240,769" coordsize="1208,2">
              <v:shape style="position:absolute;left:7240;top:769;width:1208;height:2" coordorigin="7240,769" coordsize="1208,0" path="m7240,769l8447,769e" filled="false" stroked="true" strokeweight=".48pt" strokecolor="#000000">
                <v:path arrowok="t"/>
              </v:shape>
            </v:group>
            <v:group style="position:absolute;left:8448;top:769;width:10;height:2" coordorigin="8448,769" coordsize="10,2">
              <v:shape style="position:absolute;left:8448;top:769;width:10;height:2" coordorigin="8448,769" coordsize="10,0" path="m8448,769l8457,769e" filled="false" stroked="true" strokeweight=".48pt" strokecolor="#000000">
                <v:path arrowok="t"/>
              </v:shape>
            </v:group>
            <v:group style="position:absolute;left:8457;top:769;width:1208;height:2" coordorigin="8457,769" coordsize="1208,2">
              <v:shape style="position:absolute;left:8457;top:769;width:1208;height:2" coordorigin="8457,769" coordsize="1208,0" path="m8457,769l9664,769e" filled="false" stroked="true" strokeweight=".48pt" strokecolor="#000000">
                <v:path arrowok="t"/>
              </v:shape>
            </v:group>
            <v:group style="position:absolute;left:9664;top:769;width:10;height:2" coordorigin="9664,769" coordsize="10,2">
              <v:shape style="position:absolute;left:9664;top:769;width:10;height:2" coordorigin="9664,769" coordsize="10,0" path="m9664,769l9674,769e" filled="false" stroked="true" strokeweight=".48pt" strokecolor="#000000">
                <v:path arrowok="t"/>
              </v:shape>
            </v:group>
            <v:group style="position:absolute;left:9674;top:769;width:1208;height:2" coordorigin="9674,769" coordsize="1208,2">
              <v:shape style="position:absolute;left:9674;top:769;width:1208;height:2" coordorigin="9674,769" coordsize="1208,0" path="m9674,769l10882,769e" filled="false" stroked="true" strokeweight=".48pt" strokecolor="#000000">
                <v:path arrowok="t"/>
              </v:shape>
            </v:group>
            <w10:wrap type="none"/>
          </v:group>
        </w:pict>
      </w:r>
      <w:r>
        <w:rPr>
          <w:w w:val="95"/>
        </w:rPr>
        <w:t>基本每股收益</w:t>
        <w:tab/>
        <w:tab/>
      </w:r>
      <w:r>
        <w:rPr/>
        <w:t>稀释每股收益</w:t>
      </w:r>
      <w:r>
        <w:rPr>
          <w:w w:val="99"/>
        </w:rPr>
        <w:t> </w:t>
      </w:r>
      <w:r>
        <w:rPr>
          <w:w w:val="95"/>
        </w:rPr>
        <w:t>本期数</w:t>
        <w:tab/>
        <w:t>上期数</w:t>
        <w:tab/>
        <w:t>本期数</w:t>
        <w:tab/>
      </w:r>
      <w:r>
        <w:rPr/>
        <w:t>上期数</w:t>
      </w:r>
      <w:r>
        <w:rPr>
          <w:b w:val="0"/>
          <w:bCs w:val="0"/>
        </w:rPr>
      </w:r>
    </w:p>
    <w:p>
      <w:pPr>
        <w:spacing w:after="0" w:line="448" w:lineRule="auto"/>
        <w:jc w:val="left"/>
        <w:sectPr>
          <w:type w:val="continuous"/>
          <w:pgSz w:w="11910" w:h="16840"/>
          <w:pgMar w:top="1100" w:bottom="1180" w:left="820" w:right="900"/>
          <w:cols w:num="2" w:equalWidth="0">
            <w:col w:w="3174" w:space="108"/>
            <w:col w:w="6908"/>
          </w:cols>
        </w:sectPr>
      </w:pPr>
    </w:p>
    <w:p>
      <w:pPr>
        <w:pStyle w:val="BodyText"/>
        <w:tabs>
          <w:tab w:pos="5668" w:val="left" w:leader="none"/>
          <w:tab w:pos="6861" w:val="left" w:leader="none"/>
          <w:tab w:pos="8078" w:val="left" w:leader="none"/>
          <w:tab w:pos="9613" w:val="right" w:leader="none"/>
        </w:tabs>
        <w:spacing w:line="240" w:lineRule="auto" w:before="56"/>
        <w:ind w:left="313" w:right="0"/>
        <w:jc w:val="left"/>
        <w:rPr>
          <w:rFonts w:ascii="Times New Roman" w:hAnsi="Times New Roman" w:cs="Times New Roman" w:eastAsia="Times New Roman" w:hint="default"/>
        </w:rPr>
      </w:pPr>
      <w:r>
        <w:rPr/>
        <w:t>归属于公司普通股股东的净利润</w:t>
        <w:tab/>
      </w:r>
      <w:r>
        <w:rPr>
          <w:rFonts w:ascii="Times New Roman" w:hAnsi="Times New Roman" w:cs="Times New Roman" w:eastAsia="Times New Roman" w:hint="default"/>
          <w:spacing w:val="-1"/>
        </w:rPr>
        <w:t>0.15</w:t>
        <w:tab/>
        <w:t>0.26</w:t>
        <w:tab/>
        <w:t>0.15</w:t>
        <w:tab/>
        <w:t>0.26</w:t>
      </w:r>
    </w:p>
    <w:p>
      <w:pPr>
        <w:pStyle w:val="BodyText"/>
        <w:tabs>
          <w:tab w:pos="5668" w:val="left" w:leader="none"/>
          <w:tab w:pos="6861" w:val="left" w:leader="none"/>
          <w:tab w:pos="8078" w:val="left" w:leader="none"/>
          <w:tab w:pos="9613" w:val="right" w:leader="none"/>
        </w:tabs>
        <w:spacing w:line="240" w:lineRule="auto" w:before="192"/>
        <w:ind w:left="313" w:right="0"/>
        <w:jc w:val="left"/>
        <w:rPr>
          <w:rFonts w:ascii="Times New Roman" w:hAnsi="Times New Roman" w:cs="Times New Roman" w:eastAsia="Times New Roman" w:hint="default"/>
        </w:rPr>
      </w:pPr>
      <w:r>
        <w:rPr/>
        <w:t>扣除非经常性损益后归属于公司普通股股东的净利润</w:t>
        <w:tab/>
      </w:r>
      <w:r>
        <w:rPr>
          <w:rFonts w:ascii="Times New Roman" w:hAnsi="Times New Roman" w:cs="Times New Roman" w:eastAsia="Times New Roman" w:hint="default"/>
          <w:spacing w:val="-1"/>
        </w:rPr>
        <w:t>0.14</w:t>
        <w:tab/>
        <w:t>0.25</w:t>
        <w:tab/>
        <w:t>0.14</w:t>
        <w:tab/>
        <w:t>0.25</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pStyle w:val="BodyText"/>
        <w:spacing w:line="240" w:lineRule="auto"/>
        <w:ind w:left="673" w:right="0"/>
        <w:jc w:val="left"/>
      </w:pPr>
      <w:r>
        <w:rPr/>
        <w:t>注：计算公式如下</w:t>
      </w:r>
    </w:p>
    <w:p>
      <w:pPr>
        <w:spacing w:line="240" w:lineRule="auto" w:before="8"/>
        <w:rPr>
          <w:rFonts w:ascii="宋体" w:hAnsi="宋体" w:cs="宋体" w:eastAsia="宋体" w:hint="default"/>
          <w:sz w:val="21"/>
          <w:szCs w:val="21"/>
        </w:rPr>
      </w:pPr>
    </w:p>
    <w:p>
      <w:pPr>
        <w:pStyle w:val="BodyText"/>
        <w:spacing w:line="240" w:lineRule="auto"/>
        <w:ind w:left="733" w:right="0"/>
        <w:jc w:val="left"/>
      </w:pPr>
      <w:r>
        <w:rPr/>
        <w:t>（</w:t>
      </w:r>
      <w:r>
        <w:rPr>
          <w:rFonts w:ascii="Times New Roman" w:hAnsi="Times New Roman" w:cs="Times New Roman" w:eastAsia="Times New Roman" w:hint="default"/>
        </w:rPr>
        <w:t>1</w:t>
      </w:r>
      <w:r>
        <w:rPr/>
        <w:t>）加权平均净资产收益率</w:t>
      </w:r>
      <w:r>
        <w:rPr>
          <w:rFonts w:ascii="Times New Roman" w:hAnsi="Times New Roman" w:cs="Times New Roman" w:eastAsia="Times New Roman" w:hint="default"/>
        </w:rPr>
        <w:t>=P0/</w:t>
      </w:r>
      <w:r>
        <w:rPr/>
        <w:t>（</w:t>
      </w:r>
      <w:r>
        <w:rPr>
          <w:rFonts w:ascii="Times New Roman" w:hAnsi="Times New Roman" w:cs="Times New Roman" w:eastAsia="Times New Roman" w:hint="default"/>
        </w:rPr>
        <w:t>E0</w:t>
      </w:r>
      <w:r>
        <w:rPr/>
        <w:t>＋</w:t>
      </w:r>
      <w:r>
        <w:rPr>
          <w:rFonts w:ascii="Times New Roman" w:hAnsi="Times New Roman" w:cs="Times New Roman" w:eastAsia="Times New Roman" w:hint="default"/>
        </w:rPr>
        <w:t>NP÷2</w:t>
      </w:r>
      <w:r>
        <w:rPr/>
        <w:t>＋</w:t>
      </w:r>
      <w:r>
        <w:rPr>
          <w:rFonts w:ascii="Times New Roman" w:hAnsi="Times New Roman" w:cs="Times New Roman" w:eastAsia="Times New Roman" w:hint="default"/>
        </w:rPr>
        <w:t>Ei×Mi÷M0-</w:t>
      </w:r>
      <w:r>
        <w:rPr>
          <w:rFonts w:ascii="Times New Roman" w:hAnsi="Times New Roman" w:cs="Times New Roman" w:eastAsia="Times New Roman" w:hint="default"/>
          <w:spacing w:val="-12"/>
        </w:rPr>
        <w:t> </w:t>
      </w:r>
      <w:r>
        <w:rPr>
          <w:rFonts w:ascii="Times New Roman" w:hAnsi="Times New Roman" w:cs="Times New Roman" w:eastAsia="Times New Roman" w:hint="default"/>
        </w:rPr>
        <w:t>Ej×Mj÷M0±Ek×Mk÷M0</w:t>
      </w:r>
      <w:r>
        <w:rPr/>
        <w:t>）</w:t>
      </w:r>
    </w:p>
    <w:p>
      <w:pPr>
        <w:pStyle w:val="BodyText"/>
        <w:spacing w:line="345" w:lineRule="auto" w:before="111"/>
        <w:ind w:left="313" w:right="128" w:firstLine="360"/>
        <w:jc w:val="left"/>
      </w:pPr>
      <w:r>
        <w:rPr>
          <w:spacing w:val="-4"/>
        </w:rPr>
        <w:t>其中：</w:t>
      </w:r>
      <w:r>
        <w:rPr>
          <w:rFonts w:ascii="Times New Roman" w:hAnsi="Times New Roman" w:cs="Times New Roman" w:eastAsia="Times New Roman" w:hint="default"/>
          <w:spacing w:val="-4"/>
        </w:rPr>
        <w:t>P0 </w:t>
      </w:r>
      <w:r>
        <w:rPr/>
        <w:t>分别对应于归属于公司普通股股东的净利润、扣除非经常性损益后归属于公司普通股股东的净利润；</w:t>
      </w:r>
      <w:r>
        <w:rPr>
          <w:rFonts w:ascii="Times New Roman" w:hAnsi="Times New Roman" w:cs="Times New Roman" w:eastAsia="Times New Roman" w:hint="default"/>
        </w:rPr>
        <w:t>NP</w:t>
      </w:r>
      <w:r>
        <w:rPr>
          <w:rFonts w:ascii="Times New Roman" w:hAnsi="Times New Roman" w:cs="Times New Roman" w:eastAsia="Times New Roman" w:hint="default"/>
          <w:spacing w:val="-11"/>
        </w:rPr>
        <w:t> </w:t>
      </w:r>
      <w:r>
        <w:rPr/>
        <w:t>为归 属于公司普通股股东的净利润；</w:t>
      </w:r>
      <w:r>
        <w:rPr>
          <w:rFonts w:ascii="Times New Roman" w:hAnsi="Times New Roman" w:cs="Times New Roman" w:eastAsia="Times New Roman" w:hint="default"/>
        </w:rPr>
        <w:t>E0 </w:t>
      </w:r>
      <w:r>
        <w:rPr/>
        <w:t>为归属于公司普通股股东的期初净资产；</w:t>
      </w:r>
      <w:r>
        <w:rPr>
          <w:rFonts w:ascii="Times New Roman" w:hAnsi="Times New Roman" w:cs="Times New Roman" w:eastAsia="Times New Roman" w:hint="default"/>
        </w:rPr>
        <w:t>Ei</w:t>
      </w:r>
      <w:r>
        <w:rPr>
          <w:rFonts w:ascii="Times New Roman" w:hAnsi="Times New Roman" w:cs="Times New Roman" w:eastAsia="Times New Roman" w:hint="default"/>
          <w:spacing w:val="6"/>
        </w:rPr>
        <w:t> </w:t>
      </w:r>
      <w:r>
        <w:rPr/>
        <w:t>为报告期发行新股或债转股等新增的、归属 </w:t>
      </w:r>
      <w:r>
        <w:rPr>
          <w:spacing w:val="-3"/>
        </w:rPr>
        <w:t>于公司普通股股东的净资产；</w:t>
      </w:r>
      <w:r>
        <w:rPr>
          <w:rFonts w:ascii="Times New Roman" w:hAnsi="Times New Roman" w:cs="Times New Roman" w:eastAsia="Times New Roman" w:hint="default"/>
          <w:spacing w:val="-3"/>
        </w:rPr>
        <w:t>Ej </w:t>
      </w:r>
      <w:r>
        <w:rPr>
          <w:spacing w:val="-3"/>
        </w:rPr>
        <w:t>为报告期回购或现金分红等减少的、归属于公司普通股股东的净资产；</w:t>
      </w:r>
      <w:r>
        <w:rPr>
          <w:rFonts w:ascii="Times New Roman" w:hAnsi="Times New Roman" w:cs="Times New Roman" w:eastAsia="Times New Roman" w:hint="default"/>
          <w:spacing w:val="-3"/>
        </w:rPr>
        <w:t>M0</w:t>
      </w:r>
      <w:r>
        <w:rPr>
          <w:rFonts w:ascii="Times New Roman" w:hAnsi="Times New Roman" w:cs="Times New Roman" w:eastAsia="Times New Roman" w:hint="default"/>
          <w:spacing w:val="12"/>
        </w:rPr>
        <w:t> </w:t>
      </w:r>
      <w:r>
        <w:rPr/>
        <w:t>为报告期月份数； </w:t>
      </w:r>
      <w:r>
        <w:rPr>
          <w:rFonts w:ascii="Times New Roman" w:hAnsi="Times New Roman" w:cs="Times New Roman" w:eastAsia="Times New Roman" w:hint="default"/>
        </w:rPr>
        <w:t>Mi </w:t>
      </w:r>
      <w:r>
        <w:rPr/>
        <w:t>为新增净资产次月起至报告期期末的累计月数；</w:t>
      </w:r>
      <w:r>
        <w:rPr>
          <w:rFonts w:ascii="Times New Roman" w:hAnsi="Times New Roman" w:cs="Times New Roman" w:eastAsia="Times New Roman" w:hint="default"/>
        </w:rPr>
        <w:t>Mj </w:t>
      </w:r>
      <w:r>
        <w:rPr/>
        <w:t>为减少净资产次月起至报告期期末的累计月数；</w:t>
      </w:r>
      <w:r>
        <w:rPr>
          <w:rFonts w:ascii="Times New Roman" w:hAnsi="Times New Roman" w:cs="Times New Roman" w:eastAsia="Times New Roman" w:hint="default"/>
        </w:rPr>
        <w:t>Ek</w:t>
      </w:r>
      <w:r>
        <w:rPr>
          <w:rFonts w:ascii="Times New Roman" w:hAnsi="Times New Roman" w:cs="Times New Roman" w:eastAsia="Times New Roman" w:hint="default"/>
          <w:spacing w:val="13"/>
        </w:rPr>
        <w:t> </w:t>
      </w:r>
      <w:r>
        <w:rPr/>
        <w:t>为因其他交易或 事项引起的、归属于公司普通股股东的净资产增减变动；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2"/>
        </w:rPr>
        <w:t> </w:t>
      </w:r>
      <w:r>
        <w:rPr/>
        <w:t>为发生其他净资产增减变动次月起至报告期期末的累计月数。</w:t>
      </w:r>
    </w:p>
    <w:p>
      <w:pPr>
        <w:spacing w:line="240" w:lineRule="auto" w:before="9"/>
        <w:rPr>
          <w:rFonts w:ascii="宋体" w:hAnsi="宋体" w:cs="宋体" w:eastAsia="宋体" w:hint="default"/>
          <w:sz w:val="13"/>
          <w:szCs w:val="13"/>
        </w:rPr>
      </w:pPr>
    </w:p>
    <w:p>
      <w:pPr>
        <w:pStyle w:val="BodyText"/>
        <w:spacing w:line="240" w:lineRule="auto"/>
        <w:ind w:left="73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）基本每股收益</w:t>
      </w:r>
      <w:r>
        <w:rPr>
          <w:rFonts w:ascii="Times New Roman" w:hAnsi="Times New Roman" w:cs="Times New Roman" w:eastAsia="Times New Roman" w:hint="default"/>
        </w:rPr>
        <w:t>=P0÷S</w:t>
      </w:r>
    </w:p>
    <w:p>
      <w:pPr>
        <w:spacing w:line="240" w:lineRule="auto" w:before="2"/>
        <w:rPr>
          <w:rFonts w:ascii="Times New Roman" w:hAnsi="Times New Roman" w:cs="Times New Roman" w:eastAsia="Times New Roman" w:hint="default"/>
          <w:sz w:val="23"/>
          <w:szCs w:val="23"/>
        </w:rPr>
      </w:pPr>
    </w:p>
    <w:p>
      <w:pPr>
        <w:pStyle w:val="BodyText"/>
        <w:spacing w:line="240" w:lineRule="auto"/>
        <w:ind w:left="673" w:right="0"/>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spacing w:val="-11"/>
        </w:rPr>
        <w:t> </w:t>
      </w:r>
      <w:r>
        <w:rPr>
          <w:rFonts w:ascii="Times New Roman" w:hAnsi="Times New Roman" w:cs="Times New Roman" w:eastAsia="Times New Roman" w:hint="default"/>
        </w:rPr>
        <w:t>Sj×Mj÷M0-Sk</w:t>
      </w:r>
    </w:p>
    <w:p>
      <w:pPr>
        <w:spacing w:line="240" w:lineRule="auto" w:before="2"/>
        <w:rPr>
          <w:rFonts w:ascii="Times New Roman" w:hAnsi="Times New Roman" w:cs="Times New Roman" w:eastAsia="Times New Roman" w:hint="default"/>
          <w:sz w:val="23"/>
          <w:szCs w:val="23"/>
        </w:rPr>
      </w:pPr>
    </w:p>
    <w:p>
      <w:pPr>
        <w:pStyle w:val="BodyText"/>
        <w:spacing w:line="348" w:lineRule="auto"/>
        <w:ind w:left="313" w:right="228" w:firstLine="360"/>
        <w:jc w:val="both"/>
      </w:pPr>
      <w:r>
        <w:rPr/>
        <w:t>其中：</w:t>
      </w:r>
      <w:r>
        <w:rPr>
          <w:rFonts w:ascii="Times New Roman" w:hAnsi="Times New Roman" w:cs="Times New Roman" w:eastAsia="Times New Roman" w:hint="default"/>
        </w:rPr>
        <w:t>P0 </w:t>
      </w:r>
      <w:r>
        <w:rPr/>
        <w:t>为归属于公司普通股股东的净利润或扣除非经常性损益后归属于普通股股东的净利润；</w:t>
      </w:r>
      <w:r>
        <w:rPr>
          <w:rFonts w:ascii="Times New Roman" w:hAnsi="Times New Roman" w:cs="Times New Roman" w:eastAsia="Times New Roman" w:hint="default"/>
        </w:rPr>
        <w:t>S</w:t>
      </w:r>
      <w:r>
        <w:rPr>
          <w:rFonts w:ascii="Times New Roman" w:hAnsi="Times New Roman" w:cs="Times New Roman" w:eastAsia="Times New Roman" w:hint="default"/>
          <w:spacing w:val="31"/>
        </w:rPr>
        <w:t> </w:t>
      </w:r>
      <w:r>
        <w:rPr/>
        <w:t>为发行在外的普通 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 </w:t>
      </w:r>
      <w:r>
        <w:rPr/>
        <w:t>为报告期因公积金转增股本或股票股利分配等增加股份数；</w:t>
      </w:r>
      <w:r>
        <w:rPr>
          <w:rFonts w:ascii="Times New Roman" w:hAnsi="Times New Roman" w:cs="Times New Roman" w:eastAsia="Times New Roman" w:hint="default"/>
        </w:rPr>
        <w:t>Si</w:t>
      </w:r>
      <w:r>
        <w:rPr>
          <w:rFonts w:ascii="Times New Roman" w:hAnsi="Times New Roman" w:cs="Times New Roman" w:eastAsia="Times New Roman" w:hint="default"/>
          <w:spacing w:val="-29"/>
        </w:rPr>
        <w:t> </w:t>
      </w:r>
      <w:r>
        <w:rPr/>
        <w:t>为报告期因发行新股 或债转股等增加股份数；</w:t>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4"/>
        </w:rPr>
        <w:t> </w:t>
      </w:r>
      <w:r>
        <w:rPr/>
        <w:t>为增加股份次月起 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3"/>
        </w:rPr>
        <w:t> </w:t>
      </w:r>
      <w:r>
        <w:rPr/>
        <w:t>为减少股份次月起至报告期期末的累计月数。</w:t>
      </w:r>
    </w:p>
    <w:p>
      <w:pPr>
        <w:spacing w:line="240" w:lineRule="auto" w:before="7"/>
        <w:rPr>
          <w:rFonts w:ascii="宋体" w:hAnsi="宋体" w:cs="宋体" w:eastAsia="宋体" w:hint="default"/>
          <w:sz w:val="13"/>
          <w:szCs w:val="13"/>
        </w:rPr>
      </w:pPr>
    </w:p>
    <w:p>
      <w:pPr>
        <w:pStyle w:val="BodyText"/>
        <w:spacing w:line="240" w:lineRule="auto"/>
        <w:ind w:left="733"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3</w:t>
      </w:r>
      <w:r>
        <w:rPr>
          <w:spacing w:val="-3"/>
        </w:rPr>
        <w:t>）稀释每股收益</w:t>
      </w:r>
      <w:r>
        <w:rPr>
          <w:rFonts w:ascii="Times New Roman" w:hAnsi="Times New Roman" w:cs="Times New Roman" w:eastAsia="Times New Roman" w:hint="default"/>
          <w:spacing w:val="-3"/>
        </w:rPr>
        <w:t>=[P+</w:t>
      </w:r>
      <w:r>
        <w:rPr>
          <w:spacing w:val="-3"/>
        </w:rPr>
        <w:t>（已确认为费用的稀释性潜在普通股利息－转换费用）</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w:t>
      </w:r>
      <w:r>
        <w:rPr>
          <w:spacing w:val="-3"/>
        </w:rPr>
        <w:t>所得税率）</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S0</w:t>
      </w:r>
      <w:r>
        <w:rPr>
          <w:spacing w:val="-3"/>
        </w:rPr>
        <w:t>＋</w:t>
      </w:r>
      <w:r>
        <w:rPr>
          <w:rFonts w:ascii="Times New Roman" w:hAnsi="Times New Roman" w:cs="Times New Roman" w:eastAsia="Times New Roman" w:hint="default"/>
          <w:spacing w:val="-3"/>
        </w:rPr>
        <w:t>S1</w:t>
      </w:r>
      <w:r>
        <w:rPr>
          <w:spacing w:val="-3"/>
        </w:rPr>
        <w:t>＋</w:t>
      </w:r>
      <w:r>
        <w:rPr>
          <w:rFonts w:ascii="Times New Roman" w:hAnsi="Times New Roman" w:cs="Times New Roman" w:eastAsia="Times New Roman" w:hint="default"/>
          <w:spacing w:val="-3"/>
        </w:rPr>
        <w:t>Si×Mi÷M0</w:t>
      </w:r>
    </w:p>
    <w:p>
      <w:pPr>
        <w:pStyle w:val="BodyText"/>
        <w:spacing w:line="240" w:lineRule="auto" w:before="111"/>
        <w:ind w:left="313" w:right="0"/>
        <w:jc w:val="left"/>
      </w:pPr>
      <w:r>
        <w:rPr/>
        <w:t>－</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r>
        <w:rPr/>
        <w:t>认股权证、股份期权、可转换债券等增加的普通股加权平均数）</w:t>
      </w:r>
    </w:p>
    <w:p>
      <w:pPr>
        <w:spacing w:line="240" w:lineRule="auto" w:before="5"/>
        <w:rPr>
          <w:rFonts w:ascii="宋体" w:hAnsi="宋体" w:cs="宋体" w:eastAsia="宋体" w:hint="default"/>
          <w:sz w:val="20"/>
          <w:szCs w:val="20"/>
        </w:rPr>
      </w:pPr>
    </w:p>
    <w:p>
      <w:pPr>
        <w:pStyle w:val="BodyText"/>
        <w:spacing w:line="345" w:lineRule="auto"/>
        <w:ind w:left="313" w:right="231" w:firstLine="420"/>
        <w:jc w:val="both"/>
      </w:pPr>
      <w:r>
        <w:rPr/>
        <w:t>其中：</w:t>
      </w:r>
      <w:r>
        <w:rPr>
          <w:rFonts w:ascii="Times New Roman" w:hAnsi="Times New Roman" w:cs="Times New Roman" w:eastAsia="Times New Roman" w:hint="default"/>
        </w:rPr>
        <w:t>P</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为发行在外的普通股 </w:t>
      </w:r>
      <w:r>
        <w:rPr>
          <w:spacing w:val="-2"/>
        </w:rPr>
        <w:t>加权平均数；</w:t>
      </w:r>
      <w:r>
        <w:rPr>
          <w:rFonts w:ascii="Times New Roman" w:hAnsi="Times New Roman" w:cs="Times New Roman" w:eastAsia="Times New Roman" w:hint="default"/>
          <w:spacing w:val="-2"/>
        </w:rPr>
        <w:t>S0</w:t>
      </w:r>
      <w:r>
        <w:rPr>
          <w:spacing w:val="-2"/>
        </w:rPr>
        <w:t>为期初股份总数；</w:t>
      </w:r>
      <w:r>
        <w:rPr>
          <w:rFonts w:ascii="Times New Roman" w:hAnsi="Times New Roman" w:cs="Times New Roman" w:eastAsia="Times New Roman" w:hint="default"/>
          <w:spacing w:val="-2"/>
        </w:rPr>
        <w:t>S1</w:t>
      </w:r>
      <w:r>
        <w:rPr>
          <w:spacing w:val="-2"/>
        </w:rPr>
        <w:t>为报告期因公积金转增股本或股票股利分配等增加股份数；</w:t>
      </w:r>
      <w:r>
        <w:rPr>
          <w:rFonts w:ascii="Times New Roman" w:hAnsi="Times New Roman" w:cs="Times New Roman" w:eastAsia="Times New Roman" w:hint="default"/>
          <w:spacing w:val="-2"/>
        </w:rPr>
        <w:t>Si</w:t>
      </w:r>
      <w:r>
        <w:rPr>
          <w:spacing w:val="-2"/>
        </w:rPr>
        <w:t>为报告期因发行新股或债</w:t>
      </w:r>
      <w:r>
        <w:rPr>
          <w:spacing w:val="-54"/>
        </w:rPr>
        <w:t> </w:t>
      </w:r>
      <w:r>
        <w:rPr/>
        <w:t>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为增加股份下一月份起至 报告期期末的月份数；</w:t>
      </w:r>
      <w:r>
        <w:rPr>
          <w:rFonts w:ascii="Times New Roman" w:hAnsi="Times New Roman" w:cs="Times New Roman" w:eastAsia="Times New Roman" w:hint="default"/>
        </w:rPr>
        <w:t>Mj</w:t>
      </w:r>
      <w:r>
        <w:rPr/>
        <w:t>为减少股份下一月份起至报告期期末的月份数。</w:t>
      </w:r>
    </w:p>
    <w:p>
      <w:pPr>
        <w:spacing w:line="240" w:lineRule="auto" w:before="11"/>
        <w:rPr>
          <w:rFonts w:ascii="宋体" w:hAnsi="宋体" w:cs="宋体" w:eastAsia="宋体" w:hint="default"/>
          <w:sz w:val="17"/>
          <w:szCs w:val="17"/>
        </w:rPr>
      </w:pPr>
    </w:p>
    <w:p>
      <w:pPr>
        <w:pStyle w:val="Heading5"/>
        <w:spacing w:line="256" w:lineRule="auto"/>
        <w:ind w:left="313" w:right="0"/>
        <w:jc w:val="left"/>
        <w:rPr>
          <w:b w:val="0"/>
          <w:bCs w:val="0"/>
        </w:rPr>
      </w:pPr>
      <w:r>
        <w:rPr>
          <w:rFonts w:ascii="Times New Roman" w:hAnsi="Times New Roman" w:cs="Times New Roman" w:eastAsia="Times New Roman" w:hint="default"/>
          <w:spacing w:val="-3"/>
        </w:rPr>
        <w:t>2</w:t>
      </w:r>
      <w:r>
        <w:rPr>
          <w:spacing w:val="-3"/>
        </w:rPr>
        <w:t>、按照证监会《公开发行证券的公司信息披露解释性公告第</w:t>
      </w:r>
      <w:r>
        <w:rPr>
          <w:spacing w:val="-32"/>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3"/>
        </w:rPr>
        <w:t>号</w:t>
      </w:r>
      <w:r>
        <w:rPr>
          <w:rFonts w:ascii="Times New Roman" w:hAnsi="Times New Roman" w:cs="Times New Roman" w:eastAsia="Times New Roman" w:hint="default"/>
          <w:spacing w:val="-3"/>
        </w:rPr>
        <w:t>——</w:t>
      </w:r>
      <w:r>
        <w:rPr>
          <w:spacing w:val="-3"/>
        </w:rPr>
        <w:t>非经常性损益</w:t>
      </w:r>
      <w:r>
        <w:rPr>
          <w:rFonts w:ascii="Times New Roman" w:hAnsi="Times New Roman" w:cs="Times New Roman" w:eastAsia="Times New Roman" w:hint="default"/>
          <w:spacing w:val="-3"/>
        </w:rPr>
        <w:t>[2008]</w:t>
      </w:r>
      <w:r>
        <w:rPr>
          <w:spacing w:val="-3"/>
        </w:rPr>
        <w:t>》的要求，报告</w:t>
      </w:r>
      <w:r>
        <w:rPr>
          <w:spacing w:val="-99"/>
        </w:rPr>
        <w:t> </w:t>
      </w:r>
      <w:r>
        <w:rPr>
          <w:spacing w:val="-99"/>
        </w:rPr>
      </w:r>
      <w:r>
        <w:rPr/>
        <w:t>期非经常性损益情况披露如下：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tbl>
      <w:tblPr>
        <w:tblW w:w="0" w:type="auto"/>
        <w:jc w:val="left"/>
        <w:tblInd w:w="204" w:type="dxa"/>
        <w:tblLayout w:type="fixed"/>
        <w:tblCellMar>
          <w:top w:w="0" w:type="dxa"/>
          <w:left w:w="0" w:type="dxa"/>
          <w:bottom w:w="0" w:type="dxa"/>
          <w:right w:w="0" w:type="dxa"/>
        </w:tblCellMar>
        <w:tblLook w:val="01E0"/>
      </w:tblPr>
      <w:tblGrid>
        <w:gridCol w:w="6002"/>
        <w:gridCol w:w="1856"/>
        <w:gridCol w:w="1689"/>
      </w:tblGrid>
      <w:tr>
        <w:trPr>
          <w:trHeight w:val="272" w:hRule="exact"/>
        </w:trPr>
        <w:tc>
          <w:tcPr>
            <w:tcW w:w="6002" w:type="dxa"/>
            <w:tcBorders>
              <w:top w:val="nil" w:sz="6" w:space="0" w:color="auto"/>
              <w:left w:val="nil" w:sz="6" w:space="0" w:color="auto"/>
              <w:bottom w:val="single" w:sz="4" w:space="0" w:color="000000"/>
              <w:right w:val="nil" w:sz="6" w:space="0" w:color="auto"/>
            </w:tcBorders>
          </w:tcPr>
          <w:p>
            <w:pPr>
              <w:pStyle w:val="TableParagraph"/>
              <w:spacing w:line="180" w:lineRule="exact"/>
              <w:ind w:right="225"/>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856" w:type="dxa"/>
            <w:tcBorders>
              <w:top w:val="nil" w:sz="6" w:space="0" w:color="auto"/>
              <w:left w:val="nil" w:sz="6" w:space="0" w:color="auto"/>
              <w:bottom w:val="single" w:sz="4" w:space="0" w:color="000000"/>
              <w:right w:val="nil" w:sz="6" w:space="0" w:color="auto"/>
            </w:tcBorders>
          </w:tcPr>
          <w:p>
            <w:pPr>
              <w:pStyle w:val="TableParagraph"/>
              <w:spacing w:line="180" w:lineRule="exact"/>
              <w:ind w:left="40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89" w:type="dxa"/>
            <w:tcBorders>
              <w:top w:val="nil" w:sz="6" w:space="0" w:color="auto"/>
              <w:left w:val="nil" w:sz="6" w:space="0" w:color="auto"/>
              <w:bottom w:val="single" w:sz="4" w:space="0" w:color="000000"/>
              <w:right w:val="nil" w:sz="6" w:space="0" w:color="auto"/>
            </w:tcBorders>
          </w:tcPr>
          <w:p>
            <w:pPr>
              <w:pStyle w:val="TableParagraph"/>
              <w:spacing w:line="180"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1" w:hRule="exact"/>
        </w:trPr>
        <w:tc>
          <w:tcPr>
            <w:tcW w:w="60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）非流动性资产处置损益，包括已计提资产减值准备的冲销部分</w:t>
            </w:r>
          </w:p>
        </w:tc>
        <w:tc>
          <w:tcPr>
            <w:tcW w:w="1856" w:type="dxa"/>
            <w:tcBorders>
              <w:top w:val="single" w:sz="4" w:space="0" w:color="000000"/>
              <w:left w:val="nil" w:sz="6" w:space="0" w:color="auto"/>
              <w:bottom w:val="nil" w:sz="6" w:space="0" w:color="auto"/>
              <w:right w:val="nil" w:sz="6" w:space="0" w:color="auto"/>
            </w:tcBorders>
          </w:tcPr>
          <w:p>
            <w:pP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24"/>
              <w:jc w:val="right"/>
              <w:rPr>
                <w:rFonts w:ascii="Times New Roman" w:hAnsi="Times New Roman" w:cs="Times New Roman" w:eastAsia="Times New Roman" w:hint="default"/>
                <w:sz w:val="18"/>
                <w:szCs w:val="18"/>
              </w:rPr>
            </w:pPr>
            <w:r>
              <w:rPr>
                <w:rFonts w:ascii="Times New Roman"/>
                <w:spacing w:val="-1"/>
                <w:sz w:val="18"/>
              </w:rPr>
              <w:t>-8,474.20</w:t>
            </w:r>
          </w:p>
        </w:tc>
      </w:tr>
      <w:tr>
        <w:trPr>
          <w:trHeight w:val="445" w:hRule="exact"/>
        </w:trPr>
        <w:tc>
          <w:tcPr>
            <w:tcW w:w="60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）越权审批，或无正式批准文件，或偶发性的税收返还、减免</w:t>
            </w:r>
          </w:p>
        </w:tc>
        <w:tc>
          <w:tcPr>
            <w:tcW w:w="1856"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330" w:hRule="exact"/>
        </w:trPr>
        <w:tc>
          <w:tcPr>
            <w:tcW w:w="60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）计入当期损益的政府补助，但与公司正常经营业务密切相关，符</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93" w:right="0"/>
              <w:jc w:val="left"/>
              <w:rPr>
                <w:rFonts w:ascii="Times New Roman" w:hAnsi="Times New Roman" w:cs="Times New Roman" w:eastAsia="Times New Roman" w:hint="default"/>
                <w:sz w:val="18"/>
                <w:szCs w:val="18"/>
              </w:rPr>
            </w:pPr>
            <w:r>
              <w:rPr>
                <w:rFonts w:ascii="Times New Roman"/>
                <w:sz w:val="18"/>
              </w:rPr>
              <w:t>1,200,000.00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4"/>
              <w:jc w:val="right"/>
              <w:rPr>
                <w:rFonts w:ascii="Times New Roman" w:hAnsi="Times New Roman" w:cs="Times New Roman" w:eastAsia="Times New Roman" w:hint="default"/>
                <w:sz w:val="18"/>
                <w:szCs w:val="18"/>
              </w:rPr>
            </w:pPr>
            <w:r>
              <w:rPr>
                <w:rFonts w:ascii="Times New Roman"/>
                <w:spacing w:val="-1"/>
                <w:sz w:val="18"/>
              </w:rPr>
              <w:t>1,400,000.00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80" w:left="820" w:right="9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5322"/>
        <w:gridCol w:w="2537"/>
        <w:gridCol w:w="1689"/>
      </w:tblGrid>
      <w:tr>
        <w:trPr>
          <w:trHeight w:val="273" w:hRule="exact"/>
        </w:trPr>
        <w:tc>
          <w:tcPr>
            <w:tcW w:w="5322" w:type="dxa"/>
            <w:tcBorders>
              <w:top w:val="nil" w:sz="6" w:space="0" w:color="auto"/>
              <w:left w:val="nil" w:sz="6" w:space="0" w:color="auto"/>
              <w:bottom w:val="single" w:sz="4" w:space="0" w:color="000000"/>
              <w:right w:val="nil" w:sz="6" w:space="0" w:color="auto"/>
            </w:tcBorders>
          </w:tcPr>
          <w:p>
            <w:pPr>
              <w:pStyle w:val="TableParagraph"/>
              <w:spacing w:line="180" w:lineRule="exact"/>
              <w:ind w:left="2165" w:right="0"/>
              <w:jc w:val="left"/>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2537" w:type="dxa"/>
            <w:tcBorders>
              <w:top w:val="nil" w:sz="6" w:space="0" w:color="auto"/>
              <w:left w:val="nil" w:sz="6" w:space="0" w:color="auto"/>
              <w:bottom w:val="single" w:sz="4" w:space="0" w:color="000000"/>
              <w:right w:val="nil" w:sz="6" w:space="0" w:color="auto"/>
            </w:tcBorders>
          </w:tcPr>
          <w:p>
            <w:pPr>
              <w:pStyle w:val="TableParagraph"/>
              <w:spacing w:line="180" w:lineRule="exact"/>
              <w:ind w:left="108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89" w:type="dxa"/>
            <w:tcBorders>
              <w:top w:val="nil" w:sz="6" w:space="0" w:color="auto"/>
              <w:left w:val="nil" w:sz="6" w:space="0" w:color="auto"/>
              <w:bottom w:val="single" w:sz="4" w:space="0" w:color="000000"/>
              <w:right w:val="nil" w:sz="6" w:space="0" w:color="auto"/>
            </w:tcBorders>
          </w:tcPr>
          <w:p>
            <w:pPr>
              <w:pStyle w:val="TableParagraph"/>
              <w:spacing w:line="180" w:lineRule="exact"/>
              <w:ind w:left="4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48" w:hRule="exact"/>
        </w:trPr>
        <w:tc>
          <w:tcPr>
            <w:tcW w:w="954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合国家政策规定、按照一定标准定额或定量持续享受的政府补助除外</w:t>
            </w:r>
          </w:p>
        </w:tc>
      </w:tr>
      <w:tr>
        <w:trPr>
          <w:trHeight w:val="445"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794" w:hRule="exact"/>
        </w:trPr>
        <w:tc>
          <w:tcPr>
            <w:tcW w:w="9547"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70"/>
              <w:ind w:left="108" w:right="39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）企业取得子公司、联营企业及合营企业的投资成本小于取得投资 时应享有被投资单位可辨认净资产公允价值产生的收益</w:t>
            </w:r>
          </w:p>
        </w:tc>
      </w:tr>
      <w:tr>
        <w:trPr>
          <w:trHeight w:val="445"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0"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）委托他人投资或管理资产的损益</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0" w:hRule="exact"/>
        </w:trPr>
        <w:tc>
          <w:tcPr>
            <w:tcW w:w="95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r>
      <w:tr>
        <w:trPr>
          <w:trHeight w:val="440"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1"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）企业重组费用，如安置职工的支出、整合费用等</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0"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39" w:hRule="exact"/>
        </w:trPr>
        <w:tc>
          <w:tcPr>
            <w:tcW w:w="95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）同一控制下企业合并产生的子公司期初至合并日的当期净损益</w:t>
            </w:r>
          </w:p>
        </w:tc>
      </w:tr>
      <w:tr>
        <w:trPr>
          <w:trHeight w:val="440"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）与公司正常经营业务无关的或有事项产生的损益</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1154" w:hRule="exact"/>
        </w:trPr>
        <w:tc>
          <w:tcPr>
            <w:tcW w:w="9547" w:type="dxa"/>
            <w:gridSpan w:val="3"/>
            <w:tcBorders>
              <w:top w:val="nil" w:sz="6" w:space="0" w:color="auto"/>
              <w:left w:val="nil" w:sz="6" w:space="0" w:color="auto"/>
              <w:bottom w:val="nil" w:sz="6" w:space="0" w:color="auto"/>
              <w:right w:val="nil" w:sz="6" w:space="0" w:color="auto"/>
            </w:tcBorders>
          </w:tcPr>
          <w:p>
            <w:pPr>
              <w:pStyle w:val="TableParagraph"/>
              <w:spacing w:line="355" w:lineRule="auto" w:before="70"/>
              <w:ind w:left="108" w:right="3875"/>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）除同公司正常经营业务相关的有效套期保值业务外，持有交易性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金融资产、交易性金融负债产生的公允价值变动损益，以及处置交易性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金融资产、交易性金融负债和可供出售金融资产取得的投资收益</w:t>
            </w:r>
          </w:p>
        </w:tc>
      </w:tr>
      <w:tr>
        <w:trPr>
          <w:trHeight w:val="445"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）单独进行减值测试的应收款项减值准备转回</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1"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）对外委托贷款取得的损益</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794" w:hRule="exact"/>
        </w:trPr>
        <w:tc>
          <w:tcPr>
            <w:tcW w:w="9547"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70"/>
              <w:ind w:left="108" w:right="387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）采用公允价值模式进行后续计量的投资性房地产公允价值变动产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生的损益</w:t>
            </w:r>
          </w:p>
        </w:tc>
      </w:tr>
      <w:tr>
        <w:trPr>
          <w:trHeight w:val="800" w:hRule="exact"/>
        </w:trPr>
        <w:tc>
          <w:tcPr>
            <w:tcW w:w="9547"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75"/>
              <w:ind w:left="108" w:right="3875"/>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）根据税收、会计等法律、法规的要求对当期损益进行一次性调整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对当期损益的影响</w:t>
            </w:r>
          </w:p>
        </w:tc>
      </w:tr>
      <w:tr>
        <w:trPr>
          <w:trHeight w:val="445"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）受托经营取得的托管费收入</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0"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）除上述各项之外的其他营业外收入和支出</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4"/>
              <w:jc w:val="right"/>
              <w:rPr>
                <w:rFonts w:ascii="Times New Roman" w:hAnsi="Times New Roman" w:cs="Times New Roman" w:eastAsia="Times New Roman" w:hint="default"/>
                <w:sz w:val="18"/>
                <w:szCs w:val="18"/>
              </w:rPr>
            </w:pPr>
            <w:r>
              <w:rPr>
                <w:rFonts w:ascii="Times New Roman"/>
                <w:spacing w:val="-1"/>
                <w:sz w:val="18"/>
              </w:rPr>
              <w:t>-218,683.94</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4"/>
              <w:jc w:val="right"/>
              <w:rPr>
                <w:rFonts w:ascii="Times New Roman" w:hAnsi="Times New Roman" w:cs="Times New Roman" w:eastAsia="Times New Roman" w:hint="default"/>
                <w:sz w:val="18"/>
                <w:szCs w:val="18"/>
              </w:rPr>
            </w:pPr>
            <w:r>
              <w:rPr>
                <w:rFonts w:ascii="Times New Roman"/>
                <w:spacing w:val="-1"/>
                <w:sz w:val="18"/>
              </w:rPr>
              <w:t>-244,798.39</w:t>
            </w:r>
          </w:p>
        </w:tc>
      </w:tr>
      <w:tr>
        <w:trPr>
          <w:trHeight w:val="439"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）其他符合非经常性损益定义的损益项目</w:t>
            </w:r>
          </w:p>
        </w:tc>
        <w:tc>
          <w:tcPr>
            <w:tcW w:w="2537"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441"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67"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981,316.06</w:t>
            </w:r>
            <w:r>
              <w:rPr>
                <w:rFonts w:ascii="Times New Roman"/>
                <w:spacing w:val="-1"/>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1,146,727.41</w:t>
            </w:r>
            <w:r>
              <w:rPr>
                <w:rFonts w:ascii="Times New Roman"/>
                <w:spacing w:val="-1"/>
                <w:sz w:val="18"/>
              </w:rPr>
            </w:r>
          </w:p>
        </w:tc>
      </w:tr>
      <w:tr>
        <w:trPr>
          <w:trHeight w:val="441"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5"/>
              <w:jc w:val="right"/>
              <w:rPr>
                <w:rFonts w:ascii="Arial Narrow" w:hAnsi="Arial Narrow" w:cs="Arial Narrow" w:eastAsia="Arial Narrow" w:hint="default"/>
                <w:sz w:val="18"/>
                <w:szCs w:val="18"/>
              </w:rPr>
            </w:pPr>
            <w:r>
              <w:rPr>
                <w:rFonts w:ascii="Arial Narrow"/>
                <w:spacing w:val="-1"/>
                <w:sz w:val="18"/>
              </w:rPr>
              <w:t>245,329.01</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24"/>
              <w:jc w:val="right"/>
              <w:rPr>
                <w:rFonts w:ascii="Times New Roman" w:hAnsi="Times New Roman" w:cs="Times New Roman" w:eastAsia="Times New Roman" w:hint="default"/>
                <w:sz w:val="18"/>
                <w:szCs w:val="18"/>
              </w:rPr>
            </w:pPr>
            <w:r>
              <w:rPr>
                <w:rFonts w:ascii="Times New Roman"/>
                <w:spacing w:val="-1"/>
                <w:sz w:val="18"/>
              </w:rPr>
              <w:t>286,681.85</w:t>
            </w:r>
          </w:p>
        </w:tc>
      </w:tr>
      <w:tr>
        <w:trPr>
          <w:trHeight w:val="439"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38" w:right="0"/>
              <w:jc w:val="left"/>
              <w:rPr>
                <w:rFonts w:ascii="宋体" w:hAnsi="宋体" w:cs="宋体" w:eastAsia="宋体" w:hint="default"/>
                <w:sz w:val="18"/>
                <w:szCs w:val="18"/>
              </w:rPr>
            </w:pPr>
            <w:r>
              <w:rPr>
                <w:rFonts w:ascii="宋体" w:hAnsi="宋体" w:cs="宋体" w:eastAsia="宋体" w:hint="default"/>
                <w:sz w:val="18"/>
                <w:szCs w:val="18"/>
              </w:rPr>
              <w:t>扣除所得税影响后的非经常性损益</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735,987.05</w:t>
            </w:r>
            <w:r>
              <w:rPr>
                <w:rFonts w:ascii="Times New Roman"/>
                <w:spacing w:val="-1"/>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860,045.56</w:t>
            </w:r>
            <w:r>
              <w:rPr>
                <w:rFonts w:ascii="Times New Roman"/>
                <w:spacing w:val="-1"/>
                <w:sz w:val="18"/>
              </w:rPr>
            </w:r>
          </w:p>
        </w:tc>
      </w:tr>
      <w:tr>
        <w:trPr>
          <w:trHeight w:val="440"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15"/>
              <w:jc w:val="right"/>
              <w:rPr>
                <w:rFonts w:ascii="Arial Narrow" w:hAnsi="Arial Narrow" w:cs="Arial Narrow" w:eastAsia="Arial Narrow" w:hint="default"/>
                <w:sz w:val="18"/>
                <w:szCs w:val="18"/>
              </w:rPr>
            </w:pPr>
            <w:r>
              <w:rPr>
                <w:rFonts w:ascii="Arial Narrow"/>
                <w:spacing w:val="-1"/>
                <w:sz w:val="18"/>
              </w:rPr>
              <w:t>743,353.07</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4"/>
              <w:jc w:val="right"/>
              <w:rPr>
                <w:rFonts w:ascii="Times New Roman" w:hAnsi="Times New Roman" w:cs="Times New Roman" w:eastAsia="Times New Roman" w:hint="default"/>
                <w:sz w:val="18"/>
                <w:szCs w:val="18"/>
              </w:rPr>
            </w:pPr>
            <w:r>
              <w:rPr>
                <w:rFonts w:ascii="Times New Roman"/>
                <w:spacing w:val="-1"/>
                <w:sz w:val="18"/>
              </w:rPr>
              <w:t>878,502.90</w:t>
            </w:r>
          </w:p>
        </w:tc>
      </w:tr>
      <w:tr>
        <w:trPr>
          <w:trHeight w:val="316"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6"/>
              <w:jc w:val="right"/>
              <w:rPr>
                <w:rFonts w:ascii="Arial Narrow" w:hAnsi="Arial Narrow" w:cs="Arial Narrow" w:eastAsia="Arial Narrow" w:hint="default"/>
                <w:sz w:val="18"/>
                <w:szCs w:val="18"/>
              </w:rPr>
            </w:pPr>
            <w:r>
              <w:rPr>
                <w:rFonts w:ascii="Arial Narrow"/>
                <w:spacing w:val="-1"/>
                <w:sz w:val="18"/>
              </w:rPr>
              <w:t>-7,366.02</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4"/>
              <w:jc w:val="right"/>
              <w:rPr>
                <w:rFonts w:ascii="Times New Roman" w:hAnsi="Times New Roman" w:cs="Times New Roman" w:eastAsia="Times New Roman" w:hint="default"/>
                <w:sz w:val="18"/>
                <w:szCs w:val="18"/>
              </w:rPr>
            </w:pPr>
            <w:r>
              <w:rPr>
                <w:rFonts w:ascii="Times New Roman"/>
                <w:spacing w:val="-1"/>
                <w:sz w:val="18"/>
              </w:rPr>
              <w:t>-18,457.34</w:t>
            </w:r>
          </w:p>
        </w:tc>
      </w:tr>
    </w:tbl>
    <w:p>
      <w:pPr>
        <w:spacing w:after="0" w:line="240" w:lineRule="auto"/>
        <w:jc w:val="right"/>
        <w:rPr>
          <w:rFonts w:ascii="Times New Roman" w:hAnsi="Times New Roman" w:cs="Times New Roman" w:eastAsia="Times New Roman" w:hint="default"/>
          <w:sz w:val="18"/>
          <w:szCs w:val="18"/>
        </w:rPr>
        <w:sectPr>
          <w:headerReference w:type="default" r:id="rId69"/>
          <w:pgSz w:w="11910" w:h="16840"/>
          <w:pgMar w:header="918" w:footer="979" w:top="1100" w:bottom="1160" w:left="9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446" w:right="0"/>
        <w:jc w:val="left"/>
        <w:rPr>
          <w:b w:val="0"/>
          <w:bCs w:val="0"/>
        </w:rPr>
      </w:pPr>
      <w:bookmarkStart w:name="_TOC_250000" w:id="9"/>
      <w:r>
        <w:rPr/>
        <w:t>第十节</w:t>
      </w:r>
      <w:r>
        <w:rPr>
          <w:spacing w:val="-5"/>
        </w:rPr>
        <w:t> </w:t>
      </w:r>
      <w:r>
        <w:rPr/>
        <w:t>备查文件目录</w:t>
      </w:r>
      <w:bookmarkEnd w:id="9"/>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7"/>
        <w:ind w:right="0" w:firstLine="559"/>
        <w:jc w:val="left"/>
      </w:pPr>
      <w:r>
        <w:rPr>
          <w:spacing w:val="-2"/>
        </w:rPr>
        <w:t>一、载有公司法定代表人、主管会计工作负责人、会计机构负责人签名并</w:t>
      </w:r>
      <w:r>
        <w:rPr>
          <w:w w:val="100"/>
        </w:rPr>
        <w:t> </w:t>
      </w:r>
      <w:r>
        <w:rPr/>
        <w:t>盖章的会计报表。</w:t>
      </w:r>
    </w:p>
    <w:p>
      <w:pPr>
        <w:pStyle w:val="Heading2"/>
        <w:spacing w:line="408" w:lineRule="auto" w:before="61"/>
        <w:ind w:left="712" w:right="0"/>
        <w:jc w:val="left"/>
      </w:pPr>
      <w:r>
        <w:rPr/>
        <w:t>二、载有会计师事务所盖章，注册会计师签名并盖章的审计报告原件。</w:t>
      </w:r>
      <w:r>
        <w:rPr>
          <w:w w:val="100"/>
        </w:rPr>
        <w:t> </w:t>
      </w:r>
      <w:r>
        <w:rPr>
          <w:spacing w:val="-2"/>
        </w:rPr>
        <w:t>三、报告期内在中国证监会指定报纸上公开披露过的所有公司文件正本的</w:t>
      </w:r>
    </w:p>
    <w:p>
      <w:pPr>
        <w:pStyle w:val="Heading2"/>
        <w:spacing w:line="240" w:lineRule="auto" w:before="62"/>
        <w:ind w:right="0"/>
        <w:jc w:val="left"/>
      </w:pPr>
      <w:r>
        <w:rPr/>
        <w:t>原稿。</w:t>
      </w:r>
    </w:p>
    <w:p>
      <w:pPr>
        <w:spacing w:line="240" w:lineRule="auto" w:before="9"/>
        <w:rPr>
          <w:rFonts w:ascii="宋体" w:hAnsi="宋体" w:cs="宋体" w:eastAsia="宋体" w:hint="default"/>
          <w:sz w:val="19"/>
          <w:szCs w:val="19"/>
        </w:rPr>
      </w:pPr>
    </w:p>
    <w:p>
      <w:pPr>
        <w:pStyle w:val="Heading2"/>
        <w:spacing w:line="434" w:lineRule="auto"/>
        <w:ind w:left="712" w:right="4989"/>
        <w:jc w:val="left"/>
      </w:pPr>
      <w:r>
        <w:rPr/>
        <w:t>四、其他相关文件。</w:t>
      </w:r>
      <w:r>
        <w:rPr>
          <w:w w:val="100"/>
        </w:rPr>
        <w:t> </w:t>
      </w:r>
      <w:r>
        <w:rPr>
          <w:spacing w:val="-1"/>
        </w:rPr>
        <w:t>以上文件的备置地点：公司董秘办</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434" w:lineRule="auto" w:before="229"/>
        <w:ind w:left="7294" w:right="372" w:hanging="570"/>
        <w:jc w:val="left"/>
      </w:pPr>
      <w:r>
        <w:rPr>
          <w:spacing w:val="-1"/>
        </w:rPr>
        <w:t>天舟文化股份有限公司</w:t>
      </w:r>
      <w:r>
        <w:rPr>
          <w:spacing w:val="-131"/>
        </w:rPr>
        <w:t> </w:t>
      </w:r>
      <w:r>
        <w:rPr>
          <w:spacing w:val="-131"/>
        </w:rPr>
      </w:r>
      <w:r>
        <w:rPr/>
        <w:t>董事长：肖志鸿</w:t>
      </w:r>
    </w:p>
    <w:p>
      <w:pPr>
        <w:spacing w:before="50"/>
        <w:ind w:left="0" w:right="111" w:firstLine="0"/>
        <w:jc w:val="right"/>
        <w:rPr>
          <w:rFonts w:ascii="宋体" w:hAnsi="宋体" w:cs="宋体" w:eastAsia="宋体" w:hint="default"/>
          <w:sz w:val="30"/>
          <w:szCs w:val="30"/>
        </w:rPr>
      </w:pPr>
      <w:r>
        <w:rPr>
          <w:rFonts w:ascii="宋体" w:hAnsi="宋体" w:cs="宋体" w:eastAsia="宋体" w:hint="default"/>
          <w:sz w:val="28"/>
          <w:szCs w:val="28"/>
        </w:rPr>
        <w:t>二</w:t>
      </w:r>
      <w:r>
        <w:rPr>
          <w:rFonts w:ascii="宋体" w:hAnsi="宋体" w:cs="宋体" w:eastAsia="宋体" w:hint="default"/>
          <w:sz w:val="30"/>
          <w:szCs w:val="30"/>
        </w:rPr>
        <w:t>〇一三年三月三十日</w:t>
      </w:r>
    </w:p>
    <w:sectPr>
      <w:pgSz w:w="11910" w:h="16840"/>
      <w:pgMar w:header="918" w:footer="979" w:top="1100" w:bottom="116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27.679993pt;margin-top:780.961609pt;width:13.15pt;height:11pt;mso-position-horizontal-relative:page;mso-position-vertical-relative:page;z-index:-686800"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10</w:t>
                </w:r>
                <w:r>
                  <w:rPr/>
                  <w:fldChar w:fldCharType="end"/>
                </w:r>
                <w:r>
                  <w:rPr>
                    <w:rFonts w:ascii="宋体"/>
                    <w:spacing w:val="1"/>
                  </w:rPr>
                </w:r>
                <w:r>
                  <w:rPr>
                    <w:rFonts w:ascii="宋体"/>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2.440002pt;margin-top:780.961609pt;width:13.15pt;height:11pt;mso-position-horizontal-relative:page;mso-position-vertical-relative:page;z-index:-686416"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40</w:t>
                </w:r>
                <w:r>
                  <w:rPr/>
                  <w:fldChar w:fldCharType="end"/>
                </w:r>
                <w:r>
                  <w:rPr>
                    <w:rFonts w:ascii="宋体"/>
                    <w:spacing w:val="1"/>
                  </w:rPr>
                </w:r>
                <w:r>
                  <w:rPr>
                    <w:rFonts w:ascii="宋体"/>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2.440002pt;margin-top:780.961609pt;width:13.15pt;height:11pt;mso-position-horizontal-relative:page;mso-position-vertical-relative:page;z-index:-686392"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41</w:t>
                </w:r>
                <w:r>
                  <w:rPr/>
                  <w:fldChar w:fldCharType="end"/>
                </w:r>
                <w:r>
                  <w:rPr>
                    <w:rFonts w:ascii="宋体"/>
                    <w:spacing w:val="1"/>
                  </w:rPr>
                </w:r>
                <w:r>
                  <w:rPr>
                    <w:rFonts w:ascii="宋体"/>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2.440002pt;margin-top:780.961609pt;width:13.15pt;height:11pt;mso-position-horizontal-relative:page;mso-position-vertical-relative:page;z-index:-686368"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42</w:t>
                </w:r>
                <w:r>
                  <w:rPr/>
                  <w:fldChar w:fldCharType="end"/>
                </w:r>
                <w:r>
                  <w:rPr>
                    <w:rFonts w:ascii="宋体"/>
                    <w:spacing w:val="1"/>
                  </w:rPr>
                </w:r>
                <w:r>
                  <w:rPr>
                    <w:rFonts w:ascii="宋体"/>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527.679993pt;margin-top:780.961609pt;width:13.15pt;height:11pt;mso-position-horizontal-relative:page;mso-position-vertical-relative:page;z-index:-686320"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50</w:t>
                </w:r>
                <w:r>
                  <w:rPr/>
                  <w:fldChar w:fldCharType="end"/>
                </w:r>
                <w:r>
                  <w:rPr>
                    <w:rFonts w:ascii="宋体"/>
                    <w:spacing w:val="1"/>
                  </w:rPr>
                </w:r>
                <w:r>
                  <w:rPr>
                    <w:rFonts w:ascii="宋体"/>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61609pt;width:13.15pt;height:11pt;mso-position-horizontal-relative:page;mso-position-vertical-relative:page;z-index:-685792"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79</w:t>
                </w:r>
                <w:r>
                  <w:rPr/>
                  <w:fldChar w:fldCharType="end"/>
                </w:r>
                <w:r>
                  <w:rPr>
                    <w:rFonts w:ascii="宋体"/>
                    <w:spacing w:val="1"/>
                  </w:rPr>
                </w:r>
                <w:r>
                  <w:rPr>
                    <w:rFonts w:ascii="宋体"/>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61609pt;width:13.15pt;height:11pt;mso-position-horizontal-relative:page;mso-position-vertical-relative:page;z-index:-685720"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80</w:t>
                </w:r>
                <w:r>
                  <w:rPr/>
                  <w:fldChar w:fldCharType="end"/>
                </w:r>
                <w:r>
                  <w:rPr>
                    <w:rFonts w:ascii="宋体"/>
                    <w:spacing w:val="1"/>
                  </w:rPr>
                </w:r>
                <w:r>
                  <w:rPr>
                    <w:rFonts w:ascii="宋体"/>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0.961609pt;width:15.7pt;height:11pt;mso-position-horizontal-relative:page;mso-position-vertical-relative:page;z-index:-685528" type="#_x0000_t202" filled="false" stroked="false">
          <v:textbox inset="0,0,0,0">
            <w:txbxContent>
              <w:p>
                <w:pPr>
                  <w:pStyle w:val="BodyText"/>
                  <w:spacing w:line="200" w:lineRule="exact"/>
                  <w:ind w:left="20" w:right="0"/>
                  <w:jc w:val="left"/>
                  <w:rPr>
                    <w:rFonts w:ascii="宋体" w:hAnsi="宋体" w:cs="宋体" w:eastAsia="宋体" w:hint="default"/>
                  </w:rPr>
                </w:pPr>
                <w:r>
                  <w:rPr>
                    <w:rFonts w:ascii="宋体"/>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523.119995pt;margin-top:780.961609pt;width:17.7pt;height:11pt;mso-position-horizontal-relative:page;mso-position-vertical-relative:page;z-index:-685504" type="#_x0000_t202" filled="false" stroked="false">
          <v:textbox inset="0,0,0,0">
            <w:txbxContent>
              <w:p>
                <w:pPr>
                  <w:pStyle w:val="BodyText"/>
                  <w:spacing w:line="200" w:lineRule="exact"/>
                  <w:ind w:left="40" w:right="0"/>
                  <w:jc w:val="left"/>
                  <w:rPr>
                    <w:rFonts w:ascii="宋体" w:hAnsi="宋体" w:cs="宋体" w:eastAsia="宋体" w:hint="default"/>
                  </w:rPr>
                </w:pPr>
                <w:r>
                  <w:rPr>
                    <w:rFonts w:ascii="宋体"/>
                  </w:rPr>
                </w:r>
                <w:r>
                  <w:rPr/>
                  <w:fldChar w:fldCharType="begin"/>
                </w:r>
                <w:r>
                  <w:rPr>
                    <w:rFonts w:ascii="宋体"/>
                  </w:rPr>
                  <w:instrText> PAGE </w:instrText>
                </w:r>
                <w:r>
                  <w:rPr/>
                  <w:fldChar w:fldCharType="separate"/>
                </w:r>
                <w:r>
                  <w:rPr/>
                  <w:t>117</w:t>
                </w:r>
                <w:r>
                  <w:rPr/>
                  <w:fldChar w:fldCharType="end"/>
                </w:r>
                <w:r>
                  <w:rPr>
                    <w:rFonts w:ascii="宋体"/>
                    <w:spacing w:val="1"/>
                  </w:rPr>
                </w:r>
                <w:r>
                  <w:rPr>
                    <w:rFonts w:ascii="宋体"/>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824"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53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512"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55.664001pt;margin-top:72.80748pt;width:134.450pt;height:14pt;mso-position-horizontal-relative:page;mso-position-vertical-relative:page;z-index:-6864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（七）承诺事项履行情况</w:t>
                </w:r>
                <w:r>
                  <w:rPr>
                    <w:rFonts w:ascii="宋体" w:hAnsi="宋体" w:cs="宋体" w:eastAsia="宋体" w:hint="default"/>
                    <w:sz w:val="24"/>
                    <w:szCs w:val="24"/>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464"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440"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344"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296"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55.664001pt;margin-top:76.647484pt;width:482pt;height:14pt;mso-position-horizontal-relative:page;mso-position-vertical-relative:page;z-index:-6862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板上市公司规范运作指引》和《公司章程》规定，行使董事长职权，履行职责。在召集、主</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248"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77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224"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200"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17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152"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128"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55.664001pt;margin-top:73.564980pt;width:165.45pt;height:13.15pt;mso-position-horizontal-relative:page;mso-position-vertical-relative:page;z-index:-68610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、公司现任法定代表人：肖志鸿。</w:t>
                </w:r>
                <w:r>
                  <w:rPr>
                    <w:rFonts w:ascii="宋体" w:hAnsi="宋体" w:cs="宋体" w:eastAsia="宋体" w:hint="default"/>
                    <w:sz w:val="21"/>
                    <w:szCs w:val="21"/>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080"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056"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73.664001pt;margin-top:77.665611pt;width:407pt;height:11pt;mso-position-horizontal-relative:page;mso-position-vertical-relative:page;z-index:-686032" type="#_x0000_t202" filled="false" stroked="false">
          <v:textbox inset="0,0,0,0">
            <w:txbxContent>
              <w:p>
                <w:pPr>
                  <w:pStyle w:val="BodyText"/>
                  <w:spacing w:line="200" w:lineRule="exact"/>
                  <w:ind w:left="20" w:right="0"/>
                  <w:jc w:val="left"/>
                </w:pPr>
                <w:r>
                  <w:rPr/>
                  <w:t>公司对外销售商品或提供劳务形成的应收债权，按从购货方应收的合同或协议价款作为初始确认金额。</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008"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73.664001pt;margin-top:77.665611pt;width:105.6pt;height:11.5pt;mso-position-horizontal-relative:page;mso-position-vertical-relative:page;z-index:-685984" type="#_x0000_t202" filled="false" stroked="false">
          <v:textbox inset="0,0,0,0">
            <w:txbxContent>
              <w:p>
                <w:pPr>
                  <w:pStyle w:val="BodyText"/>
                  <w:spacing w:line="214" w:lineRule="exact"/>
                  <w:ind w:left="20" w:right="0"/>
                  <w:jc w:val="left"/>
                </w:pPr>
                <w:r>
                  <w:rPr/>
                  <w:t>（</w:t>
                </w:r>
                <w:r>
                  <w:rPr>
                    <w:rFonts w:ascii="Times New Roman" w:hAnsi="Times New Roman" w:cs="Times New Roman" w:eastAsia="Times New Roman" w:hint="default"/>
                  </w:rPr>
                  <w:t>6</w:t>
                </w:r>
                <w:r>
                  <w:rPr/>
                  <w:t>）金融资产的减值准备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960"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936"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73.664001pt;margin-top:77.665611pt;width:465.95pt;height:11pt;mso-position-horizontal-relative:page;mso-position-vertical-relative:page;z-index:-685912" type="#_x0000_t202" filled="false" stroked="false">
          <v:textbox inset="0,0,0,0">
            <w:txbxContent>
              <w:p>
                <w:pPr>
                  <w:pStyle w:val="BodyText"/>
                  <w:spacing w:line="200" w:lineRule="exact"/>
                  <w:ind w:left="20" w:right="0"/>
                  <w:jc w:val="left"/>
                </w:pPr>
                <w:r>
                  <w:rPr>
                    <w:spacing w:val="-2"/>
                  </w:rPr>
                  <w:t>本公司对于被投资单位除净损益以外所有者权益的其它变动，在持股比例不变的情况下，按照持股比例与被投资单位除</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752"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79.783997pt;margin-top:76.647484pt;width:459.85pt;height:14pt;mso-position-horizontal-relative:page;mso-position-vertical-relative:page;z-index:-6867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第九、加强人才队伍建设，努力提高员工职业素质。</w:t>
                </w:r>
                <w:r>
                  <w:rPr>
                    <w:rFonts w:ascii="宋体" w:hAnsi="宋体" w:cs="宋体" w:eastAsia="宋体" w:hint="default"/>
                    <w:sz w:val="24"/>
                    <w:szCs w:val="24"/>
                  </w:rPr>
                  <w:t>公司在加大专业人才引进力度的同</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888"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864"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73.664001pt;margin-top:77.665611pt;width:152.5pt;height:11.5pt;mso-position-horizontal-relative:page;mso-position-vertical-relative:page;z-index:-68584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D</w:t>
                </w:r>
                <w:r>
                  <w:rPr/>
                  <w:t>、相关的经济利益很可能流入企业；</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81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768"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55.664001pt;margin-top:77.665611pt;width:380pt;height:11pt;mso-position-horizontal-relative:page;mso-position-vertical-relative:page;z-index:-685744" type="#_x0000_t202" filled="false" stroked="false">
          <v:textbox inset="0,0,0,0">
            <w:txbxContent>
              <w:p>
                <w:pPr>
                  <w:pStyle w:val="BodyText"/>
                  <w:spacing w:line="200" w:lineRule="exact"/>
                  <w:ind w:left="20" w:right="0"/>
                  <w:jc w:val="left"/>
                </w:pPr>
                <w:r>
                  <w:rPr/>
                  <w:t>收益（例如，可供出售金融资产公允价值变动计入资本公积的部分，下同）转入当期投资收益。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69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672"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648"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624"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73.664001pt;margin-top:77.665611pt;width:141.6pt;height:11pt;mso-position-horizontal-relative:page;mso-position-vertical-relative:page;z-index:-685600" type="#_x0000_t202" filled="false" stroked="false">
          <v:textbox inset="0,0,0,0">
            <w:txbxContent>
              <w:p>
                <w:pPr>
                  <w:pStyle w:val="BodyText"/>
                  <w:spacing w:line="200" w:lineRule="exact"/>
                  <w:ind w:left="20" w:right="0"/>
                  <w:jc w:val="left"/>
                </w:pPr>
                <w:r>
                  <w:rPr/>
                  <w:t>（</w:t>
                </w:r>
                <w:r>
                  <w:rPr>
                    <w:rFonts w:ascii="宋体" w:hAnsi="宋体" w:cs="宋体" w:eastAsia="宋体" w:hint="default"/>
                  </w:rPr>
                  <w:t>2</w:t>
                </w:r>
                <w:r>
                  <w:rPr/>
                  <w:t>）期末持有待售的固定资产情况</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57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552"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704"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480"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45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432"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5408"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680"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656"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632"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608" coordorigin="1104,1111" coordsize="9338,2">
          <v:shape style="position:absolute;left:1104;top:1111;width:9338;height:2" coordorigin="1104,1111" coordsize="9338,0" path="m1104,1111l10442,1111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66.9pt;height:.1pt;mso-position-horizontal-relative:page;mso-position-vertical-relative:page;z-index:-686584" coordorigin="1104,1111" coordsize="9338,2">
          <v:shape style="position:absolute;left:1104;top:1111;width:9338;height:2" coordorigin="1104,1111" coordsize="9338,0" path="m1104,1111l10442,1111e" filled="false" stroked="true" strokeweight=".72pt" strokecolor="#000000">
            <v:path arrowok="t"/>
          </v:shape>
          <w10:wrap type="none"/>
        </v:group>
      </w:pict>
    </w:r>
    <w:r>
      <w:rPr/>
      <w:pict>
        <v:shape style="position:absolute;margin-left:55.664001pt;margin-top:76.647484pt;width:483.65pt;height:14pt;mso-position-horizontal-relative:page;mso-position-vertical-relative:page;z-index:-68656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程以及内幕信息的保密管理。同时，为规范公司的信息披露和内幕信息管理，加强内幕信息</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375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spacing w:before="36"/>
      <w:ind w:left="153"/>
      <w:outlineLvl w:val="4"/>
    </w:pPr>
    <w:rPr>
      <w:rFonts w:ascii="宋体" w:hAnsi="宋体" w:eastAsia="宋体"/>
      <w:sz w:val="24"/>
      <w:szCs w:val="24"/>
    </w:rPr>
  </w:style>
  <w:style w:styleId="Heading5" w:type="paragraph">
    <w:name w:val="Heading 5"/>
    <w:basedOn w:val="Normal"/>
    <w:uiPriority w:val="1"/>
    <w:qFormat/>
    <w:pPr>
      <w:ind w:left="153"/>
      <w:outlineLvl w:val="5"/>
    </w:pPr>
    <w:rPr>
      <w:rFonts w:ascii="宋体" w:hAnsi="宋体" w:eastAsia="宋体"/>
      <w:b/>
      <w:bCs/>
      <w:sz w:val="21"/>
      <w:szCs w:val="21"/>
    </w:rPr>
  </w:style>
  <w:style w:styleId="Heading6" w:type="paragraph">
    <w:name w:val="Heading 6"/>
    <w:basedOn w:val="Normal"/>
    <w:uiPriority w:val="1"/>
    <w:qFormat/>
    <w:pPr>
      <w:spacing w:before="36"/>
      <w:ind w:left="633"/>
      <w:outlineLvl w:val="6"/>
    </w:pPr>
    <w:rPr>
      <w:rFonts w:ascii="宋体" w:hAnsi="宋体" w:eastAsia="宋体"/>
      <w:sz w:val="21"/>
      <w:szCs w:val="21"/>
    </w:rPr>
  </w:style>
  <w:style w:styleId="Heading7" w:type="paragraph">
    <w:name w:val="Heading 7"/>
    <w:basedOn w:val="Normal"/>
    <w:uiPriority w:val="1"/>
    <w:qFormat/>
    <w:pPr>
      <w:outlineLvl w:val="7"/>
    </w:pPr>
    <w:rPr>
      <w:rFonts w:ascii="宋体" w:hAnsi="宋体" w:eastAsia="宋体"/>
      <w:sz w:val="20"/>
      <w:szCs w:val="20"/>
    </w:rPr>
  </w:style>
  <w:style w:styleId="Heading8" w:type="paragraph">
    <w:name w:val="Heading 8"/>
    <w:basedOn w:val="Normal"/>
    <w:uiPriority w:val="1"/>
    <w:qFormat/>
    <w:pPr>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t-angel.com/" TargetMode="External"/><Relationship Id="rId9" Type="http://schemas.openxmlformats.org/officeDocument/2006/relationships/hyperlink" Target="mailto:tangeldm@126.com" TargetMode="External"/><Relationship Id="rId10" Type="http://schemas.openxmlformats.org/officeDocument/2006/relationships/hyperlink" Target="http://www.cninfo.com.cn/" TargetMode="External"/><Relationship Id="rId11" Type="http://schemas.openxmlformats.org/officeDocument/2006/relationships/hyperlink" Target="http://www.cs.com.cn/" TargetMode="External"/><Relationship Id="rId12" Type="http://schemas.openxmlformats.org/officeDocument/2006/relationships/hyperlink" Target="http://www.stcn.com/" TargetMode="External"/><Relationship Id="rId13" Type="http://schemas.openxmlformats.org/officeDocument/2006/relationships/hyperlink" Target="http://www.cnstock.com/" TargetMode="External"/><Relationship Id="rId14" Type="http://schemas.openxmlformats.org/officeDocument/2006/relationships/hyperlink" Target="http://www.ccstock.cn/" TargetMode="Externa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image" Target="media/image2.jpeg"/><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header" Target="header6.xml"/><Relationship Id="rId23" Type="http://schemas.openxmlformats.org/officeDocument/2006/relationships/image" Target="media/image5.jpe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image" Target="media/image6.jpeg"/><Relationship Id="rId32" Type="http://schemas.openxmlformats.org/officeDocument/2006/relationships/header" Target="header14.xml"/><Relationship Id="rId33" Type="http://schemas.openxmlformats.org/officeDocument/2006/relationships/footer" Target="footer2.xml"/><Relationship Id="rId34" Type="http://schemas.openxmlformats.org/officeDocument/2006/relationships/header" Target="header15.xml"/><Relationship Id="rId35" Type="http://schemas.openxmlformats.org/officeDocument/2006/relationships/footer" Target="footer3.xml"/><Relationship Id="rId36" Type="http://schemas.openxmlformats.org/officeDocument/2006/relationships/header" Target="header16.xml"/><Relationship Id="rId37" Type="http://schemas.openxmlformats.org/officeDocument/2006/relationships/footer" Target="footer4.xml"/><Relationship Id="rId38" Type="http://schemas.openxmlformats.org/officeDocument/2006/relationships/header" Target="header17.xml"/><Relationship Id="rId39" Type="http://schemas.openxmlformats.org/officeDocument/2006/relationships/footer" Target="footer5.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header" Target="header25.xml"/><Relationship Id="rId48" Type="http://schemas.openxmlformats.org/officeDocument/2006/relationships/header" Target="header26.xml"/><Relationship Id="rId49" Type="http://schemas.openxmlformats.org/officeDocument/2006/relationships/header" Target="header27.xml"/><Relationship Id="rId50" Type="http://schemas.openxmlformats.org/officeDocument/2006/relationships/header" Target="header28.xml"/><Relationship Id="rId51" Type="http://schemas.openxmlformats.org/officeDocument/2006/relationships/header" Target="header29.xml"/><Relationship Id="rId52" Type="http://schemas.openxmlformats.org/officeDocument/2006/relationships/header" Target="header30.xml"/><Relationship Id="rId53" Type="http://schemas.openxmlformats.org/officeDocument/2006/relationships/header" Target="header31.xml"/><Relationship Id="rId54" Type="http://schemas.openxmlformats.org/officeDocument/2006/relationships/header" Target="header32.xml"/><Relationship Id="rId55" Type="http://schemas.openxmlformats.org/officeDocument/2006/relationships/footer" Target="footer6.xml"/><Relationship Id="rId56" Type="http://schemas.openxmlformats.org/officeDocument/2006/relationships/header" Target="header33.xml"/><Relationship Id="rId57" Type="http://schemas.openxmlformats.org/officeDocument/2006/relationships/footer" Target="footer7.xml"/><Relationship Id="rId58" Type="http://schemas.openxmlformats.org/officeDocument/2006/relationships/header" Target="header34.xml"/><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footer" Target="footer8.xml"/><Relationship Id="rId65" Type="http://schemas.openxmlformats.org/officeDocument/2006/relationships/footer" Target="footer9.xml"/><Relationship Id="rId66" Type="http://schemas.openxmlformats.org/officeDocument/2006/relationships/header" Target="header40.xml"/><Relationship Id="rId67" Type="http://schemas.openxmlformats.org/officeDocument/2006/relationships/header" Target="header41.xml"/><Relationship Id="rId68" Type="http://schemas.openxmlformats.org/officeDocument/2006/relationships/header" Target="header42.xml"/><Relationship Id="rId69" Type="http://schemas.openxmlformats.org/officeDocument/2006/relationships/header" Target="head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dcterms:created xsi:type="dcterms:W3CDTF">2020-05-04T01:53:50Z</dcterms:created>
  <dcterms:modified xsi:type="dcterms:W3CDTF">2020-05-04T01:53:50Z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Creator">
    <vt:lpwstr>Microsoft® Word 2010</vt:lpwstr>
  </property>
  <property fmtid="{D5CDD505-2E9C-101B-9397-08002B2CF9AE}" pid="4" name="LastSaved">
    <vt:filetime>2020-05-03T00:00:00Z</vt:filetime>
  </property>
</Properties>
</file>