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p>
      <w:pPr>
        <w:spacing w:line="4992" w:lineRule="exact"/>
        <w:ind w:left="172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9"/>
          <w:sz w:val="20"/>
          <w:szCs w:val="20"/>
        </w:rPr>
        <w:drawing>
          <wp:inline distT="0" distB="0" distL="0" distR="0">
            <wp:extent cx="3586167" cy="317049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586167" cy="3170491"/>
                    </a:xfrm>
                    <a:prstGeom prst="rect">
                      <a:avLst/>
                    </a:prstGeom>
                  </pic:spPr>
                </pic:pic>
              </a:graphicData>
            </a:graphic>
          </wp:inline>
        </w:drawing>
      </w:r>
      <w:r>
        <w:rPr>
          <w:rFonts w:ascii="Times New Roman" w:hAnsi="Times New Roman" w:cs="Times New Roman" w:eastAsia="Times New Roman" w:hint="default"/>
          <w:position w:val="-9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0"/>
          <w:szCs w:val="20"/>
        </w:rPr>
      </w:pPr>
    </w:p>
    <w:p>
      <w:pPr>
        <w:spacing w:line="539" w:lineRule="exact" w:before="0"/>
        <w:ind w:left="2116" w:right="1973" w:firstLine="0"/>
        <w:jc w:val="center"/>
        <w:rPr>
          <w:rFonts w:ascii="宋体" w:hAnsi="宋体" w:cs="宋体" w:eastAsia="宋体" w:hint="default"/>
          <w:sz w:val="44"/>
          <w:szCs w:val="44"/>
        </w:rPr>
      </w:pPr>
      <w:r>
        <w:rPr>
          <w:rFonts w:ascii="宋体" w:hAnsi="宋体" w:cs="宋体" w:eastAsia="宋体" w:hint="default"/>
          <w:b/>
          <w:bCs/>
          <w:sz w:val="44"/>
          <w:szCs w:val="44"/>
        </w:rPr>
        <w:t>天舟文化股份有限公司</w:t>
      </w:r>
      <w:r>
        <w:rPr>
          <w:rFonts w:ascii="宋体" w:hAnsi="宋体" w:cs="宋体" w:eastAsia="宋体" w:hint="default"/>
          <w:sz w:val="44"/>
          <w:szCs w:val="44"/>
        </w:rPr>
      </w:r>
    </w:p>
    <w:p>
      <w:pPr>
        <w:spacing w:before="202"/>
        <w:ind w:left="2115" w:right="1973"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2015</w:t>
      </w:r>
      <w:r>
        <w:rPr>
          <w:rFonts w:ascii="Times New Roman" w:hAnsi="Times New Roman" w:cs="Times New Roman" w:eastAsia="Times New Roman" w:hint="default"/>
          <w:b/>
          <w:bCs/>
          <w:spacing w:val="-6"/>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6"/>
          <w:szCs w:val="46"/>
        </w:rPr>
      </w:pPr>
    </w:p>
    <w:p>
      <w:pPr>
        <w:spacing w:line="240" w:lineRule="auto" w:before="3"/>
        <w:rPr>
          <w:rFonts w:ascii="宋体" w:hAnsi="宋体" w:cs="宋体" w:eastAsia="宋体" w:hint="default"/>
          <w:b/>
          <w:bCs/>
          <w:sz w:val="59"/>
          <w:szCs w:val="59"/>
        </w:rPr>
      </w:pPr>
    </w:p>
    <w:p>
      <w:pPr>
        <w:pStyle w:val="Heading2"/>
        <w:spacing w:line="360" w:lineRule="auto"/>
        <w:ind w:right="1969"/>
        <w:jc w:val="center"/>
        <w:rPr>
          <w:b w:val="0"/>
          <w:bCs w:val="0"/>
        </w:rPr>
      </w:pPr>
      <w:r>
        <w:rPr/>
        <w:t>证券代码：</w:t>
      </w:r>
      <w:r>
        <w:rPr>
          <w:rFonts w:ascii="Times New Roman" w:hAnsi="Times New Roman" w:cs="Times New Roman" w:eastAsia="Times New Roman" w:hint="default"/>
        </w:rPr>
        <w:t>300148 </w:t>
      </w:r>
      <w:r>
        <w:rPr>
          <w:w w:val="95"/>
        </w:rPr>
        <w:t>证券简称：天舟文化</w:t>
      </w:r>
      <w:r>
        <w:rPr>
          <w:b w:val="0"/>
          <w:bCs w:val="0"/>
        </w:rPr>
      </w: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4"/>
        <w:rPr>
          <w:rFonts w:ascii="宋体" w:hAnsi="宋体" w:cs="宋体" w:eastAsia="宋体" w:hint="default"/>
          <w:b/>
          <w:bCs/>
          <w:sz w:val="29"/>
          <w:szCs w:val="29"/>
        </w:rPr>
      </w:pPr>
    </w:p>
    <w:p>
      <w:pPr>
        <w:pStyle w:val="Heading2"/>
        <w:spacing w:line="240" w:lineRule="auto"/>
        <w:ind w:right="1971"/>
        <w:jc w:val="center"/>
        <w:rPr>
          <w:b w:val="0"/>
          <w:bCs w:val="0"/>
        </w:rPr>
      </w:pPr>
      <w:r>
        <w:rPr/>
        <w:t>二〇一六年三月五日</w:t>
      </w:r>
      <w:r>
        <w:rPr>
          <w:b w:val="0"/>
          <w:bCs w:val="0"/>
        </w:rPr>
      </w:r>
    </w:p>
    <w:p>
      <w:pPr>
        <w:spacing w:after="0" w:line="240" w:lineRule="auto"/>
        <w:jc w:val="center"/>
        <w:sectPr>
          <w:footerReference w:type="default" r:id="rId5"/>
          <w:type w:val="continuous"/>
          <w:pgSz w:w="11910" w:h="16840"/>
          <w:pgMar w:footer="959" w:top="1580" w:bottom="1140" w:left="1680" w:right="1680"/>
          <w:pgNumType w:start="1"/>
        </w:sectPr>
      </w:pPr>
    </w:p>
    <w:p>
      <w:pPr>
        <w:pStyle w:val="Heading1"/>
        <w:spacing w:line="394" w:lineRule="exact"/>
        <w:ind w:left="2624" w:right="0"/>
        <w:jc w:val="left"/>
        <w:rPr>
          <w:b w:val="0"/>
          <w:bCs w:val="0"/>
        </w:rPr>
      </w:pPr>
      <w:bookmarkStart w:name="_TOC_250009" w:id="1"/>
      <w:r>
        <w:rPr/>
        <w:t>第一节</w:t>
      </w:r>
      <w:r>
        <w:rPr>
          <w:spacing w:val="-51"/>
        </w:rPr>
        <w:t> </w:t>
      </w:r>
      <w:r>
        <w:rPr/>
        <w:t>重要提示、目录和释义</w:t>
      </w:r>
      <w:bookmarkEnd w:id="1"/>
      <w:r>
        <w:rPr>
          <w:b w:val="0"/>
          <w:bCs w:val="0"/>
        </w:rPr>
      </w:r>
    </w:p>
    <w:p>
      <w:pPr>
        <w:spacing w:line="240" w:lineRule="auto" w:before="13"/>
        <w:rPr>
          <w:rFonts w:ascii="宋体" w:hAnsi="宋体" w:cs="宋体" w:eastAsia="宋体" w:hint="default"/>
          <w:b/>
          <w:bCs/>
          <w:sz w:val="46"/>
          <w:szCs w:val="46"/>
        </w:rPr>
      </w:pPr>
    </w:p>
    <w:p>
      <w:pPr>
        <w:pStyle w:val="Heading6"/>
        <w:spacing w:line="408" w:lineRule="auto"/>
        <w:ind w:right="150" w:firstLine="419"/>
        <w:jc w:val="both"/>
      </w:pPr>
      <w:r>
        <w:rPr>
          <w:spacing w:val="-3"/>
        </w:rPr>
        <w:t>一、本公司董事会、监事会及董事、监事、高级管理人员保证本报告所载资料不存在任</w:t>
      </w:r>
      <w:r>
        <w:rPr>
          <w:w w:val="100"/>
        </w:rPr>
        <w:t> </w:t>
      </w:r>
      <w:r>
        <w:rPr>
          <w:spacing w:val="-3"/>
        </w:rPr>
        <w:t>何虚假记载、误导性陈述或者重大遗漏，并对其内容的真实性、准确性和完整性承担个别及</w:t>
      </w:r>
      <w:r>
        <w:rPr>
          <w:spacing w:val="-34"/>
        </w:rPr>
        <w:t> </w:t>
      </w:r>
      <w:r>
        <w:rPr>
          <w:spacing w:val="-34"/>
        </w:rPr>
      </w:r>
      <w:r>
        <w:rPr/>
        <w:t>连带责任。</w:t>
      </w:r>
    </w:p>
    <w:p>
      <w:pPr>
        <w:pStyle w:val="Heading6"/>
        <w:spacing w:line="408" w:lineRule="auto" w:before="46"/>
        <w:ind w:left="583" w:right="0"/>
        <w:jc w:val="left"/>
      </w:pPr>
      <w:r>
        <w:rPr/>
        <w:t>二、全体董事均出席了审议本报告的董事会会议。</w:t>
      </w:r>
      <w:r>
        <w:rPr>
          <w:w w:val="100"/>
        </w:rPr>
        <w:t> </w:t>
      </w:r>
      <w:r>
        <w:rPr>
          <w:spacing w:val="-1"/>
        </w:rPr>
        <w:t>三、天职国际会计师事务所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r>
      <w:r>
        <w:rPr>
          <w:spacing w:val="-1"/>
        </w:rPr>
        <w:t>对本年度公司财务报告的审计意见为：标准</w:t>
      </w:r>
    </w:p>
    <w:p>
      <w:pPr>
        <w:pStyle w:val="Heading6"/>
        <w:spacing w:line="408" w:lineRule="auto" w:before="15"/>
        <w:ind w:left="583" w:right="0" w:hanging="420"/>
        <w:jc w:val="left"/>
      </w:pPr>
      <w:r>
        <w:rPr/>
        <w:t>无保留审计意见。</w:t>
      </w:r>
      <w:r>
        <w:rPr>
          <w:w w:val="100"/>
        </w:rPr>
        <w:t> </w:t>
      </w:r>
      <w:r>
        <w:rPr/>
        <w:t>四、公司负责人肖志鸿先生、主管会计工作负责人殷明坤先生及会计机构负责人</w:t>
      </w:r>
      <w:r>
        <w:rPr>
          <w:rFonts w:ascii="Times New Roman" w:hAnsi="Times New Roman" w:cs="Times New Roman" w:eastAsia="Times New Roman" w:hint="default"/>
        </w:rPr>
        <w:t>(</w:t>
      </w:r>
      <w:r>
        <w:rPr/>
        <w:t>会计</w:t>
      </w:r>
    </w:p>
    <w:p>
      <w:pPr>
        <w:pStyle w:val="Heading6"/>
        <w:spacing w:line="386" w:lineRule="auto" w:before="14"/>
        <w:ind w:left="583" w:right="0" w:hanging="420"/>
        <w:jc w:val="left"/>
      </w:pPr>
      <w:r>
        <w:rPr/>
        <w:t>主管人员</w:t>
      </w:r>
      <w:r>
        <w:rPr>
          <w:rFonts w:ascii="Times New Roman" w:hAnsi="Times New Roman" w:cs="Times New Roman" w:eastAsia="Times New Roman" w:hint="default"/>
        </w:rPr>
        <w:t>)</w:t>
      </w:r>
      <w:r>
        <w:rPr/>
        <w:t>刘英女士声明：保证年度报告中财务报告的真实、准确、完整。</w:t>
      </w:r>
      <w:r>
        <w:rPr>
          <w:w w:val="100"/>
        </w:rPr>
        <w:t> </w:t>
      </w:r>
      <w:r>
        <w:rPr>
          <w:spacing w:val="-1"/>
        </w:rPr>
        <w:t>五、公司在本报告第四节</w:t>
      </w:r>
      <w:r>
        <w:rPr>
          <w:rFonts w:ascii="Times New Roman" w:hAnsi="Times New Roman" w:cs="Times New Roman" w:eastAsia="Times New Roman" w:hint="default"/>
          <w:spacing w:val="-1"/>
        </w:rPr>
        <w:t>“</w:t>
      </w:r>
      <w:r>
        <w:rPr>
          <w:spacing w:val="-1"/>
        </w:rPr>
        <w:t>管理层分析与讨论</w:t>
      </w:r>
      <w:r>
        <w:rPr>
          <w:rFonts w:ascii="Times New Roman" w:hAnsi="Times New Roman" w:cs="Times New Roman" w:eastAsia="Times New Roman" w:hint="default"/>
          <w:spacing w:val="-1"/>
        </w:rPr>
        <w:t>”</w:t>
      </w:r>
      <w:r>
        <w:rPr>
          <w:spacing w:val="-1"/>
        </w:rPr>
        <w:t>之</w:t>
      </w:r>
      <w:r>
        <w:rPr>
          <w:rFonts w:ascii="Times New Roman" w:hAnsi="Times New Roman" w:cs="Times New Roman" w:eastAsia="Times New Roman" w:hint="default"/>
          <w:spacing w:val="-1"/>
        </w:rPr>
        <w:t>“</w:t>
      </w:r>
      <w:r>
        <w:rPr>
          <w:spacing w:val="-1"/>
        </w:rPr>
        <w:t>九、公司未来发展的展望</w:t>
      </w:r>
      <w:r>
        <w:rPr>
          <w:rFonts w:ascii="Times New Roman" w:hAnsi="Times New Roman" w:cs="Times New Roman" w:eastAsia="Times New Roman" w:hint="default"/>
          <w:spacing w:val="-1"/>
        </w:rPr>
        <w:t>”</w:t>
      </w:r>
      <w:r>
        <w:rPr>
          <w:spacing w:val="-1"/>
        </w:rPr>
        <w:t>部分，详细</w:t>
      </w:r>
    </w:p>
    <w:p>
      <w:pPr>
        <w:pStyle w:val="Heading6"/>
        <w:spacing w:line="240" w:lineRule="auto" w:before="35"/>
        <w:ind w:right="0"/>
        <w:jc w:val="left"/>
      </w:pPr>
      <w:r>
        <w:rPr/>
        <w:t>描述了公司经营中可能存在的风险，并提请投资者特别注意下列风险因素：</w:t>
      </w:r>
    </w:p>
    <w:p>
      <w:pPr>
        <w:spacing w:line="240" w:lineRule="auto" w:before="10"/>
        <w:rPr>
          <w:rFonts w:ascii="宋体" w:hAnsi="宋体" w:cs="宋体" w:eastAsia="宋体" w:hint="default"/>
          <w:sz w:val="14"/>
          <w:szCs w:val="14"/>
        </w:rPr>
      </w:pPr>
    </w:p>
    <w:p>
      <w:pPr>
        <w:pStyle w:val="Heading6"/>
        <w:spacing w:line="240" w:lineRule="auto"/>
        <w:ind w:left="583" w:right="0"/>
        <w:jc w:val="left"/>
      </w:pPr>
      <w:r>
        <w:rPr>
          <w:rFonts w:ascii="Times New Roman" w:hAnsi="Times New Roman" w:cs="Times New Roman" w:eastAsia="Times New Roman" w:hint="default"/>
        </w:rPr>
        <w:t>1</w:t>
      </w:r>
      <w:r>
        <w:rPr/>
        <w:t>、重大资产重组风险</w:t>
      </w:r>
    </w:p>
    <w:p>
      <w:pPr>
        <w:pStyle w:val="Heading6"/>
        <w:spacing w:line="396" w:lineRule="auto" w:before="177"/>
        <w:ind w:right="150" w:firstLine="419"/>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17</w:t>
      </w:r>
      <w:r>
        <w:rPr>
          <w:rFonts w:ascii="Times New Roman" w:hAnsi="Times New Roman" w:cs="Times New Roman" w:eastAsia="Times New Roman" w:hint="default"/>
          <w:spacing w:val="12"/>
        </w:rPr>
        <w:t> </w:t>
      </w:r>
      <w:r>
        <w:rPr>
          <w:spacing w:val="-5"/>
        </w:rPr>
        <w:t>日，公司召开了第二届董事会第四十三次会议，审议通过了发行股份及</w:t>
      </w:r>
      <w:r>
        <w:rPr>
          <w:w w:val="100"/>
        </w:rPr>
        <w:t> </w:t>
      </w:r>
      <w:r>
        <w:rPr/>
        <w:t>支付现金购买游爱网络</w:t>
      </w:r>
      <w:r>
        <w:rPr>
          <w:spacing w:val="-6"/>
        </w:rPr>
        <w:t> </w:t>
      </w:r>
      <w:r>
        <w:rPr>
          <w:rFonts w:ascii="Times New Roman" w:hAnsi="Times New Roman" w:cs="Times New Roman" w:eastAsia="Times New Roman" w:hint="default"/>
        </w:rPr>
        <w:t>100%</w:t>
      </w:r>
      <w:r>
        <w:rPr/>
        <w:t>股权事项的相关议案，并发布了《发行股份及支付现金购买资</w:t>
      </w:r>
      <w:r>
        <w:rPr>
          <w:w w:val="100"/>
        </w:rPr>
        <w:t> </w:t>
      </w:r>
      <w:r>
        <w:rPr>
          <w:spacing w:val="-3"/>
        </w:rPr>
        <w:t>产并募集配套资金暨关联交易预案》及相关公告。截止本公告日，本次重大资产重组事项涉</w:t>
      </w:r>
      <w:r>
        <w:rPr>
          <w:spacing w:val="-32"/>
        </w:rPr>
        <w:t> </w:t>
      </w:r>
      <w:r>
        <w:rPr>
          <w:spacing w:val="-32"/>
        </w:rPr>
      </w:r>
      <w:r>
        <w:rPr>
          <w:spacing w:val="-3"/>
        </w:rPr>
        <w:t>及的标的资产的审计、评估工作仍在进行中，报告书以及相关文件正在加紧编制和审核。目</w:t>
      </w:r>
      <w:r>
        <w:rPr>
          <w:spacing w:val="-35"/>
        </w:rPr>
        <w:t> </w:t>
      </w:r>
      <w:r>
        <w:rPr>
          <w:spacing w:val="-35"/>
        </w:rPr>
      </w:r>
      <w:r>
        <w:rPr/>
        <w:t>前该事项仍存在不确定性。公司在</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日披露的《发行股份及支付现金购买资</w:t>
      </w:r>
      <w:r>
        <w:rPr>
          <w:w w:val="100"/>
        </w:rPr>
        <w:t> </w:t>
      </w:r>
      <w:r>
        <w:rPr>
          <w:spacing w:val="-7"/>
          <w:w w:val="100"/>
        </w:rPr>
        <w:t>产并募集配套资金暨关联交易预案（修订稿）》</w:t>
      </w:r>
      <w:r>
        <w:rPr>
          <w:rFonts w:ascii="Times New Roman" w:hAnsi="Times New Roman" w:cs="Times New Roman" w:eastAsia="Times New Roman" w:hint="default"/>
          <w:spacing w:val="-7"/>
          <w:w w:val="100"/>
        </w:rPr>
        <w:t>“</w:t>
      </w:r>
      <w:r>
        <w:rPr>
          <w:spacing w:val="-7"/>
          <w:w w:val="100"/>
        </w:rPr>
        <w:t>第九节本次交易涉及的报批事项及风险提示</w:t>
      </w:r>
      <w:r>
        <w:rPr>
          <w:rFonts w:ascii="Times New Roman" w:hAnsi="Times New Roman" w:cs="Times New Roman" w:eastAsia="Times New Roman" w:hint="default"/>
          <w:spacing w:val="-7"/>
          <w:w w:val="100"/>
        </w:rPr>
        <w:t>”</w:t>
      </w:r>
      <w:r>
        <w:rPr>
          <w:rFonts w:ascii="Times New Roman" w:hAnsi="Times New Roman" w:cs="Times New Roman" w:eastAsia="Times New Roman" w:hint="default"/>
          <w:spacing w:val="-37"/>
          <w:w w:val="100"/>
        </w:rPr>
        <w:t> </w:t>
      </w:r>
      <w:r>
        <w:rPr>
          <w:spacing w:val="-3"/>
        </w:rPr>
        <w:t>中，对本次重大资产重组存在的风险因素作出了详细说明。公司积极推进重大资产重组相关</w:t>
      </w:r>
      <w:r>
        <w:rPr>
          <w:spacing w:val="-28"/>
        </w:rPr>
        <w:t> </w:t>
      </w:r>
      <w:r>
        <w:rPr>
          <w:spacing w:val="-28"/>
        </w:rPr>
      </w:r>
      <w:r>
        <w:rPr/>
        <w:t>工作，将按照法律法规的要求履行审批程序并及时披露相关公告，确保广大投资者利益。</w:t>
      </w:r>
    </w:p>
    <w:p>
      <w:pPr>
        <w:pStyle w:val="Heading6"/>
        <w:spacing w:line="240" w:lineRule="auto" w:before="57"/>
        <w:ind w:left="583" w:right="0"/>
        <w:jc w:val="left"/>
      </w:pPr>
      <w:r>
        <w:rPr>
          <w:rFonts w:ascii="Times New Roman" w:hAnsi="Times New Roman" w:cs="Times New Roman" w:eastAsia="Times New Roman" w:hint="default"/>
        </w:rPr>
        <w:t>2</w:t>
      </w:r>
      <w:r>
        <w:rPr/>
        <w:t>、投资并购整合风险</w:t>
      </w:r>
    </w:p>
    <w:p>
      <w:pPr>
        <w:pStyle w:val="Heading6"/>
        <w:spacing w:line="400" w:lineRule="auto" w:before="177"/>
        <w:ind w:right="114" w:firstLine="419"/>
        <w:jc w:val="both"/>
      </w:pPr>
      <w:r>
        <w:rPr/>
        <w:t>（</w:t>
      </w:r>
      <w:r>
        <w:rPr>
          <w:rFonts w:ascii="Times New Roman" w:hAnsi="Times New Roman" w:cs="Times New Roman" w:eastAsia="Times New Roman" w:hint="default"/>
        </w:rPr>
        <w:t>1</w:t>
      </w:r>
      <w:r>
        <w:rPr/>
        <w:t>）公司积极通过投资、并购、参股等方式推进公司的战略部署，延伸业务领域。在</w:t>
      </w:r>
      <w:r>
        <w:rPr>
          <w:w w:val="100"/>
        </w:rPr>
        <w:t> </w:t>
      </w:r>
      <w:r>
        <w:rPr>
          <w:spacing w:val="-2"/>
        </w:rPr>
        <w:t>投资并购的过程中可能会出现决策失误风险、管理风险、经营风险或无法实现协同效应等。</w:t>
      </w:r>
      <w:r>
        <w:rPr>
          <w:spacing w:val="-32"/>
        </w:rPr>
        <w:t> </w:t>
      </w:r>
      <w:r>
        <w:rPr>
          <w:spacing w:val="-32"/>
        </w:rPr>
      </w:r>
      <w:r>
        <w:rPr>
          <w:spacing w:val="-3"/>
        </w:rPr>
        <w:t>公司在并购目标选择和团队融合这块积累了宝贵的经验，将进一步提升经营管理水平，持续</w:t>
      </w:r>
      <w:r>
        <w:rPr>
          <w:spacing w:val="-26"/>
        </w:rPr>
        <w:t> </w:t>
      </w:r>
      <w:r>
        <w:rPr>
          <w:spacing w:val="-26"/>
        </w:rPr>
      </w:r>
      <w:r>
        <w:rPr/>
        <w:t>改进或优化运营机制，尽力降低投资并购风险。</w:t>
      </w:r>
    </w:p>
    <w:p>
      <w:pPr>
        <w:pStyle w:val="Heading6"/>
        <w:spacing w:line="398" w:lineRule="auto" w:before="52"/>
        <w:ind w:right="152" w:firstLine="419"/>
        <w:jc w:val="both"/>
      </w:pPr>
      <w:r>
        <w:rPr/>
        <w:t>（</w:t>
      </w:r>
      <w:r>
        <w:rPr>
          <w:rFonts w:ascii="Times New Roman" w:hAnsi="Times New Roman" w:cs="Times New Roman" w:eastAsia="Times New Roman" w:hint="default"/>
        </w:rPr>
        <w:t>2</w:t>
      </w:r>
      <w:r>
        <w:rPr/>
        <w:t>）公司并购重组神奇时代完成后仍存在盈利预测风险、业绩承诺无法实现的风险、</w:t>
      </w:r>
      <w:r>
        <w:rPr>
          <w:w w:val="100"/>
        </w:rPr>
        <w:t> </w:t>
      </w:r>
      <w:r>
        <w:rPr>
          <w:spacing w:val="-3"/>
        </w:rPr>
        <w:t>整合风险及商誉减值风险。公司将更好地实现与重组公司有效整合，发挥协同效应；同时紧</w:t>
      </w:r>
      <w:r>
        <w:rPr>
          <w:spacing w:val="-34"/>
        </w:rPr>
        <w:t> </w:t>
      </w:r>
      <w:r>
        <w:rPr>
          <w:spacing w:val="-34"/>
        </w:rPr>
      </w:r>
      <w:r>
        <w:rPr>
          <w:spacing w:val="-3"/>
        </w:rPr>
        <w:t>密关注重组公司发展中所遇到的风险，加强业务协同、财务管控的力度，维护上市公司股东</w:t>
      </w:r>
    </w:p>
    <w:p>
      <w:pPr>
        <w:spacing w:after="0" w:line="398" w:lineRule="auto"/>
        <w:jc w:val="both"/>
        <w:sectPr>
          <w:pgSz w:w="11910" w:h="16840"/>
          <w:pgMar w:header="0" w:footer="959" w:top="1560" w:bottom="1220" w:left="1680" w:right="1540"/>
        </w:sectPr>
      </w:pPr>
    </w:p>
    <w:p>
      <w:pPr>
        <w:pStyle w:val="Heading6"/>
        <w:spacing w:line="240" w:lineRule="auto" w:before="6"/>
        <w:ind w:right="0"/>
        <w:jc w:val="left"/>
      </w:pPr>
      <w:r>
        <w:rPr/>
        <w:t>权益。</w:t>
      </w:r>
    </w:p>
    <w:p>
      <w:pPr>
        <w:spacing w:line="240" w:lineRule="auto" w:before="10"/>
        <w:rPr>
          <w:rFonts w:ascii="宋体" w:hAnsi="宋体" w:cs="宋体" w:eastAsia="宋体" w:hint="default"/>
          <w:sz w:val="14"/>
          <w:szCs w:val="14"/>
        </w:rPr>
      </w:pPr>
    </w:p>
    <w:p>
      <w:pPr>
        <w:pStyle w:val="Heading6"/>
        <w:spacing w:line="398" w:lineRule="auto"/>
        <w:ind w:right="110" w:firstLine="419"/>
        <w:jc w:val="both"/>
      </w:pPr>
      <w:r>
        <w:rPr/>
        <w:t>（</w:t>
      </w:r>
      <w:r>
        <w:rPr>
          <w:rFonts w:ascii="Times New Roman" w:hAnsi="Times New Roman" w:cs="Times New Roman" w:eastAsia="Times New Roman" w:hint="default"/>
        </w:rPr>
        <w:t>3</w:t>
      </w:r>
      <w:r>
        <w:rPr/>
        <w:t>）报告期内，公司拟对外投资事项尚需履行公司董事会的决策程序，交易的审批结</w:t>
      </w:r>
      <w:r>
        <w:rPr>
          <w:w w:val="100"/>
        </w:rPr>
        <w:t> </w:t>
      </w:r>
      <w:r>
        <w:rPr>
          <w:spacing w:val="-3"/>
        </w:rPr>
        <w:t>果存在不确定性风险。公司将严格按照法律法规的要求对交易后续进展情况及时披露相关公</w:t>
      </w:r>
      <w:r>
        <w:rPr>
          <w:spacing w:val="-27"/>
        </w:rPr>
        <w:t> </w:t>
      </w:r>
      <w:r>
        <w:rPr>
          <w:spacing w:val="-27"/>
        </w:rPr>
      </w:r>
      <w:r>
        <w:rPr/>
        <w:t>告，确保广大投资者利益。</w:t>
      </w:r>
    </w:p>
    <w:p>
      <w:pPr>
        <w:pStyle w:val="Heading6"/>
        <w:spacing w:line="240" w:lineRule="auto" w:before="54"/>
        <w:ind w:left="583" w:right="0"/>
        <w:jc w:val="left"/>
      </w:pPr>
      <w:r>
        <w:rPr/>
        <w:t>六、公司第二届董事会第四十五次会议审议通过的</w:t>
      </w:r>
      <w:r>
        <w:rPr>
          <w:spacing w:val="-5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年度利润分配及公积金转增股</w:t>
      </w:r>
    </w:p>
    <w:p>
      <w:pPr>
        <w:pStyle w:val="Heading6"/>
        <w:spacing w:line="240" w:lineRule="auto" w:before="177"/>
        <w:ind w:right="0"/>
        <w:jc w:val="left"/>
      </w:pPr>
      <w:r>
        <w:rPr/>
        <w:t>本预案为：以公司</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年末股本</w:t>
      </w:r>
      <w:r>
        <w:rPr>
          <w:spacing w:val="-54"/>
        </w:rPr>
        <w:t> </w:t>
      </w:r>
      <w:r>
        <w:rPr>
          <w:rFonts w:ascii="Times New Roman" w:hAnsi="Times New Roman" w:cs="Times New Roman" w:eastAsia="Times New Roman" w:hint="default"/>
        </w:rPr>
        <w:t>422,351,509</w:t>
      </w:r>
      <w:r>
        <w:rPr>
          <w:rFonts w:ascii="Times New Roman" w:hAnsi="Times New Roman" w:cs="Times New Roman" w:eastAsia="Times New Roman" w:hint="default"/>
          <w:spacing w:val="-4"/>
        </w:rPr>
        <w:t> </w:t>
      </w:r>
      <w:r>
        <w:rPr/>
        <w:t>股为基数，向全体股东每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股派发现金股利</w:t>
      </w:r>
    </w:p>
    <w:p>
      <w:pPr>
        <w:pStyle w:val="Heading6"/>
        <w:spacing w:line="240" w:lineRule="auto" w:before="177"/>
        <w:ind w:right="0"/>
        <w:jc w:val="left"/>
      </w:pPr>
      <w:r>
        <w:rPr>
          <w:w w:val="100"/>
        </w:rPr>
        <w:t>人</w:t>
      </w:r>
      <w:r>
        <w:rPr>
          <w:spacing w:val="-3"/>
          <w:w w:val="100"/>
        </w:rPr>
        <w:t>民</w:t>
      </w:r>
      <w:r>
        <w:rPr>
          <w:w w:val="100"/>
        </w:rPr>
        <w:t>币</w:t>
      </w:r>
      <w:r>
        <w:rPr>
          <w:spacing w:val="-53"/>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元</w:t>
      </w:r>
      <w:r>
        <w:rPr>
          <w:w w:val="100"/>
        </w:rPr>
        <w:t>（</w:t>
      </w:r>
      <w:r>
        <w:rPr>
          <w:spacing w:val="-3"/>
          <w:w w:val="100"/>
        </w:rPr>
        <w:t>含</w:t>
      </w:r>
      <w:r>
        <w:rPr>
          <w:w w:val="100"/>
        </w:rPr>
        <w:t>税</w:t>
      </w:r>
      <w:r>
        <w:rPr>
          <w:spacing w:val="-106"/>
          <w:w w:val="100"/>
        </w:rPr>
        <w:t>）</w:t>
      </w:r>
      <w:r>
        <w:rPr>
          <w:spacing w:val="-3"/>
          <w:w w:val="100"/>
        </w:rPr>
        <w:t>，</w:t>
      </w:r>
      <w:r>
        <w:rPr>
          <w:w w:val="100"/>
        </w:rPr>
        <w:t>合计</w:t>
      </w:r>
      <w:r>
        <w:rPr>
          <w:spacing w:val="-3"/>
          <w:w w:val="100"/>
        </w:rPr>
        <w:t>派</w:t>
      </w:r>
      <w:r>
        <w:rPr>
          <w:w w:val="100"/>
        </w:rPr>
        <w:t>发</w:t>
      </w:r>
      <w:r>
        <w:rPr>
          <w:spacing w:val="-3"/>
          <w:w w:val="100"/>
        </w:rPr>
        <w:t>现</w:t>
      </w:r>
      <w:r>
        <w:rPr>
          <w:w w:val="100"/>
        </w:rPr>
        <w:t>金</w:t>
      </w:r>
      <w:r>
        <w:rPr>
          <w:spacing w:val="-52"/>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6,89</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,060</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元</w:t>
      </w:r>
      <w:r>
        <w:rPr>
          <w:spacing w:val="-3"/>
          <w:w w:val="100"/>
        </w:rPr>
        <w:t>。</w:t>
      </w:r>
      <w:r>
        <w:rPr>
          <w:w w:val="100"/>
        </w:rPr>
        <w:t>同</w:t>
      </w:r>
      <w:r>
        <w:rPr>
          <w:spacing w:val="-3"/>
          <w:w w:val="100"/>
        </w:rPr>
        <w:t>时</w:t>
      </w:r>
      <w:r>
        <w:rPr>
          <w:w w:val="100"/>
        </w:rPr>
        <w:t>，以</w:t>
      </w:r>
      <w:r>
        <w:rPr>
          <w:spacing w:val="-55"/>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
          <w:w w:val="100"/>
        </w:rPr>
        <w:t>年末</w:t>
      </w:r>
      <w:r>
        <w:rPr>
          <w:w w:val="100"/>
        </w:rPr>
        <w:t>的总</w:t>
      </w:r>
      <w:r>
        <w:rPr>
          <w:spacing w:val="-3"/>
          <w:w w:val="100"/>
        </w:rPr>
        <w:t>股</w:t>
      </w:r>
      <w:r>
        <w:rPr>
          <w:w w:val="100"/>
        </w:rPr>
        <w:t>本</w:t>
      </w:r>
    </w:p>
    <w:p>
      <w:pPr>
        <w:pStyle w:val="Heading6"/>
        <w:spacing w:line="240" w:lineRule="auto" w:before="178"/>
        <w:ind w:right="0"/>
        <w:jc w:val="left"/>
      </w:pPr>
      <w:r>
        <w:rPr>
          <w:rFonts w:ascii="Times New Roman" w:hAnsi="Times New Roman" w:cs="Times New Roman" w:eastAsia="Times New Roman" w:hint="default"/>
        </w:rPr>
        <w:t>422,351,509</w:t>
      </w:r>
      <w:r>
        <w:rPr>
          <w:rFonts w:ascii="Times New Roman" w:hAnsi="Times New Roman" w:cs="Times New Roman" w:eastAsia="Times New Roman" w:hint="default"/>
          <w:spacing w:val="-1"/>
        </w:rPr>
        <w:t> </w:t>
      </w:r>
      <w:r>
        <w:rPr/>
        <w:t>股为基数，以资本公积金每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股。</w:t>
      </w:r>
    </w:p>
    <w:p>
      <w:pPr>
        <w:spacing w:after="0" w:line="240" w:lineRule="auto"/>
        <w:jc w:val="left"/>
        <w:sectPr>
          <w:pgSz w:w="11910" w:h="16840"/>
          <w:pgMar w:header="0" w:footer="959" w:top="1480" w:bottom="1220" w:left="1680" w:right="1580"/>
        </w:sectPr>
      </w:pPr>
    </w:p>
    <w:p>
      <w:pPr>
        <w:spacing w:line="392" w:lineRule="exact" w:before="0"/>
        <w:ind w:left="3132" w:right="3089"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sdt>
      <w:sdtPr>
        <w:docPartObj>
          <w:docPartGallery w:val="Table of Contents"/>
          <w:docPartUnique/>
        </w:docPartObj>
      </w:sdtPr>
      <w:sdtEndPr/>
      <w:sdtContent>
        <w:p>
          <w:pPr>
            <w:pStyle w:val="TOC1"/>
            <w:tabs>
              <w:tab w:pos="8529" w:val="right" w:leader="dot"/>
            </w:tabs>
            <w:spacing w:line="240" w:lineRule="auto" w:before="240"/>
            <w:ind w:right="0"/>
            <w:jc w:val="left"/>
            <w:rPr>
              <w:rFonts w:ascii="Times New Roman" w:hAnsi="Times New Roman" w:cs="Times New Roman" w:eastAsia="Times New Roman" w:hint="default"/>
            </w:rPr>
          </w:pPr>
          <w:hyperlink w:history="true" w:anchor="_TOC_250009">
            <w:r>
              <w:rPr/>
              <w:t>第一节、重要提示、目录和释义</w:t>
            </w:r>
            <w:r>
              <w:rPr>
                <w:rFonts w:ascii="Times New Roman" w:hAnsi="Times New Roman" w:cs="Times New Roman" w:eastAsia="Times New Roman" w:hint="default"/>
              </w:rPr>
              <w:tab/>
              <w:t>2</w:t>
            </w:r>
          </w:hyperlink>
        </w:p>
        <w:p>
          <w:pPr>
            <w:pStyle w:val="TOC1"/>
            <w:tabs>
              <w:tab w:pos="8529" w:val="right" w:leader="dot"/>
            </w:tabs>
            <w:spacing w:line="240" w:lineRule="auto"/>
            <w:ind w:right="0"/>
            <w:jc w:val="left"/>
            <w:rPr>
              <w:rFonts w:ascii="Times New Roman" w:hAnsi="Times New Roman" w:cs="Times New Roman" w:eastAsia="Times New Roman" w:hint="default"/>
            </w:rPr>
          </w:pPr>
          <w:hyperlink w:history="true" w:anchor="_TOC_250008">
            <w:r>
              <w:rPr/>
              <w:t>第二节、公司简介和主要财务指标</w:t>
            </w:r>
            <w:r>
              <w:rPr>
                <w:rFonts w:ascii="Times New Roman" w:hAnsi="Times New Roman" w:cs="Times New Roman" w:eastAsia="Times New Roman" w:hint="default"/>
              </w:rPr>
              <w:tab/>
              <w:t>6</w:t>
            </w:r>
          </w:hyperlink>
        </w:p>
        <w:p>
          <w:pPr>
            <w:pStyle w:val="TOC1"/>
            <w:tabs>
              <w:tab w:pos="8529" w:val="right" w:leader="dot"/>
            </w:tabs>
            <w:spacing w:line="240" w:lineRule="auto"/>
            <w:ind w:right="0"/>
            <w:jc w:val="left"/>
            <w:rPr>
              <w:rFonts w:ascii="Times New Roman" w:hAnsi="Times New Roman" w:cs="Times New Roman" w:eastAsia="Times New Roman" w:hint="default"/>
            </w:rPr>
          </w:pPr>
          <w:hyperlink w:history="true" w:anchor="_TOC_250007">
            <w:r>
              <w:rPr/>
              <w:t>第三节、公司业务概要</w:t>
            </w:r>
            <w:r>
              <w:rPr>
                <w:rFonts w:ascii="Times New Roman" w:hAnsi="Times New Roman" w:cs="Times New Roman" w:eastAsia="Times New Roman" w:hint="default"/>
              </w:rPr>
              <w:tab/>
              <w:t>9</w:t>
            </w:r>
          </w:hyperlink>
        </w:p>
        <w:p>
          <w:pPr>
            <w:pStyle w:val="TOC1"/>
            <w:tabs>
              <w:tab w:pos="8529" w:val="right" w:leader="dot"/>
            </w:tabs>
            <w:spacing w:line="240" w:lineRule="auto"/>
            <w:ind w:right="0"/>
            <w:jc w:val="left"/>
            <w:rPr>
              <w:rFonts w:ascii="Times New Roman" w:hAnsi="Times New Roman" w:cs="Times New Roman" w:eastAsia="Times New Roman" w:hint="default"/>
            </w:rPr>
          </w:pPr>
          <w:hyperlink w:history="true" w:anchor="_TOC_250006">
            <w:r>
              <w:rPr/>
              <w:t>第四节、管理层讨论与分析</w:t>
            </w:r>
            <w:r>
              <w:rPr>
                <w:rFonts w:ascii="Times New Roman" w:hAnsi="Times New Roman" w:cs="Times New Roman" w:eastAsia="Times New Roman" w:hint="default"/>
              </w:rPr>
              <w:tab/>
              <w:t>17</w:t>
            </w:r>
          </w:hyperlink>
        </w:p>
        <w:p>
          <w:pPr>
            <w:pStyle w:val="TOC1"/>
            <w:tabs>
              <w:tab w:pos="8529" w:val="right" w:leader="dot"/>
            </w:tabs>
            <w:spacing w:line="240" w:lineRule="auto" w:before="202"/>
            <w:ind w:right="0"/>
            <w:jc w:val="left"/>
            <w:rPr>
              <w:rFonts w:ascii="Times New Roman" w:hAnsi="Times New Roman" w:cs="Times New Roman" w:eastAsia="Times New Roman" w:hint="default"/>
            </w:rPr>
          </w:pPr>
          <w:hyperlink w:history="true" w:anchor="_TOC_250005">
            <w:r>
              <w:rPr/>
              <w:t>第五节、重要事项</w:t>
            </w:r>
            <w:r>
              <w:rPr>
                <w:rFonts w:ascii="Times New Roman" w:hAnsi="Times New Roman" w:cs="Times New Roman" w:eastAsia="Times New Roman" w:hint="default"/>
              </w:rPr>
              <w:tab/>
              <w:t>39</w:t>
            </w:r>
          </w:hyperlink>
        </w:p>
        <w:p>
          <w:pPr>
            <w:pStyle w:val="TOC1"/>
            <w:tabs>
              <w:tab w:pos="8529" w:val="right" w:leader="dot"/>
            </w:tabs>
            <w:spacing w:line="240" w:lineRule="auto"/>
            <w:ind w:right="0"/>
            <w:jc w:val="left"/>
            <w:rPr>
              <w:rFonts w:ascii="Times New Roman" w:hAnsi="Times New Roman" w:cs="Times New Roman" w:eastAsia="Times New Roman" w:hint="default"/>
            </w:rPr>
          </w:pPr>
          <w:hyperlink w:history="true" w:anchor="_TOC_250004">
            <w:r>
              <w:rPr/>
              <w:t>第六节、股份变动及股东情况</w:t>
            </w:r>
            <w:r>
              <w:rPr>
                <w:rFonts w:ascii="Times New Roman" w:hAnsi="Times New Roman" w:cs="Times New Roman" w:eastAsia="Times New Roman" w:hint="default"/>
              </w:rPr>
              <w:tab/>
              <w:t>51</w:t>
            </w:r>
          </w:hyperlink>
        </w:p>
        <w:p>
          <w:pPr>
            <w:pStyle w:val="TOC1"/>
            <w:tabs>
              <w:tab w:pos="8529" w:val="right" w:leader="dot"/>
            </w:tabs>
            <w:spacing w:line="240" w:lineRule="auto"/>
            <w:ind w:right="0"/>
            <w:jc w:val="left"/>
            <w:rPr>
              <w:rFonts w:ascii="Times New Roman" w:hAnsi="Times New Roman" w:cs="Times New Roman" w:eastAsia="Times New Roman" w:hint="default"/>
            </w:rPr>
          </w:pPr>
          <w:hyperlink w:history="true" w:anchor="_TOC_250003">
            <w:r>
              <w:rPr/>
              <w:t>第七节、优先股相关情况</w:t>
            </w:r>
            <w:r>
              <w:rPr>
                <w:rFonts w:ascii="Times New Roman" w:hAnsi="Times New Roman" w:cs="Times New Roman" w:eastAsia="Times New Roman" w:hint="default"/>
              </w:rPr>
              <w:tab/>
              <w:t>58</w:t>
            </w:r>
          </w:hyperlink>
        </w:p>
        <w:p>
          <w:pPr>
            <w:pStyle w:val="TOC1"/>
            <w:tabs>
              <w:tab w:pos="8529" w:val="right" w:leader="dot"/>
            </w:tabs>
            <w:spacing w:line="240" w:lineRule="auto"/>
            <w:ind w:right="0"/>
            <w:jc w:val="left"/>
            <w:rPr>
              <w:rFonts w:ascii="Times New Roman" w:hAnsi="Times New Roman" w:cs="Times New Roman" w:eastAsia="Times New Roman" w:hint="default"/>
            </w:rPr>
          </w:pPr>
          <w:hyperlink w:history="true" w:anchor="_TOC_250002">
            <w:r>
              <w:rPr/>
              <w:t>第八节、董事、监事、高级管理人员和员工情况</w:t>
            </w:r>
            <w:r>
              <w:rPr>
                <w:rFonts w:ascii="Times New Roman" w:hAnsi="Times New Roman" w:cs="Times New Roman" w:eastAsia="Times New Roman" w:hint="default"/>
              </w:rPr>
              <w:tab/>
              <w:t>59</w:t>
            </w:r>
          </w:hyperlink>
        </w:p>
        <w:p>
          <w:pPr>
            <w:pStyle w:val="TOC1"/>
            <w:tabs>
              <w:tab w:pos="8529" w:val="right" w:leader="dot"/>
            </w:tabs>
            <w:spacing w:line="240" w:lineRule="auto"/>
            <w:ind w:right="0"/>
            <w:jc w:val="left"/>
            <w:rPr>
              <w:rFonts w:ascii="Times New Roman" w:hAnsi="Times New Roman" w:cs="Times New Roman" w:eastAsia="Times New Roman" w:hint="default"/>
            </w:rPr>
          </w:pPr>
          <w:hyperlink w:history="true" w:anchor="_TOC_250001">
            <w:r>
              <w:rPr/>
              <w:t>第九节、公司治理</w:t>
            </w:r>
            <w:r>
              <w:rPr>
                <w:rFonts w:ascii="Times New Roman" w:hAnsi="Times New Roman" w:cs="Times New Roman" w:eastAsia="Times New Roman" w:hint="default"/>
              </w:rPr>
              <w:tab/>
              <w:t>66</w:t>
            </w:r>
          </w:hyperlink>
        </w:p>
        <w:p>
          <w:pPr>
            <w:pStyle w:val="TOC1"/>
            <w:tabs>
              <w:tab w:pos="8529" w:val="right" w:leader="dot"/>
            </w:tabs>
            <w:spacing w:line="240" w:lineRule="auto"/>
            <w:ind w:right="0"/>
            <w:jc w:val="left"/>
            <w:rPr>
              <w:rFonts w:ascii="Times New Roman" w:hAnsi="Times New Roman" w:cs="Times New Roman" w:eastAsia="Times New Roman" w:hint="default"/>
            </w:rPr>
          </w:pPr>
          <w:hyperlink w:history="true" w:anchor="_TOC_250000">
            <w:r>
              <w:rPr/>
              <w:t>第十节、财务报告</w:t>
            </w:r>
            <w:r>
              <w:rPr>
                <w:rFonts w:ascii="Times New Roman" w:hAnsi="Times New Roman" w:cs="Times New Roman" w:eastAsia="Times New Roman" w:hint="default"/>
              </w:rPr>
              <w:tab/>
              <w:t>72</w:t>
            </w:r>
          </w:hyperlink>
        </w:p>
        <w:p>
          <w:pPr>
            <w:pStyle w:val="TOC1"/>
            <w:tabs>
              <w:tab w:pos="8531" w:val="right" w:leader="dot"/>
            </w:tabs>
            <w:spacing w:line="240" w:lineRule="auto"/>
            <w:ind w:right="0"/>
            <w:jc w:val="left"/>
            <w:rPr>
              <w:rFonts w:ascii="Times New Roman" w:hAnsi="Times New Roman" w:cs="Times New Roman" w:eastAsia="Times New Roman" w:hint="default"/>
            </w:rPr>
          </w:pPr>
          <w:r>
            <w:rPr/>
            <w:t>第十一节、备查文件</w:t>
          </w:r>
          <w:r>
            <w:rPr>
              <w:rFonts w:ascii="Times New Roman" w:hAnsi="Times New Roman" w:cs="Times New Roman" w:eastAsia="Times New Roman" w:hint="default"/>
            </w:rPr>
            <w:tab/>
            <w:t>160</w:t>
          </w:r>
        </w:p>
      </w:sdtContent>
    </w:sdt>
    <w:p>
      <w:pPr>
        <w:spacing w:after="0" w:line="240" w:lineRule="auto"/>
        <w:jc w:val="left"/>
        <w:rPr>
          <w:rFonts w:ascii="Times New Roman" w:hAnsi="Times New Roman" w:cs="Times New Roman" w:eastAsia="Times New Roman" w:hint="default"/>
        </w:rPr>
        <w:sectPr>
          <w:pgSz w:w="11910" w:h="16840"/>
          <w:pgMar w:header="0" w:footer="959" w:top="1500" w:bottom="1220" w:left="1680" w:right="1580"/>
        </w:sectPr>
      </w:pPr>
    </w:p>
    <w:p>
      <w:pPr>
        <w:spacing w:line="392" w:lineRule="exact" w:before="0"/>
        <w:ind w:left="3132" w:right="308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tbl>
      <w:tblPr>
        <w:tblW w:w="0" w:type="auto"/>
        <w:jc w:val="left"/>
        <w:tblInd w:w="158" w:type="dxa"/>
        <w:tblLayout w:type="fixed"/>
        <w:tblCellMar>
          <w:top w:w="0" w:type="dxa"/>
          <w:left w:w="0" w:type="dxa"/>
          <w:bottom w:w="0" w:type="dxa"/>
          <w:right w:w="0" w:type="dxa"/>
        </w:tblCellMar>
        <w:tblLook w:val="01E0"/>
      </w:tblPr>
      <w:tblGrid>
        <w:gridCol w:w="2835"/>
        <w:gridCol w:w="710"/>
        <w:gridCol w:w="4820"/>
      </w:tblGrid>
      <w:tr>
        <w:trPr>
          <w:trHeight w:val="408"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4"/>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94" w:hRule="exact"/>
        </w:trPr>
        <w:tc>
          <w:tcPr>
            <w:tcW w:w="2835" w:type="dxa"/>
            <w:tcBorders>
              <w:top w:val="single" w:sz="25" w:space="0" w:color="D2D2D2"/>
              <w:left w:val="single" w:sz="4" w:space="0" w:color="000000"/>
              <w:bottom w:val="single" w:sz="4" w:space="0" w:color="000000"/>
              <w:right w:val="single" w:sz="10" w:space="0" w:color="D2D2D2"/>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天舟文化</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25" w:space="0" w:color="D2D2D2"/>
              <w:left w:val="single" w:sz="13" w:space="0" w:color="D2D2D2"/>
              <w:bottom w:val="single" w:sz="4" w:space="0" w:color="000000"/>
              <w:right w:val="single" w:sz="4" w:space="0" w:color="000000"/>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天舟文化股份有限公司</w:t>
            </w:r>
          </w:p>
        </w:tc>
      </w:tr>
      <w:tr>
        <w:trPr>
          <w:trHeight w:val="463"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天鸿投资</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9"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r>
      <w:tr>
        <w:trPr>
          <w:trHeight w:val="466"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神奇时代</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left="9" w:right="0"/>
              <w:jc w:val="left"/>
              <w:rPr>
                <w:rFonts w:ascii="宋体" w:hAnsi="宋体" w:cs="宋体" w:eastAsia="宋体" w:hint="default"/>
                <w:sz w:val="18"/>
                <w:szCs w:val="18"/>
              </w:rPr>
            </w:pPr>
            <w:r>
              <w:rPr>
                <w:rFonts w:ascii="宋体" w:hAnsi="宋体" w:cs="宋体" w:eastAsia="宋体" w:hint="default"/>
                <w:sz w:val="18"/>
                <w:szCs w:val="18"/>
              </w:rPr>
              <w:t>北京神奇时代网络有限公司</w:t>
            </w:r>
          </w:p>
        </w:tc>
      </w:tr>
      <w:tr>
        <w:trPr>
          <w:trHeight w:val="463"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华文俪制</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9" w:right="0"/>
              <w:jc w:val="left"/>
              <w:rPr>
                <w:rFonts w:ascii="宋体" w:hAnsi="宋体" w:cs="宋体" w:eastAsia="宋体" w:hint="default"/>
                <w:sz w:val="18"/>
                <w:szCs w:val="18"/>
              </w:rPr>
            </w:pPr>
            <w:r>
              <w:rPr>
                <w:rFonts w:ascii="宋体" w:hAnsi="宋体" w:cs="宋体" w:eastAsia="宋体" w:hint="default"/>
                <w:sz w:val="18"/>
                <w:szCs w:val="18"/>
              </w:rPr>
              <w:t>湖南天舟华文俪制传媒有限公司</w:t>
            </w:r>
          </w:p>
        </w:tc>
      </w:tr>
      <w:tr>
        <w:trPr>
          <w:trHeight w:val="464"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北方天舟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9"/>
              <w:ind w:left="9" w:right="0"/>
              <w:jc w:val="left"/>
              <w:rPr>
                <w:rFonts w:ascii="宋体" w:hAnsi="宋体" w:cs="宋体" w:eastAsia="宋体" w:hint="default"/>
                <w:sz w:val="18"/>
                <w:szCs w:val="18"/>
              </w:rPr>
            </w:pPr>
            <w:r>
              <w:rPr>
                <w:rFonts w:ascii="宋体" w:hAnsi="宋体" w:cs="宋体" w:eastAsia="宋体" w:hint="default"/>
                <w:sz w:val="18"/>
                <w:szCs w:val="18"/>
              </w:rPr>
              <w:t>北京北方天舟文化有限公司</w:t>
            </w:r>
          </w:p>
        </w:tc>
      </w:tr>
      <w:tr>
        <w:trPr>
          <w:trHeight w:val="466"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怀化天舟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left="9" w:right="0"/>
              <w:jc w:val="left"/>
              <w:rPr>
                <w:rFonts w:ascii="宋体" w:hAnsi="宋体" w:cs="宋体" w:eastAsia="宋体" w:hint="default"/>
                <w:sz w:val="18"/>
                <w:szCs w:val="18"/>
              </w:rPr>
            </w:pPr>
            <w:r>
              <w:rPr>
                <w:rFonts w:ascii="宋体" w:hAnsi="宋体" w:cs="宋体" w:eastAsia="宋体" w:hint="default"/>
                <w:sz w:val="18"/>
                <w:szCs w:val="18"/>
              </w:rPr>
              <w:t>怀化天舟教育有限责任公司</w:t>
            </w:r>
          </w:p>
        </w:tc>
      </w:tr>
      <w:tr>
        <w:trPr>
          <w:trHeight w:val="463" w:hRule="exact"/>
        </w:trPr>
        <w:tc>
          <w:tcPr>
            <w:tcW w:w="2835" w:type="dxa"/>
            <w:tcBorders>
              <w:top w:val="single" w:sz="4" w:space="0" w:color="000000"/>
              <w:left w:val="single" w:sz="4" w:space="0" w:color="000000"/>
              <w:bottom w:val="single" w:sz="4" w:space="0" w:color="FFFFFF"/>
              <w:right w:val="single" w:sz="10" w:space="0" w:color="D2D2D2"/>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广州天瑞</w:t>
            </w:r>
          </w:p>
        </w:tc>
        <w:tc>
          <w:tcPr>
            <w:tcW w:w="71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8"/>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FFFFFF"/>
              <w:right w:val="single" w:sz="4" w:space="0" w:color="000000"/>
            </w:tcBorders>
          </w:tcPr>
          <w:p>
            <w:pPr>
              <w:pStyle w:val="TableParagraph"/>
              <w:spacing w:line="240" w:lineRule="auto" w:before="58"/>
              <w:ind w:left="9" w:right="0"/>
              <w:jc w:val="left"/>
              <w:rPr>
                <w:rFonts w:ascii="宋体" w:hAnsi="宋体" w:cs="宋体" w:eastAsia="宋体" w:hint="default"/>
                <w:sz w:val="18"/>
                <w:szCs w:val="18"/>
              </w:rPr>
            </w:pPr>
            <w:r>
              <w:rPr>
                <w:rFonts w:ascii="宋体" w:hAnsi="宋体" w:cs="宋体" w:eastAsia="宋体" w:hint="default"/>
                <w:sz w:val="18"/>
                <w:szCs w:val="18"/>
              </w:rPr>
              <w:t>广州天瑞文化传播有限公司</w:t>
            </w:r>
          </w:p>
        </w:tc>
      </w:tr>
      <w:tr>
        <w:trPr>
          <w:trHeight w:val="463" w:hRule="exact"/>
        </w:trPr>
        <w:tc>
          <w:tcPr>
            <w:tcW w:w="2835" w:type="dxa"/>
            <w:tcBorders>
              <w:top w:val="single" w:sz="4" w:space="0" w:color="FFFFFF"/>
              <w:left w:val="single" w:sz="4" w:space="0" w:color="000000"/>
              <w:bottom w:val="single" w:sz="4" w:space="0" w:color="000000"/>
              <w:right w:val="single" w:sz="10" w:space="0" w:color="D2D2D2"/>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浙江天舟</w:t>
            </w:r>
          </w:p>
        </w:tc>
        <w:tc>
          <w:tcPr>
            <w:tcW w:w="71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8"/>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58"/>
              <w:ind w:left="9" w:right="0"/>
              <w:jc w:val="left"/>
              <w:rPr>
                <w:rFonts w:ascii="宋体" w:hAnsi="宋体" w:cs="宋体" w:eastAsia="宋体" w:hint="default"/>
                <w:sz w:val="18"/>
                <w:szCs w:val="18"/>
              </w:rPr>
            </w:pPr>
            <w:r>
              <w:rPr>
                <w:rFonts w:ascii="宋体" w:hAnsi="宋体" w:cs="宋体" w:eastAsia="宋体" w:hint="default"/>
                <w:sz w:val="18"/>
                <w:szCs w:val="18"/>
              </w:rPr>
              <w:t>浙江天舟图书有限公司</w:t>
            </w:r>
          </w:p>
        </w:tc>
      </w:tr>
      <w:tr>
        <w:trPr>
          <w:trHeight w:val="466"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北京永载</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left="9" w:right="0"/>
              <w:jc w:val="left"/>
              <w:rPr>
                <w:rFonts w:ascii="宋体" w:hAnsi="宋体" w:cs="宋体" w:eastAsia="宋体" w:hint="default"/>
                <w:sz w:val="18"/>
                <w:szCs w:val="18"/>
              </w:rPr>
            </w:pPr>
            <w:r>
              <w:rPr>
                <w:rFonts w:ascii="宋体" w:hAnsi="宋体" w:cs="宋体" w:eastAsia="宋体" w:hint="default"/>
                <w:sz w:val="18"/>
                <w:szCs w:val="18"/>
              </w:rPr>
              <w:t>北京永载文化有限公司</w:t>
            </w:r>
          </w:p>
        </w:tc>
      </w:tr>
      <w:tr>
        <w:trPr>
          <w:trHeight w:val="463"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神奇博信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9" w:right="0"/>
              <w:jc w:val="left"/>
              <w:rPr>
                <w:rFonts w:ascii="宋体" w:hAnsi="宋体" w:cs="宋体" w:eastAsia="宋体" w:hint="default"/>
                <w:sz w:val="18"/>
                <w:szCs w:val="18"/>
              </w:rPr>
            </w:pPr>
            <w:r>
              <w:rPr>
                <w:rFonts w:ascii="宋体" w:hAnsi="宋体" w:cs="宋体" w:eastAsia="宋体" w:hint="default"/>
                <w:sz w:val="18"/>
                <w:szCs w:val="18"/>
              </w:rPr>
              <w:t>北京神奇博信投资管理中心（有限合伙）</w:t>
            </w:r>
          </w:p>
        </w:tc>
      </w:tr>
      <w:tr>
        <w:trPr>
          <w:trHeight w:val="463"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德天基金</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9" w:right="0"/>
              <w:jc w:val="left"/>
              <w:rPr>
                <w:rFonts w:ascii="宋体" w:hAnsi="宋体" w:cs="宋体" w:eastAsia="宋体" w:hint="default"/>
                <w:sz w:val="18"/>
                <w:szCs w:val="18"/>
              </w:rPr>
            </w:pPr>
            <w:r>
              <w:rPr>
                <w:rFonts w:ascii="宋体" w:hAnsi="宋体" w:cs="宋体" w:eastAsia="宋体" w:hint="default"/>
                <w:sz w:val="18"/>
                <w:szCs w:val="18"/>
              </w:rPr>
              <w:t>上海德天股权投资基金中心（有限合伙）</w:t>
            </w:r>
          </w:p>
        </w:tc>
      </w:tr>
      <w:tr>
        <w:trPr>
          <w:trHeight w:val="466"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天鸿致远</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left="9" w:right="0"/>
              <w:jc w:val="left"/>
              <w:rPr>
                <w:rFonts w:ascii="宋体" w:hAnsi="宋体" w:cs="宋体" w:eastAsia="宋体" w:hint="default"/>
                <w:sz w:val="18"/>
                <w:szCs w:val="18"/>
              </w:rPr>
            </w:pPr>
            <w:r>
              <w:rPr>
                <w:rFonts w:ascii="宋体" w:hAnsi="宋体" w:cs="宋体" w:eastAsia="宋体" w:hint="default"/>
                <w:sz w:val="18"/>
                <w:szCs w:val="18"/>
              </w:rPr>
              <w:t>湖南天鸿致远文化发展有限公司</w:t>
            </w:r>
          </w:p>
        </w:tc>
      </w:tr>
      <w:tr>
        <w:trPr>
          <w:trHeight w:val="463"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北洋传媒</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9" w:right="0"/>
              <w:jc w:val="left"/>
              <w:rPr>
                <w:rFonts w:ascii="宋体" w:hAnsi="宋体" w:cs="宋体" w:eastAsia="宋体" w:hint="default"/>
                <w:sz w:val="18"/>
                <w:szCs w:val="18"/>
              </w:rPr>
            </w:pPr>
            <w:r>
              <w:rPr>
                <w:rFonts w:ascii="宋体" w:hAnsi="宋体" w:cs="宋体" w:eastAsia="宋体" w:hint="default"/>
                <w:sz w:val="18"/>
                <w:szCs w:val="18"/>
              </w:rPr>
              <w:t>北洋出版传媒股份有限公司</w:t>
            </w:r>
          </w:p>
        </w:tc>
      </w:tr>
      <w:tr>
        <w:trPr>
          <w:trHeight w:val="463"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游爱网络</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9" w:right="0"/>
              <w:jc w:val="left"/>
              <w:rPr>
                <w:rFonts w:ascii="宋体" w:hAnsi="宋体" w:cs="宋体" w:eastAsia="宋体" w:hint="default"/>
                <w:sz w:val="18"/>
                <w:szCs w:val="18"/>
              </w:rPr>
            </w:pPr>
            <w:r>
              <w:rPr>
                <w:rFonts w:ascii="宋体" w:hAnsi="宋体" w:cs="宋体" w:eastAsia="宋体" w:hint="default"/>
                <w:sz w:val="18"/>
                <w:szCs w:val="18"/>
              </w:rPr>
              <w:t>广州游爱网络技术有限公司</w:t>
            </w:r>
          </w:p>
        </w:tc>
      </w:tr>
      <w:tr>
        <w:trPr>
          <w:trHeight w:val="466"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决胜网</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left="9" w:right="0"/>
              <w:jc w:val="left"/>
              <w:rPr>
                <w:rFonts w:ascii="宋体" w:hAnsi="宋体" w:cs="宋体" w:eastAsia="宋体" w:hint="default"/>
                <w:sz w:val="18"/>
                <w:szCs w:val="18"/>
              </w:rPr>
            </w:pPr>
            <w:r>
              <w:rPr>
                <w:rFonts w:ascii="宋体" w:hAnsi="宋体" w:cs="宋体" w:eastAsia="宋体" w:hint="default"/>
                <w:sz w:val="18"/>
                <w:szCs w:val="18"/>
              </w:rPr>
              <w:t>北京决胜网教育科技股份有限公司</w:t>
            </w:r>
          </w:p>
        </w:tc>
      </w:tr>
      <w:tr>
        <w:trPr>
          <w:trHeight w:val="463"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人民今典</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9" w:right="0"/>
              <w:jc w:val="left"/>
              <w:rPr>
                <w:rFonts w:ascii="宋体" w:hAnsi="宋体" w:cs="宋体" w:eastAsia="宋体" w:hint="default"/>
                <w:sz w:val="18"/>
                <w:szCs w:val="18"/>
              </w:rPr>
            </w:pPr>
            <w:r>
              <w:rPr>
                <w:rFonts w:ascii="宋体" w:hAnsi="宋体" w:cs="宋体" w:eastAsia="宋体" w:hint="default"/>
                <w:sz w:val="18"/>
                <w:szCs w:val="18"/>
              </w:rPr>
              <w:t>人民今典（北京）书业有限公司</w:t>
            </w:r>
          </w:p>
        </w:tc>
      </w:tr>
      <w:tr>
        <w:trPr>
          <w:trHeight w:val="463"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初见科技</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9" w:right="0"/>
              <w:jc w:val="left"/>
              <w:rPr>
                <w:rFonts w:ascii="宋体" w:hAnsi="宋体" w:cs="宋体" w:eastAsia="宋体" w:hint="default"/>
                <w:sz w:val="18"/>
                <w:szCs w:val="18"/>
              </w:rPr>
            </w:pPr>
            <w:r>
              <w:rPr>
                <w:rFonts w:ascii="宋体" w:hAnsi="宋体" w:cs="宋体" w:eastAsia="宋体" w:hint="default"/>
                <w:sz w:val="18"/>
                <w:szCs w:val="18"/>
              </w:rPr>
              <w:t>北京初见科技有限公司</w:t>
            </w:r>
          </w:p>
        </w:tc>
      </w:tr>
      <w:tr>
        <w:trPr>
          <w:trHeight w:val="466"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派娱科技</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left="9" w:right="0"/>
              <w:jc w:val="left"/>
              <w:rPr>
                <w:rFonts w:ascii="宋体" w:hAnsi="宋体" w:cs="宋体" w:eastAsia="宋体" w:hint="default"/>
                <w:sz w:val="18"/>
                <w:szCs w:val="18"/>
              </w:rPr>
            </w:pPr>
            <w:r>
              <w:rPr>
                <w:rFonts w:ascii="宋体" w:hAnsi="宋体" w:cs="宋体" w:eastAsia="宋体" w:hint="default"/>
                <w:sz w:val="18"/>
                <w:szCs w:val="18"/>
              </w:rPr>
              <w:t>杭州派娱科技有限公司</w:t>
            </w:r>
          </w:p>
        </w:tc>
      </w:tr>
      <w:tr>
        <w:trPr>
          <w:trHeight w:val="464"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银河数娱</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9" w:right="0"/>
              <w:jc w:val="left"/>
              <w:rPr>
                <w:rFonts w:ascii="宋体" w:hAnsi="宋体" w:cs="宋体" w:eastAsia="宋体" w:hint="default"/>
                <w:sz w:val="18"/>
                <w:szCs w:val="18"/>
              </w:rPr>
            </w:pPr>
            <w:r>
              <w:rPr>
                <w:rFonts w:ascii="宋体" w:hAnsi="宋体" w:cs="宋体" w:eastAsia="宋体" w:hint="default"/>
                <w:sz w:val="18"/>
                <w:szCs w:val="18"/>
              </w:rPr>
              <w:t>上海银河数娱网络科技有限公司</w:t>
            </w:r>
          </w:p>
        </w:tc>
      </w:tr>
      <w:tr>
        <w:trPr>
          <w:trHeight w:val="463" w:hRule="exact"/>
        </w:trPr>
        <w:tc>
          <w:tcPr>
            <w:tcW w:w="2835" w:type="dxa"/>
            <w:tcBorders>
              <w:top w:val="single" w:sz="4" w:space="0" w:color="000000"/>
              <w:left w:val="single" w:sz="4" w:space="0" w:color="000000"/>
              <w:bottom w:val="single" w:sz="4" w:space="0" w:color="FFFFFF"/>
              <w:right w:val="single" w:sz="10" w:space="0" w:color="D2D2D2"/>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人民天舟</w:t>
            </w:r>
          </w:p>
        </w:tc>
        <w:tc>
          <w:tcPr>
            <w:tcW w:w="71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FFFFFF"/>
              <w:right w:val="single" w:sz="4" w:space="0" w:color="000000"/>
            </w:tcBorders>
          </w:tcPr>
          <w:p>
            <w:pPr>
              <w:pStyle w:val="TableParagraph"/>
              <w:spacing w:line="240" w:lineRule="auto" w:before="58"/>
              <w:ind w:left="9" w:right="0"/>
              <w:jc w:val="left"/>
              <w:rPr>
                <w:rFonts w:ascii="宋体" w:hAnsi="宋体" w:cs="宋体" w:eastAsia="宋体" w:hint="default"/>
                <w:sz w:val="18"/>
                <w:szCs w:val="18"/>
              </w:rPr>
            </w:pPr>
            <w:r>
              <w:rPr>
                <w:rFonts w:ascii="宋体" w:hAnsi="宋体" w:cs="宋体" w:eastAsia="宋体" w:hint="default"/>
                <w:sz w:val="18"/>
                <w:szCs w:val="18"/>
              </w:rPr>
              <w:t>人民天舟（北京）出版有限公司</w:t>
            </w:r>
          </w:p>
        </w:tc>
      </w:tr>
      <w:tr>
        <w:trPr>
          <w:trHeight w:val="466" w:hRule="exact"/>
        </w:trPr>
        <w:tc>
          <w:tcPr>
            <w:tcW w:w="2835" w:type="dxa"/>
            <w:tcBorders>
              <w:top w:val="single" w:sz="4" w:space="0" w:color="FFFFFF"/>
              <w:left w:val="single" w:sz="4" w:space="0" w:color="000000"/>
              <w:bottom w:val="single" w:sz="4" w:space="0" w:color="000000"/>
              <w:right w:val="single" w:sz="10" w:space="0" w:color="D2D2D2"/>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人民东方</w:t>
            </w:r>
          </w:p>
        </w:tc>
        <w:tc>
          <w:tcPr>
            <w:tcW w:w="71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61"/>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61"/>
              <w:ind w:left="9" w:right="0"/>
              <w:jc w:val="left"/>
              <w:rPr>
                <w:rFonts w:ascii="宋体" w:hAnsi="宋体" w:cs="宋体" w:eastAsia="宋体" w:hint="default"/>
                <w:sz w:val="18"/>
                <w:szCs w:val="18"/>
              </w:rPr>
            </w:pPr>
            <w:r>
              <w:rPr>
                <w:rFonts w:ascii="宋体" w:hAnsi="宋体" w:cs="宋体" w:eastAsia="宋体" w:hint="default"/>
                <w:sz w:val="18"/>
                <w:szCs w:val="18"/>
              </w:rPr>
              <w:t>人民东方出版传媒有限公司</w:t>
            </w:r>
          </w:p>
        </w:tc>
      </w:tr>
      <w:tr>
        <w:trPr>
          <w:trHeight w:val="463"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海德拉科技</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left="9" w:right="0"/>
              <w:jc w:val="left"/>
              <w:rPr>
                <w:rFonts w:ascii="宋体" w:hAnsi="宋体" w:cs="宋体" w:eastAsia="宋体" w:hint="default"/>
                <w:sz w:val="18"/>
                <w:szCs w:val="18"/>
              </w:rPr>
            </w:pPr>
            <w:r>
              <w:rPr>
                <w:rFonts w:ascii="宋体" w:hAnsi="宋体" w:cs="宋体" w:eastAsia="宋体" w:hint="default"/>
                <w:sz w:val="18"/>
                <w:szCs w:val="18"/>
              </w:rPr>
              <w:t>北京海德拉科技有限公司</w:t>
            </w:r>
          </w:p>
        </w:tc>
      </w:tr>
      <w:tr>
        <w:trPr>
          <w:trHeight w:val="463"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9"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66"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left="9"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63"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9"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64"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9"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66" w:hRule="exact"/>
        </w:trPr>
        <w:tc>
          <w:tcPr>
            <w:tcW w:w="283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59"/>
              <w:jc w:val="right"/>
              <w:rPr>
                <w:rFonts w:ascii="宋体" w:hAnsi="宋体" w:cs="宋体" w:eastAsia="宋体" w:hint="default"/>
                <w:sz w:val="18"/>
                <w:szCs w:val="18"/>
              </w:rPr>
            </w:pPr>
            <w:r>
              <w:rPr>
                <w:rFonts w:ascii="宋体" w:hAnsi="宋体" w:cs="宋体" w:eastAsia="宋体" w:hint="default"/>
                <w:sz w:val="18"/>
                <w:szCs w:val="18"/>
              </w:rPr>
              <w:t>指</w:t>
            </w:r>
          </w:p>
        </w:tc>
        <w:tc>
          <w:tcPr>
            <w:tcW w:w="4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left="9"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人民币万元</w:t>
            </w:r>
          </w:p>
        </w:tc>
      </w:tr>
    </w:tbl>
    <w:p>
      <w:pPr>
        <w:spacing w:after="0" w:line="240" w:lineRule="auto"/>
        <w:jc w:val="left"/>
        <w:rPr>
          <w:rFonts w:ascii="宋体" w:hAnsi="宋体" w:cs="宋体" w:eastAsia="宋体" w:hint="default"/>
          <w:sz w:val="18"/>
          <w:szCs w:val="18"/>
        </w:rPr>
        <w:sectPr>
          <w:pgSz w:w="11910" w:h="16840"/>
          <w:pgMar w:header="0" w:footer="959" w:top="1500" w:bottom="1220" w:left="1680" w:right="1580"/>
        </w:sectPr>
      </w:pPr>
    </w:p>
    <w:p>
      <w:pPr>
        <w:pStyle w:val="Heading1"/>
        <w:spacing w:line="394" w:lineRule="exact"/>
        <w:ind w:left="2475" w:right="0"/>
        <w:jc w:val="left"/>
        <w:rPr>
          <w:b w:val="0"/>
          <w:bCs w:val="0"/>
        </w:rPr>
      </w:pPr>
      <w:bookmarkStart w:name="_TOC_250008" w:id="2"/>
      <w:r>
        <w:rPr/>
        <w:t>第二节公司简介和主要财务指标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Heading3"/>
        <w:spacing w:line="240" w:lineRule="auto" w:before="26"/>
        <w:ind w:left="543" w:right="0"/>
        <w:jc w:val="left"/>
        <w:rPr>
          <w:b w:val="0"/>
          <w:bCs w:val="0"/>
        </w:rPr>
      </w:pPr>
      <w:r>
        <w:rPr/>
        <w:pict>
          <v:group style="position:absolute;margin-left:185.300003pt;margin-top:106.161598pt;width:344.95pt;height:18.9pt;mso-position-horizontal-relative:page;mso-position-vertical-relative:paragraph;z-index:-1039192" coordorigin="3706,2123" coordsize="6899,378">
            <v:group style="position:absolute;left:3718;top:2135;width:2;height:354" coordorigin="3718,2135" coordsize="2,354">
              <v:shape style="position:absolute;left:3718;top:2135;width:2;height:354" coordorigin="3718,2135" coordsize="0,354" path="m3718,2135l3718,2489e" filled="false" stroked="true" strokeweight="1.2pt" strokecolor="#ffffff">
                <v:path arrowok="t"/>
              </v:shape>
            </v:group>
            <v:group style="position:absolute;left:3730;top:2135;width:6875;height:354" coordorigin="3730,2135" coordsize="6875,354">
              <v:shape style="position:absolute;left:3730;top:2135;width:6875;height:354" coordorigin="3730,2135" coordsize="6875,354" path="m3730,2489l10605,2489,10605,2135,3730,2135,3730,2489xe" filled="true" fillcolor="#ffffff" stroked="false">
                <v:path arrowok="t"/>
                <v:fill type="solid"/>
              </v:shape>
            </v:group>
            <w10:wrap type="none"/>
          </v:group>
        </w:pict>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23" w:type="dxa"/>
        <w:tblLayout w:type="fixed"/>
        <w:tblCellMar>
          <w:top w:w="0" w:type="dxa"/>
          <w:left w:w="0" w:type="dxa"/>
          <w:bottom w:w="0" w:type="dxa"/>
          <w:right w:w="0" w:type="dxa"/>
        </w:tblCellMar>
        <w:tblLook w:val="01E0"/>
      </w:tblPr>
      <w:tblGrid>
        <w:gridCol w:w="2273"/>
        <w:gridCol w:w="2955"/>
        <w:gridCol w:w="1850"/>
        <w:gridCol w:w="2127"/>
      </w:tblGrid>
      <w:tr>
        <w:trPr>
          <w:trHeight w:val="36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天舟文化</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300148</w:t>
            </w:r>
          </w:p>
        </w:tc>
      </w:tr>
      <w:tr>
        <w:trPr>
          <w:trHeight w:val="36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9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天舟文化股份有限公司</w:t>
            </w:r>
          </w:p>
        </w:tc>
      </w:tr>
      <w:tr>
        <w:trPr>
          <w:trHeight w:val="36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9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天舟文化</w:t>
            </w:r>
          </w:p>
        </w:tc>
      </w:tr>
      <w:tr>
        <w:trPr>
          <w:trHeight w:val="36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69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pacing w:val="-3"/>
                <w:sz w:val="18"/>
              </w:rPr>
              <w:t>TANGEL </w:t>
            </w:r>
            <w:r>
              <w:rPr>
                <w:rFonts w:ascii="Times New Roman"/>
                <w:sz w:val="18"/>
              </w:rPr>
              <w:t>PUBLISHING CO.,</w:t>
            </w:r>
            <w:r>
              <w:rPr>
                <w:rFonts w:ascii="Times New Roman"/>
                <w:spacing w:val="-6"/>
                <w:sz w:val="18"/>
              </w:rPr>
              <w:t> </w:t>
            </w:r>
            <w:r>
              <w:rPr>
                <w:rFonts w:ascii="Times New Roman"/>
                <w:spacing w:val="-5"/>
                <w:sz w:val="18"/>
              </w:rPr>
              <w:t>LTD.</w:t>
            </w:r>
          </w:p>
        </w:tc>
      </w:tr>
      <w:tr>
        <w:trPr>
          <w:trHeight w:val="36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34"/>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69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pacing w:val="-3"/>
                <w:sz w:val="18"/>
              </w:rPr>
              <w:t>TANGEL</w:t>
            </w:r>
            <w:r>
              <w:rPr>
                <w:rFonts w:ascii="Times New Roman"/>
                <w:spacing w:val="-9"/>
                <w:sz w:val="18"/>
              </w:rPr>
              <w:t> </w:t>
            </w:r>
            <w:r>
              <w:rPr>
                <w:rFonts w:ascii="Times New Roman"/>
                <w:sz w:val="18"/>
              </w:rPr>
              <w:t>PUBLISHING</w:t>
            </w:r>
          </w:p>
        </w:tc>
      </w:tr>
      <w:tr>
        <w:trPr>
          <w:trHeight w:val="36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9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肖志鸿</w:t>
            </w:r>
          </w:p>
        </w:tc>
      </w:tr>
      <w:tr>
        <w:trPr>
          <w:trHeight w:val="36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9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湖南省长沙县星沙镇茶叶大市场办公楼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宋体" w:hAnsi="宋体" w:cs="宋体" w:eastAsia="宋体" w:hint="default"/>
                <w:sz w:val="18"/>
                <w:szCs w:val="18"/>
              </w:rPr>
              <w:t>、</w:t>
            </w:r>
            <w:r>
              <w:rPr>
                <w:rFonts w:ascii="Times New Roman" w:hAnsi="Times New Roman" w:cs="Times New Roman" w:eastAsia="Times New Roman" w:hint="default"/>
                <w:sz w:val="18"/>
                <w:szCs w:val="18"/>
              </w:rPr>
              <w:t>602 </w:t>
            </w:r>
            <w:r>
              <w:rPr>
                <w:rFonts w:ascii="宋体" w:hAnsi="宋体" w:cs="宋体" w:eastAsia="宋体" w:hint="default"/>
                <w:sz w:val="18"/>
                <w:szCs w:val="18"/>
              </w:rPr>
              <w:t>号</w:t>
            </w:r>
          </w:p>
        </w:tc>
      </w:tr>
      <w:tr>
        <w:trPr>
          <w:trHeight w:val="36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9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410199</w:t>
            </w:r>
          </w:p>
        </w:tc>
      </w:tr>
      <w:tr>
        <w:trPr>
          <w:trHeight w:val="36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9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湖南省长沙市岳麓区银杉路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号绿地中央广场紫峰写字楼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36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9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410013</w:t>
            </w:r>
          </w:p>
        </w:tc>
      </w:tr>
      <w:tr>
        <w:trPr>
          <w:trHeight w:val="36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9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hyperlink r:id="rId7">
              <w:r>
                <w:rPr>
                  <w:rFonts w:ascii="Times New Roman"/>
                  <w:sz w:val="18"/>
                </w:rPr>
                <w:t>http://www.t-angel.com</w:t>
              </w:r>
            </w:hyperlink>
          </w:p>
        </w:tc>
      </w:tr>
      <w:tr>
        <w:trPr>
          <w:trHeight w:val="36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9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hyperlink r:id="rId8">
              <w:r>
                <w:rPr>
                  <w:rFonts w:ascii="Times New Roman"/>
                  <w:sz w:val="18"/>
                </w:rPr>
                <w:t>tangeldm@126.com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left="543"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2837"/>
        <w:gridCol w:w="3190"/>
        <w:gridCol w:w="3193"/>
      </w:tblGrid>
      <w:tr>
        <w:trPr>
          <w:trHeight w:val="36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6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杨灏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姜玲</w:t>
            </w:r>
          </w:p>
        </w:tc>
      </w:tr>
      <w:tr>
        <w:trPr>
          <w:trHeight w:val="161" w:hRule="exact"/>
        </w:trPr>
        <w:tc>
          <w:tcPr>
            <w:tcW w:w="2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10" w:space="0" w:color="D2D2D2"/>
              <w:right w:val="single" w:sz="4" w:space="0" w:color="000000"/>
            </w:tcBorders>
          </w:tcPr>
          <w:p>
            <w:pPr>
              <w:pStyle w:val="TableParagraph"/>
              <w:spacing w:line="240" w:lineRule="auto" w:before="8"/>
              <w:ind w:left="16" w:right="0"/>
              <w:jc w:val="left"/>
              <w:rPr>
                <w:rFonts w:ascii="宋体" w:hAnsi="宋体" w:cs="宋体" w:eastAsia="宋体" w:hint="default"/>
                <w:sz w:val="18"/>
                <w:szCs w:val="18"/>
              </w:rPr>
            </w:pPr>
            <w:r>
              <w:rPr>
                <w:rFonts w:ascii="宋体" w:hAnsi="宋体" w:cs="宋体" w:eastAsia="宋体" w:hint="default"/>
                <w:sz w:val="18"/>
                <w:szCs w:val="18"/>
              </w:rPr>
              <w:t>湖南省长沙市岳麓区银杉路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号绿地中</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央广场紫峰写字楼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湖南省长沙市岳麓区银杉路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号绿地中</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央广场紫峰写字楼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53"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10" w:space="0" w:color="D2D2D2"/>
              <w:right w:val="single" w:sz="4" w:space="0" w:color="000000"/>
            </w:tcBorders>
          </w:tcPr>
          <w:p>
            <w:pPr/>
          </w:p>
        </w:tc>
        <w:tc>
          <w:tcPr>
            <w:tcW w:w="3193" w:type="dxa"/>
            <w:vMerge/>
            <w:tcBorders>
              <w:left w:val="single" w:sz="4" w:space="0" w:color="000000"/>
              <w:right w:val="single" w:sz="4" w:space="0" w:color="000000"/>
            </w:tcBorders>
          </w:tcPr>
          <w:p>
            <w:pPr/>
          </w:p>
        </w:tc>
      </w:tr>
      <w:tr>
        <w:trPr>
          <w:trHeight w:val="161" w:hRule="exact"/>
        </w:trPr>
        <w:tc>
          <w:tcPr>
            <w:tcW w:w="2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36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11" w:right="0"/>
              <w:jc w:val="left"/>
              <w:rPr>
                <w:rFonts w:ascii="Times New Roman" w:hAnsi="Times New Roman" w:cs="Times New Roman" w:eastAsia="Times New Roman" w:hint="default"/>
                <w:sz w:val="18"/>
                <w:szCs w:val="18"/>
              </w:rPr>
            </w:pPr>
            <w:r>
              <w:rPr>
                <w:rFonts w:ascii="Times New Roman"/>
                <w:sz w:val="18"/>
              </w:rPr>
              <w:t>0731-88834956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0731-88834956</w:t>
            </w:r>
          </w:p>
        </w:tc>
      </w:tr>
      <w:tr>
        <w:trPr>
          <w:trHeight w:val="360"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11" w:right="0"/>
              <w:jc w:val="left"/>
              <w:rPr>
                <w:rFonts w:ascii="Times New Roman" w:hAnsi="Times New Roman" w:cs="Times New Roman" w:eastAsia="Times New Roman" w:hint="default"/>
                <w:sz w:val="18"/>
                <w:szCs w:val="18"/>
              </w:rPr>
            </w:pPr>
            <w:r>
              <w:rPr>
                <w:rFonts w:ascii="Times New Roman"/>
                <w:sz w:val="18"/>
              </w:rPr>
              <w:t>0731-88834956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0731-88834956</w:t>
            </w:r>
          </w:p>
        </w:tc>
      </w:tr>
      <w:tr>
        <w:trPr>
          <w:trHeight w:val="36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Times New Roman" w:hAnsi="Times New Roman" w:cs="Times New Roman" w:eastAsia="Times New Roman" w:hint="default"/>
                <w:sz w:val="18"/>
                <w:szCs w:val="18"/>
              </w:rPr>
            </w:pPr>
            <w:hyperlink r:id="rId8">
              <w:r>
                <w:rPr>
                  <w:rFonts w:ascii="Times New Roman"/>
                  <w:sz w:val="18"/>
                </w:rPr>
                <w:t>tangeldm@126.com</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hyperlink r:id="rId8">
              <w:r>
                <w:rPr>
                  <w:rFonts w:ascii="Times New Roman"/>
                  <w:sz w:val="18"/>
                </w:rPr>
                <w:t>tangeldm@126.com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left="543" w:right="0"/>
        <w:jc w:val="left"/>
        <w:rPr>
          <w:b w:val="0"/>
          <w:bCs w:val="0"/>
        </w:rPr>
      </w:pPr>
      <w:r>
        <w:rPr/>
        <w:t>三、信息披露及备置地点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pStyle w:val="BodyText"/>
        <w:spacing w:line="240" w:lineRule="auto"/>
        <w:ind w:left="0" w:right="102"/>
        <w:jc w:val="right"/>
      </w:pPr>
      <w:r>
        <w:rPr/>
        <w:pict>
          <v:shape style="position:absolute;margin-left:70.584pt;margin-top:-19.008265pt;width:464pt;height:70.4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9"/>
                    <w:gridCol w:w="5576"/>
                  </w:tblGrid>
                  <w:tr>
                    <w:trPr>
                      <w:trHeight w:val="362" w:hRule="exact"/>
                    </w:trPr>
                    <w:tc>
                      <w:tcPr>
                        <w:tcW w:w="3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674" w:hRule="exact"/>
                    </w:trPr>
                    <w:tc>
                      <w:tcPr>
                        <w:tcW w:w="3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1" w:right="113"/>
                          <w:jc w:val="left"/>
                          <w:rPr>
                            <w:rFonts w:ascii="Times New Roman" w:hAnsi="Times New Roman" w:cs="Times New Roman" w:eastAsia="Times New Roman" w:hint="default"/>
                            <w:sz w:val="18"/>
                            <w:szCs w:val="18"/>
                          </w:rPr>
                        </w:pPr>
                        <w:hyperlink r:id="rId9">
                          <w:r>
                            <w:rPr>
                              <w:rFonts w:ascii="Times New Roman" w:hAnsi="Times New Roman" w:cs="Times New Roman" w:eastAsia="Times New Roman" w:hint="default"/>
                              <w:spacing w:val="-2"/>
                              <w:sz w:val="18"/>
                              <w:szCs w:val="18"/>
                            </w:rPr>
                            <w:t>http://www.cninfo.com.cn/</w:t>
                          </w:r>
                        </w:hyperlink>
                        <w:r>
                          <w:rPr>
                            <w:rFonts w:ascii="宋体" w:hAnsi="宋体" w:cs="宋体" w:eastAsia="宋体" w:hint="default"/>
                            <w:spacing w:val="-2"/>
                            <w:sz w:val="18"/>
                            <w:szCs w:val="18"/>
                          </w:rPr>
                          <w:t>、</w:t>
                        </w:r>
                        <w:hyperlink r:id="rId10">
                          <w:r>
                            <w:rPr>
                              <w:rFonts w:ascii="Times New Roman" w:hAnsi="Times New Roman" w:cs="Times New Roman" w:eastAsia="Times New Roman" w:hint="default"/>
                              <w:spacing w:val="-2"/>
                              <w:sz w:val="18"/>
                              <w:szCs w:val="18"/>
                            </w:rPr>
                            <w:t>http://www.cs.com.cn/</w:t>
                          </w:r>
                        </w:hyperlink>
                        <w:r>
                          <w:rPr>
                            <w:rFonts w:ascii="宋体" w:hAnsi="宋体" w:cs="宋体" w:eastAsia="宋体" w:hint="default"/>
                            <w:spacing w:val="-2"/>
                            <w:sz w:val="18"/>
                            <w:szCs w:val="18"/>
                          </w:rPr>
                          <w:t>、</w:t>
                        </w:r>
                        <w:hyperlink r:id="rId11">
                          <w:r>
                            <w:rPr>
                              <w:rFonts w:ascii="Times New Roman" w:hAnsi="Times New Roman" w:cs="Times New Roman" w:eastAsia="Times New Roman" w:hint="default"/>
                              <w:spacing w:val="-2"/>
                              <w:sz w:val="18"/>
                              <w:szCs w:val="18"/>
                            </w:rPr>
                            <w:t>http://www.stcn.com/</w:t>
                          </w:r>
                        </w:hyperlink>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1"/>
                            <w:sz w:val="18"/>
                            <w:szCs w:val="18"/>
                          </w:rPr>
                        </w:r>
                        <w:hyperlink r:id="rId12">
                          <w:r>
                            <w:rPr>
                              <w:rFonts w:ascii="Times New Roman" w:hAnsi="Times New Roman" w:cs="Times New Roman" w:eastAsia="Times New Roman" w:hint="default"/>
                              <w:sz w:val="18"/>
                              <w:szCs w:val="18"/>
                            </w:rPr>
                            <w:t>http://www.cnstock.com/</w:t>
                          </w:r>
                        </w:hyperlink>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http://www.ccstock.cn/</w:t>
                          </w:r>
                        </w:hyperlink>
                      </w:p>
                    </w:tc>
                  </w:tr>
                  <w:tr>
                    <w:trPr>
                      <w:trHeight w:val="362" w:hRule="exact"/>
                    </w:trPr>
                    <w:tc>
                      <w:tcPr>
                        <w:tcW w:w="3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3"/>
        <w:spacing w:line="240" w:lineRule="auto" w:before="26"/>
        <w:ind w:left="543" w:right="0"/>
        <w:jc w:val="left"/>
        <w:rPr>
          <w:b w:val="0"/>
          <w:bCs w:val="0"/>
        </w:rPr>
      </w:pPr>
      <w:r>
        <w:rPr/>
        <w:t>四、其他有关资料</w:t>
      </w:r>
      <w:r>
        <w:rPr>
          <w:b w:val="0"/>
          <w:bCs w:val="0"/>
        </w:rPr>
      </w:r>
    </w:p>
    <w:p>
      <w:pPr>
        <w:pStyle w:val="BodyText"/>
        <w:spacing w:line="240" w:lineRule="auto" w:before="44"/>
        <w:ind w:left="543" w:right="0"/>
        <w:jc w:val="left"/>
      </w:pPr>
      <w:r>
        <w:rPr/>
        <w:t>公司聘请的会计师事务所</w:t>
      </w:r>
    </w:p>
    <w:p>
      <w:pPr>
        <w:spacing w:line="240" w:lineRule="auto" w:before="3"/>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2640"/>
        <w:gridCol w:w="6565"/>
      </w:tblGrid>
      <w:tr>
        <w:trPr>
          <w:trHeight w:val="362" w:hRule="exact"/>
        </w:trPr>
        <w:tc>
          <w:tcPr>
            <w:tcW w:w="2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天职国际会计师事务所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363" w:hRule="exact"/>
        </w:trPr>
        <w:tc>
          <w:tcPr>
            <w:tcW w:w="2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湖南省长沙市芙蓉区韶山北路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216 </w:t>
            </w:r>
            <w:r>
              <w:rPr>
                <w:rFonts w:ascii="宋体" w:hAnsi="宋体" w:cs="宋体" w:eastAsia="宋体" w:hint="default"/>
                <w:sz w:val="18"/>
                <w:szCs w:val="18"/>
              </w:rPr>
              <w:t>号维一星城国际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楼</w:t>
            </w:r>
          </w:p>
        </w:tc>
      </w:tr>
      <w:tr>
        <w:trPr>
          <w:trHeight w:val="362" w:hRule="exact"/>
        </w:trPr>
        <w:tc>
          <w:tcPr>
            <w:tcW w:w="2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5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刘宇科、李明、伍舫</w:t>
            </w:r>
          </w:p>
        </w:tc>
      </w:tr>
    </w:tbl>
    <w:p>
      <w:pPr>
        <w:spacing w:after="0" w:line="240" w:lineRule="auto"/>
        <w:jc w:val="left"/>
        <w:rPr>
          <w:rFonts w:ascii="宋体" w:hAnsi="宋体" w:cs="宋体" w:eastAsia="宋体" w:hint="default"/>
          <w:sz w:val="18"/>
          <w:szCs w:val="18"/>
        </w:rPr>
        <w:sectPr>
          <w:pgSz w:w="11910" w:h="16840"/>
          <w:pgMar w:header="0" w:footer="959" w:top="1560" w:bottom="1220" w:left="1300" w:right="1060"/>
        </w:sectPr>
      </w:pPr>
    </w:p>
    <w:p>
      <w:pPr>
        <w:pStyle w:val="Heading6"/>
        <w:spacing w:line="240" w:lineRule="auto" w:before="6"/>
        <w:ind w:left="703" w:right="0"/>
        <w:jc w:val="left"/>
      </w:pPr>
      <w:r>
        <w:rPr/>
        <w:t>公司聘请的报告期内履行持续督导职责的保荐机构</w:t>
      </w:r>
    </w:p>
    <w:p>
      <w:pPr>
        <w:spacing w:line="240" w:lineRule="auto" w:before="10"/>
        <w:rPr>
          <w:rFonts w:ascii="宋体" w:hAnsi="宋体" w:cs="宋体" w:eastAsia="宋体" w:hint="default"/>
          <w:sz w:val="14"/>
          <w:szCs w:val="14"/>
        </w:rPr>
      </w:pPr>
    </w:p>
    <w:p>
      <w:pPr>
        <w:pStyle w:val="Heading6"/>
        <w:spacing w:line="240" w:lineRule="auto"/>
        <w:ind w:left="703" w:right="0"/>
        <w:jc w:val="left"/>
      </w:pPr>
      <w:r>
        <w:rPr/>
        <w:t>□适用√不适用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37"/>
        <w:ind w:left="703" w:right="0"/>
        <w:jc w:val="left"/>
      </w:pPr>
      <w:r>
        <w:rPr/>
        <w:t>公司聘请的报告期内履行持续督导职责的财务顾问</w:t>
      </w:r>
    </w:p>
    <w:p>
      <w:pPr>
        <w:spacing w:line="240" w:lineRule="auto" w:before="10"/>
        <w:rPr>
          <w:rFonts w:ascii="宋体" w:hAnsi="宋体" w:cs="宋体" w:eastAsia="宋体" w:hint="default"/>
          <w:sz w:val="14"/>
          <w:szCs w:val="14"/>
        </w:rPr>
      </w:pPr>
    </w:p>
    <w:p>
      <w:pPr>
        <w:pStyle w:val="Heading6"/>
        <w:spacing w:line="240" w:lineRule="auto"/>
        <w:ind w:left="703" w:right="0"/>
        <w:jc w:val="left"/>
      </w:pPr>
      <w:r>
        <w:rPr/>
        <w:t>□适用√不适用</w:t>
      </w:r>
    </w:p>
    <w:p>
      <w:pPr>
        <w:spacing w:line="240" w:lineRule="auto" w:before="11"/>
        <w:rPr>
          <w:rFonts w:ascii="宋体" w:hAnsi="宋体" w:cs="宋体" w:eastAsia="宋体" w:hint="default"/>
          <w:sz w:val="29"/>
          <w:szCs w:val="29"/>
        </w:rPr>
      </w:pPr>
    </w:p>
    <w:p>
      <w:pPr>
        <w:pStyle w:val="Heading3"/>
        <w:spacing w:line="240" w:lineRule="auto"/>
        <w:ind w:left="703" w:right="0"/>
        <w:jc w:val="left"/>
        <w:rPr>
          <w:b w:val="0"/>
          <w:bCs w:val="0"/>
        </w:rPr>
      </w:pPr>
      <w:r>
        <w:rPr/>
        <w:t>五、主要会计数据和财务指标</w:t>
      </w:r>
      <w:r>
        <w:rPr>
          <w:b w:val="0"/>
          <w:bCs w:val="0"/>
        </w:rPr>
      </w:r>
    </w:p>
    <w:p>
      <w:pPr>
        <w:spacing w:line="240" w:lineRule="auto" w:before="11"/>
        <w:rPr>
          <w:rFonts w:ascii="宋体" w:hAnsi="宋体" w:cs="宋体" w:eastAsia="宋体" w:hint="default"/>
          <w:b/>
          <w:bCs/>
          <w:sz w:val="30"/>
          <w:szCs w:val="30"/>
        </w:rPr>
      </w:pPr>
    </w:p>
    <w:p>
      <w:pPr>
        <w:pStyle w:val="Heading6"/>
        <w:spacing w:line="240" w:lineRule="auto"/>
        <w:ind w:left="703" w:right="0"/>
        <w:jc w:val="left"/>
      </w:pPr>
      <w:r>
        <w:rPr/>
        <w:t>公司是否因会计政策变更及会计差错更正等追溯调整或重述以前年度会计数据</w:t>
      </w:r>
    </w:p>
    <w:p>
      <w:pPr>
        <w:spacing w:line="240" w:lineRule="auto" w:before="10"/>
        <w:rPr>
          <w:rFonts w:ascii="宋体" w:hAnsi="宋体" w:cs="宋体" w:eastAsia="宋体" w:hint="default"/>
          <w:sz w:val="14"/>
          <w:szCs w:val="14"/>
        </w:rPr>
      </w:pPr>
    </w:p>
    <w:p>
      <w:pPr>
        <w:pStyle w:val="Heading6"/>
        <w:spacing w:line="240" w:lineRule="auto"/>
        <w:ind w:left="703" w:right="0"/>
        <w:jc w:val="left"/>
      </w:pPr>
      <w:r>
        <w:rPr/>
        <w:t>□是√否</w:t>
      </w:r>
    </w:p>
    <w:p>
      <w:pPr>
        <w:spacing w:line="240" w:lineRule="auto" w:before="11"/>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599"/>
        <w:gridCol w:w="1750"/>
        <w:gridCol w:w="1738"/>
        <w:gridCol w:w="1738"/>
        <w:gridCol w:w="1735"/>
      </w:tblGrid>
      <w:tr>
        <w:trPr>
          <w:trHeight w:val="360"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62"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544,282,530.17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515,755,768.36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z w:val="18"/>
              </w:rPr>
              <w:t>5.53%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327,948,371.93</w:t>
            </w:r>
          </w:p>
        </w:tc>
      </w:tr>
      <w:tr>
        <w:trPr>
          <w:trHeight w:val="67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176,217,902.06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118,257,749.77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20,323,994.26</w:t>
            </w:r>
          </w:p>
        </w:tc>
      </w:tr>
      <w:tr>
        <w:trPr>
          <w:trHeight w:val="67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145,123,582.75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110,611,713.29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12,850,053.18</w:t>
            </w:r>
          </w:p>
        </w:tc>
      </w:tr>
      <w:tr>
        <w:trPr>
          <w:trHeight w:val="67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214,677,581.93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174,729,130.98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46,466,466.46</w:t>
            </w:r>
          </w:p>
        </w:tc>
      </w:tr>
      <w:tr>
        <w:trPr>
          <w:trHeight w:val="362"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0.42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27.27%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0.07</w:t>
            </w:r>
          </w:p>
        </w:tc>
      </w:tr>
      <w:tr>
        <w:trPr>
          <w:trHeight w:val="360"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0.42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27.27%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0.07</w:t>
            </w:r>
          </w:p>
        </w:tc>
      </w:tr>
      <w:tr>
        <w:trPr>
          <w:trHeight w:val="362"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9.54%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9.51%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z w:val="18"/>
              </w:rPr>
              <w:t>0.03%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3.83%</w:t>
            </w:r>
          </w:p>
        </w:tc>
      </w:tr>
      <w:tr>
        <w:trPr>
          <w:trHeight w:val="362"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6"/>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32"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2,085,786,831.41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2,029,383,354.66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
              <w:jc w:val="right"/>
              <w:rPr>
                <w:rFonts w:ascii="Times New Roman" w:hAnsi="Times New Roman" w:cs="Times New Roman" w:eastAsia="Times New Roman" w:hint="default"/>
                <w:sz w:val="18"/>
                <w:szCs w:val="18"/>
              </w:rPr>
            </w:pPr>
            <w:r>
              <w:rPr>
                <w:rFonts w:ascii="Times New Roman"/>
                <w:sz w:val="18"/>
              </w:rPr>
              <w:t>2.78%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638,604,005.47</w:t>
            </w:r>
          </w:p>
        </w:tc>
      </w:tr>
      <w:tr>
        <w:trPr>
          <w:trHeight w:val="67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1,928,799,775.76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1,764,900,459.38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9.29%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536,665,717.09</w:t>
            </w:r>
          </w:p>
        </w:tc>
      </w:tr>
    </w:tbl>
    <w:p>
      <w:pPr>
        <w:spacing w:line="240" w:lineRule="auto" w:before="4"/>
        <w:rPr>
          <w:rFonts w:ascii="宋体" w:hAnsi="宋体" w:cs="宋体" w:eastAsia="宋体" w:hint="default"/>
          <w:sz w:val="23"/>
          <w:szCs w:val="23"/>
        </w:rPr>
      </w:pPr>
    </w:p>
    <w:p>
      <w:pPr>
        <w:pStyle w:val="Heading6"/>
        <w:spacing w:line="240" w:lineRule="auto" w:before="36"/>
        <w:ind w:left="703" w:right="0"/>
        <w:jc w:val="left"/>
      </w:pPr>
      <w:r>
        <w:rPr/>
        <w:t>截止披露前一交易日的公司总股本：</w:t>
      </w:r>
    </w:p>
    <w:p>
      <w:pPr>
        <w:spacing w:line="240" w:lineRule="auto" w:before="10"/>
        <w:rPr>
          <w:rFonts w:ascii="宋体" w:hAnsi="宋体" w:cs="宋体" w:eastAsia="宋体" w:hint="default"/>
          <w:sz w:val="6"/>
          <w:szCs w:val="6"/>
        </w:rPr>
      </w:pPr>
    </w:p>
    <w:tbl>
      <w:tblPr>
        <w:tblW w:w="0" w:type="auto"/>
        <w:jc w:val="left"/>
        <w:tblInd w:w="132" w:type="dxa"/>
        <w:tblLayout w:type="fixed"/>
        <w:tblCellMar>
          <w:top w:w="0" w:type="dxa"/>
          <w:left w:w="0" w:type="dxa"/>
          <w:bottom w:w="0" w:type="dxa"/>
          <w:right w:w="0" w:type="dxa"/>
        </w:tblCellMar>
        <w:tblLook w:val="01E0"/>
      </w:tblPr>
      <w:tblGrid>
        <w:gridCol w:w="5090"/>
        <w:gridCol w:w="4408"/>
      </w:tblGrid>
      <w:tr>
        <w:trPr>
          <w:trHeight w:val="362" w:hRule="exact"/>
        </w:trPr>
        <w:tc>
          <w:tcPr>
            <w:tcW w:w="5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4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422,351,509</w:t>
            </w:r>
          </w:p>
        </w:tc>
      </w:tr>
      <w:tr>
        <w:trPr>
          <w:trHeight w:val="362" w:hRule="exact"/>
        </w:trPr>
        <w:tc>
          <w:tcPr>
            <w:tcW w:w="5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w w:val="95"/>
                <w:sz w:val="18"/>
              </w:rPr>
              <w:t>0.42</w:t>
            </w:r>
          </w:p>
        </w:tc>
      </w:tr>
    </w:tbl>
    <w:p>
      <w:pPr>
        <w:spacing w:line="240" w:lineRule="auto" w:before="1"/>
        <w:rPr>
          <w:rFonts w:ascii="宋体" w:hAnsi="宋体" w:cs="宋体" w:eastAsia="宋体" w:hint="default"/>
          <w:sz w:val="29"/>
          <w:szCs w:val="29"/>
        </w:rPr>
      </w:pPr>
    </w:p>
    <w:p>
      <w:pPr>
        <w:pStyle w:val="Heading6"/>
        <w:spacing w:line="240" w:lineRule="auto" w:before="36"/>
        <w:ind w:left="703" w:right="0"/>
        <w:jc w:val="left"/>
      </w:pPr>
      <w:r>
        <w:rPr/>
        <w:t>是否存在公司债</w:t>
      </w:r>
    </w:p>
    <w:p>
      <w:pPr>
        <w:spacing w:line="240" w:lineRule="auto" w:before="10"/>
        <w:rPr>
          <w:rFonts w:ascii="宋体" w:hAnsi="宋体" w:cs="宋体" w:eastAsia="宋体" w:hint="default"/>
          <w:sz w:val="14"/>
          <w:szCs w:val="14"/>
        </w:rPr>
      </w:pPr>
    </w:p>
    <w:p>
      <w:pPr>
        <w:pStyle w:val="Heading6"/>
        <w:spacing w:line="240" w:lineRule="auto"/>
        <w:ind w:left="703" w:right="0"/>
        <w:jc w:val="left"/>
      </w:pPr>
      <w:r>
        <w:rPr/>
        <w:t>□是√否</w:t>
      </w:r>
    </w:p>
    <w:p>
      <w:pPr>
        <w:spacing w:after="0" w:line="240" w:lineRule="auto"/>
        <w:jc w:val="left"/>
        <w:sectPr>
          <w:pgSz w:w="11910" w:h="16840"/>
          <w:pgMar w:header="0" w:footer="959" w:top="1480" w:bottom="1220" w:left="1140" w:right="980"/>
        </w:sectPr>
      </w:pPr>
    </w:p>
    <w:p>
      <w:pPr>
        <w:pStyle w:val="Heading3"/>
        <w:spacing w:line="240" w:lineRule="auto" w:before="4"/>
        <w:ind w:left="663" w:right="0"/>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755"/>
        <w:jc w:val="right"/>
      </w:pPr>
      <w:r>
        <w:rPr/>
        <w:t>单位：元</w:t>
      </w:r>
    </w:p>
    <w:p>
      <w:pPr>
        <w:spacing w:line="240" w:lineRule="auto" w:before="2"/>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2599"/>
        <w:gridCol w:w="1752"/>
        <w:gridCol w:w="1738"/>
        <w:gridCol w:w="1741"/>
        <w:gridCol w:w="1730"/>
      </w:tblGrid>
      <w:tr>
        <w:trPr>
          <w:trHeight w:val="362"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1"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62"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87,906,615.81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2"/>
                <w:sz w:val="18"/>
              </w:rPr>
              <w:t>138,111,932.72</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77,806,937.06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240,457,044.58</w:t>
            </w:r>
          </w:p>
        </w:tc>
      </w:tr>
      <w:tr>
        <w:trPr>
          <w:trHeight w:val="362"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46,455,498.82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33,663,057.77</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36,267,154.36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59,832,191.11</w:t>
            </w:r>
          </w:p>
        </w:tc>
      </w:tr>
      <w:tr>
        <w:trPr>
          <w:trHeight w:val="67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27,833,622.93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26,652,797.47</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36,138,911.52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54,498,250.83</w:t>
            </w:r>
          </w:p>
        </w:tc>
      </w:tr>
      <w:tr>
        <w:trPr>
          <w:trHeight w:val="362"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-25,962,889.25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27,746,195.25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22,981,569.22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189,912,706.71</w:t>
            </w:r>
          </w:p>
        </w:tc>
      </w:tr>
    </w:tbl>
    <w:p>
      <w:pPr>
        <w:pStyle w:val="Heading6"/>
        <w:spacing w:line="240" w:lineRule="auto" w:before="64"/>
        <w:ind w:left="663" w:right="0"/>
        <w:jc w:val="left"/>
      </w:pPr>
      <w:r>
        <w:rPr/>
        <w:t>上述财务指标或其加总数是否与公司已披露季度报告、半年度报告相关财务指标存在重大差异</w:t>
      </w:r>
    </w:p>
    <w:p>
      <w:pPr>
        <w:spacing w:line="240" w:lineRule="auto" w:before="11"/>
        <w:rPr>
          <w:rFonts w:ascii="宋体" w:hAnsi="宋体" w:cs="宋体" w:eastAsia="宋体" w:hint="default"/>
          <w:sz w:val="14"/>
          <w:szCs w:val="14"/>
        </w:rPr>
      </w:pPr>
    </w:p>
    <w:p>
      <w:pPr>
        <w:pStyle w:val="Heading6"/>
        <w:spacing w:line="240" w:lineRule="auto"/>
        <w:ind w:left="663" w:right="0"/>
        <w:jc w:val="left"/>
      </w:pPr>
      <w:r>
        <w:rPr/>
        <w:t>□是√否</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3"/>
        <w:spacing w:line="240" w:lineRule="auto"/>
        <w:ind w:left="663" w:right="0"/>
        <w:jc w:val="left"/>
        <w:rPr>
          <w:b w:val="0"/>
          <w:bCs w:val="0"/>
        </w:rPr>
      </w:pPr>
      <w:r>
        <w:rPr/>
        <w:t>七、境内外会计准则下会计数据差异</w:t>
      </w:r>
      <w:r>
        <w:rPr>
          <w:b w:val="0"/>
          <w:bCs w:val="0"/>
        </w:rPr>
      </w:r>
    </w:p>
    <w:p>
      <w:pPr>
        <w:pStyle w:val="Heading6"/>
        <w:spacing w:line="240" w:lineRule="auto" w:before="179"/>
        <w:ind w:left="663" w:right="0"/>
        <w:jc w:val="left"/>
      </w:pPr>
      <w:r>
        <w:rPr/>
        <w:t>□适用√不适用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959" w:top="1380" w:bottom="1220" w:left="1180" w:right="940"/>
        </w:sectPr>
      </w:pPr>
    </w:p>
    <w:p>
      <w:pPr>
        <w:pStyle w:val="Heading3"/>
        <w:spacing w:line="240" w:lineRule="auto" w:before="26"/>
        <w:ind w:left="663" w:right="0"/>
        <w:jc w:val="left"/>
        <w:rPr>
          <w:b w:val="0"/>
          <w:bCs w:val="0"/>
        </w:rPr>
      </w:pPr>
      <w:r>
        <w:rPr>
          <w:w w:val="95"/>
        </w:rPr>
        <w:t>八、非经常性损益项目及金额</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7"/>
          <w:szCs w:val="17"/>
        </w:rPr>
      </w:pPr>
    </w:p>
    <w:p>
      <w:pPr>
        <w:pStyle w:val="BodyText"/>
        <w:spacing w:line="240" w:lineRule="auto"/>
        <w:ind w:left="663" w:right="0"/>
        <w:jc w:val="left"/>
      </w:pPr>
      <w:r>
        <w:rPr/>
        <w:t>单位：元</w:t>
      </w:r>
    </w:p>
    <w:p>
      <w:pPr>
        <w:spacing w:after="0" w:line="240" w:lineRule="auto"/>
        <w:jc w:val="left"/>
        <w:sectPr>
          <w:type w:val="continuous"/>
          <w:pgSz w:w="11910" w:h="16840"/>
          <w:pgMar w:top="1580" w:bottom="1140" w:left="1180" w:right="940"/>
          <w:cols w:num="2" w:equalWidth="0">
            <w:col w:w="3795" w:space="3851"/>
            <w:col w:w="2144"/>
          </w:cols>
        </w:sectPr>
      </w:pPr>
    </w:p>
    <w:p>
      <w:pPr>
        <w:spacing w:line="240" w:lineRule="auto" w:before="2"/>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3096"/>
        <w:gridCol w:w="1571"/>
        <w:gridCol w:w="1419"/>
        <w:gridCol w:w="1416"/>
        <w:gridCol w:w="2055"/>
      </w:tblGrid>
      <w:tr>
        <w:trPr>
          <w:trHeight w:val="363"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0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96" w:right="0"/>
              <w:jc w:val="left"/>
              <w:rPr>
                <w:rFonts w:ascii="Times New Roman" w:hAnsi="Times New Roman" w:cs="Times New Roman" w:eastAsia="Times New Roman" w:hint="default"/>
                <w:sz w:val="18"/>
                <w:szCs w:val="18"/>
              </w:rPr>
            </w:pPr>
            <w:r>
              <w:rPr>
                <w:rFonts w:ascii="Times New Roman"/>
                <w:sz w:val="18"/>
              </w:rPr>
              <w:t>23,928,107.80</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74" w:right="0"/>
              <w:jc w:val="left"/>
              <w:rPr>
                <w:rFonts w:ascii="Times New Roman" w:hAnsi="Times New Roman" w:cs="Times New Roman" w:eastAsia="Times New Roman" w:hint="default"/>
                <w:sz w:val="18"/>
                <w:szCs w:val="18"/>
              </w:rPr>
            </w:pPr>
            <w:r>
              <w:rPr>
                <w:rFonts w:ascii="Times New Roman"/>
                <w:sz w:val="18"/>
              </w:rPr>
              <w:t>306,754.49</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36" w:right="0"/>
              <w:jc w:val="left"/>
              <w:rPr>
                <w:rFonts w:ascii="Times New Roman" w:hAnsi="Times New Roman" w:cs="Times New Roman" w:eastAsia="Times New Roman" w:hint="default"/>
                <w:sz w:val="18"/>
                <w:szCs w:val="18"/>
              </w:rPr>
            </w:pPr>
            <w:r>
              <w:rPr>
                <w:rFonts w:ascii="Times New Roman"/>
                <w:sz w:val="18"/>
              </w:rPr>
              <w:t>7,206,459.05</w:t>
            </w:r>
          </w:p>
        </w:tc>
        <w:tc>
          <w:tcPr>
            <w:tcW w:w="2055" w:type="dxa"/>
            <w:vMerge w:val="restart"/>
            <w:tcBorders>
              <w:top w:val="single" w:sz="4" w:space="0" w:color="000000"/>
              <w:left w:val="single" w:sz="4" w:space="0" w:color="000000"/>
              <w:right w:val="single" w:sz="4" w:space="0" w:color="000000"/>
            </w:tcBorders>
          </w:tcPr>
          <w:p>
            <w:pPr>
              <w:pStyle w:val="TableParagraph"/>
              <w:spacing w:line="316" w:lineRule="auto" w:before="8"/>
              <w:ind w:left="23" w:right="39"/>
              <w:jc w:val="left"/>
              <w:rPr>
                <w:rFonts w:ascii="宋体" w:hAnsi="宋体" w:cs="宋体" w:eastAsia="宋体" w:hint="default"/>
                <w:sz w:val="18"/>
                <w:szCs w:val="18"/>
              </w:rPr>
            </w:pPr>
            <w:r>
              <w:rPr>
                <w:rFonts w:ascii="宋体" w:hAnsi="宋体" w:cs="宋体" w:eastAsia="宋体" w:hint="default"/>
                <w:sz w:val="18"/>
                <w:szCs w:val="18"/>
              </w:rPr>
              <w:t>本报告期主要为处置北洋 传媒股权投资收益</w:t>
            </w:r>
          </w:p>
          <w:p>
            <w:pPr>
              <w:pStyle w:val="TableParagraph"/>
              <w:spacing w:line="240" w:lineRule="auto" w:before="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2396.78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665" w:hRule="exact"/>
        </w:trPr>
        <w:tc>
          <w:tcPr>
            <w:tcW w:w="30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
              <w:ind w:left="10" w:right="14"/>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71" w:type="dxa"/>
            <w:vMerge/>
            <w:tcBorders>
              <w:left w:val="single" w:sz="9"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2055" w:type="dxa"/>
            <w:vMerge/>
            <w:tcBorders>
              <w:left w:val="single" w:sz="4" w:space="0" w:color="000000"/>
              <w:right w:val="single" w:sz="4" w:space="0" w:color="000000"/>
            </w:tcBorders>
          </w:tcPr>
          <w:p>
            <w:pPr/>
          </w:p>
        </w:tc>
      </w:tr>
      <w:tr>
        <w:trPr>
          <w:trHeight w:val="161" w:hRule="exact"/>
        </w:trPr>
        <w:tc>
          <w:tcPr>
            <w:tcW w:w="30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2055" w:type="dxa"/>
            <w:vMerge/>
            <w:tcBorders>
              <w:left w:val="single" w:sz="4" w:space="0" w:color="000000"/>
              <w:bottom w:val="single" w:sz="4" w:space="0" w:color="000000"/>
              <w:right w:val="single" w:sz="4" w:space="0" w:color="000000"/>
            </w:tcBorders>
          </w:tcPr>
          <w:p>
            <w:pPr/>
          </w:p>
        </w:tc>
      </w:tr>
      <w:tr>
        <w:trPr>
          <w:trHeight w:val="9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14"/>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14,686,190.85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8,037,845.22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2,966,666.67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36"/>
              <w:jc w:val="both"/>
              <w:rPr>
                <w:rFonts w:ascii="宋体" w:hAnsi="宋体" w:cs="宋体" w:eastAsia="宋体" w:hint="default"/>
                <w:sz w:val="18"/>
                <w:szCs w:val="18"/>
              </w:rPr>
            </w:pPr>
            <w:r>
              <w:rPr>
                <w:rFonts w:ascii="宋体" w:hAnsi="宋体" w:cs="宋体" w:eastAsia="宋体" w:hint="default"/>
                <w:sz w:val="18"/>
                <w:szCs w:val="18"/>
              </w:rPr>
              <w:t>详见第十节财务报告报表 附注（六、</w:t>
            </w:r>
            <w:r>
              <w:rPr>
                <w:rFonts w:ascii="Times New Roman" w:hAnsi="Times New Roman" w:cs="Times New Roman" w:eastAsia="Times New Roman" w:hint="default"/>
                <w:sz w:val="18"/>
                <w:szCs w:val="18"/>
              </w:rPr>
              <w:t>35</w:t>
            </w:r>
            <w:r>
              <w:rPr>
                <w:rFonts w:ascii="宋体" w:hAnsi="宋体" w:cs="宋体" w:eastAsia="宋体" w:hint="default"/>
                <w:sz w:val="18"/>
                <w:szCs w:val="18"/>
              </w:rPr>
              <w:t>）政府补助 明细</w:t>
            </w:r>
          </w:p>
        </w:tc>
      </w:tr>
      <w:tr>
        <w:trPr>
          <w:trHeight w:val="36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29,927.40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14"/>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-79,829.93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-256,091.12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-792,664.61</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30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85" w:right="0"/>
              <w:jc w:val="left"/>
              <w:rPr>
                <w:rFonts w:ascii="Times New Roman" w:hAnsi="Times New Roman" w:cs="Times New Roman" w:eastAsia="Times New Roman" w:hint="default"/>
                <w:sz w:val="18"/>
                <w:szCs w:val="18"/>
              </w:rPr>
            </w:pPr>
            <w:r>
              <w:rPr>
                <w:rFonts w:ascii="Times New Roman"/>
                <w:sz w:val="18"/>
              </w:rPr>
              <w:t>2,217,493.50</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39" w:right="0"/>
              <w:jc w:val="left"/>
              <w:rPr>
                <w:rFonts w:ascii="Times New Roman" w:hAnsi="Times New Roman" w:cs="Times New Roman" w:eastAsia="Times New Roman" w:hint="default"/>
                <w:sz w:val="18"/>
                <w:szCs w:val="18"/>
              </w:rPr>
            </w:pPr>
            <w:r>
              <w:rPr>
                <w:rFonts w:ascii="Times New Roman"/>
                <w:sz w:val="18"/>
              </w:rPr>
              <w:t>1,503,251.80</w:t>
            </w:r>
          </w:p>
        </w:tc>
        <w:tc>
          <w:tcPr>
            <w:tcW w:w="1416" w:type="dxa"/>
            <w:vMerge w:val="restart"/>
            <w:tcBorders>
              <w:top w:val="single" w:sz="4" w:space="0" w:color="000000"/>
              <w:left w:val="single" w:sz="4" w:space="0" w:color="000000"/>
              <w:right w:val="single" w:sz="4" w:space="0" w:color="000000"/>
            </w:tcBorders>
          </w:tcPr>
          <w:p>
            <w:pPr/>
          </w:p>
        </w:tc>
        <w:tc>
          <w:tcPr>
            <w:tcW w:w="2055" w:type="dxa"/>
            <w:vMerge w:val="restart"/>
            <w:tcBorders>
              <w:top w:val="single" w:sz="4" w:space="0" w:color="000000"/>
              <w:left w:val="single" w:sz="4" w:space="0" w:color="000000"/>
              <w:right w:val="single" w:sz="4" w:space="0" w:color="000000"/>
            </w:tcBorders>
          </w:tcPr>
          <w:p>
            <w:pPr>
              <w:pStyle w:val="TableParagraph"/>
              <w:spacing w:line="309" w:lineRule="auto" w:before="10"/>
              <w:ind w:left="23" w:right="17"/>
              <w:jc w:val="both"/>
              <w:rPr>
                <w:rFonts w:ascii="宋体" w:hAnsi="宋体" w:cs="宋体" w:eastAsia="宋体" w:hint="default"/>
                <w:sz w:val="18"/>
                <w:szCs w:val="18"/>
              </w:rPr>
            </w:pPr>
            <w:r>
              <w:rPr>
                <w:rFonts w:ascii="宋体" w:hAnsi="宋体" w:cs="宋体" w:eastAsia="宋体" w:hint="default"/>
                <w:sz w:val="18"/>
                <w:szCs w:val="18"/>
              </w:rPr>
              <w:t>本报告期收到的德天基金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年度分红、理财收益</w:t>
            </w:r>
            <w:r>
              <w:rPr>
                <w:rFonts w:ascii="宋体" w:hAnsi="宋体" w:cs="宋体" w:eastAsia="宋体" w:hint="default"/>
                <w:sz w:val="18"/>
                <w:szCs w:val="18"/>
              </w:rPr>
              <w:t> 及其他</w:t>
            </w:r>
          </w:p>
        </w:tc>
      </w:tr>
      <w:tr>
        <w:trPr>
          <w:trHeight w:val="350" w:hRule="exact"/>
        </w:trPr>
        <w:tc>
          <w:tcPr>
            <w:tcW w:w="30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71" w:type="dxa"/>
            <w:vMerge/>
            <w:tcBorders>
              <w:left w:val="single" w:sz="9"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2055" w:type="dxa"/>
            <w:vMerge/>
            <w:tcBorders>
              <w:left w:val="single" w:sz="4" w:space="0" w:color="000000"/>
              <w:right w:val="single" w:sz="4" w:space="0" w:color="000000"/>
            </w:tcBorders>
          </w:tcPr>
          <w:p>
            <w:pPr/>
          </w:p>
        </w:tc>
      </w:tr>
      <w:tr>
        <w:trPr>
          <w:trHeight w:val="317" w:hRule="exact"/>
        </w:trPr>
        <w:tc>
          <w:tcPr>
            <w:tcW w:w="30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2055" w:type="dxa"/>
            <w:vMerge/>
            <w:tcBorders>
              <w:left w:val="single" w:sz="4" w:space="0" w:color="000000"/>
              <w:bottom w:val="single" w:sz="4" w:space="0" w:color="000000"/>
              <w:right w:val="single" w:sz="4" w:space="0" w:color="000000"/>
            </w:tcBorders>
          </w:tcPr>
          <w:p>
            <w:pPr/>
          </w:p>
        </w:tc>
      </w:tr>
      <w:tr>
        <w:trPr>
          <w:trHeight w:val="36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9,647,545.39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1,899,069.90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1,928,448.61</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40,024.92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46,654.01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-21,928.58</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31,094,319.31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7,646,036.48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7,473,941.08</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pStyle w:val="Heading6"/>
        <w:spacing w:line="240" w:lineRule="auto" w:before="64"/>
        <w:ind w:left="663"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非经常性损益》定义界定</w:t>
      </w:r>
    </w:p>
    <w:p>
      <w:pPr>
        <w:pStyle w:val="Heading6"/>
        <w:spacing w:line="386" w:lineRule="auto" w:before="177"/>
        <w:ind w:left="663" w:right="0"/>
        <w:jc w:val="left"/>
      </w:pPr>
      <w:r>
        <w:rPr>
          <w:spacing w:val="-3"/>
        </w:rPr>
        <w:t>的非经常性损益项目，以及把《公开发行证券的公司信息披露解释性公告第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w:t>
      </w:r>
      <w:r>
        <w:rPr>
          <w:spacing w:val="-102"/>
        </w:rPr>
        <w:t> </w:t>
      </w:r>
      <w:r>
        <w:rPr>
          <w:spacing w:val="-102"/>
        </w:rPr>
      </w:r>
      <w:r>
        <w:rPr/>
        <w:t>性损益》中列举的非经常性损益项目界定为经常性损益的项目，应说明原因</w:t>
      </w:r>
    </w:p>
    <w:p>
      <w:pPr>
        <w:pStyle w:val="Heading6"/>
        <w:spacing w:line="240" w:lineRule="auto" w:before="65"/>
        <w:ind w:left="663" w:right="0"/>
        <w:jc w:val="left"/>
      </w:pPr>
      <w:r>
        <w:rPr/>
        <w:t>□适用√不适用</w:t>
      </w:r>
    </w:p>
    <w:p>
      <w:pPr>
        <w:spacing w:after="0" w:line="240" w:lineRule="auto"/>
        <w:jc w:val="left"/>
        <w:sectPr>
          <w:type w:val="continuous"/>
          <w:pgSz w:w="11910" w:h="16840"/>
          <w:pgMar w:top="1580" w:bottom="1140" w:left="1180" w:right="940"/>
        </w:sectPr>
      </w:pPr>
    </w:p>
    <w:p>
      <w:pPr>
        <w:spacing w:line="240" w:lineRule="auto" w:before="6"/>
        <w:rPr>
          <w:rFonts w:ascii="宋体" w:hAnsi="宋体" w:cs="宋体" w:eastAsia="宋体" w:hint="default"/>
          <w:sz w:val="19"/>
          <w:szCs w:val="19"/>
        </w:rPr>
      </w:pPr>
    </w:p>
    <w:p>
      <w:pPr>
        <w:pStyle w:val="Heading1"/>
        <w:spacing w:line="240" w:lineRule="auto"/>
        <w:ind w:left="3398" w:right="3396"/>
        <w:jc w:val="center"/>
        <w:rPr>
          <w:b w:val="0"/>
          <w:bCs w:val="0"/>
        </w:rPr>
      </w:pPr>
      <w:bookmarkStart w:name="_TOC_250007" w:id="3"/>
      <w:r>
        <w:rPr/>
        <w:t>第三节公司业务概要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r>
        <w:rPr/>
        <w:t>一、报告期内公司从事的主要业务</w:t>
      </w:r>
      <w:r>
        <w:rPr>
          <w:b w:val="0"/>
          <w:bCs w:val="0"/>
        </w:rPr>
      </w:r>
    </w:p>
    <w:p>
      <w:pPr>
        <w:spacing w:line="240" w:lineRule="auto" w:before="8"/>
        <w:rPr>
          <w:rFonts w:ascii="宋体" w:hAnsi="宋体" w:cs="宋体" w:eastAsia="宋体" w:hint="default"/>
          <w:b/>
          <w:bCs/>
          <w:sz w:val="30"/>
          <w:szCs w:val="30"/>
        </w:rPr>
      </w:pPr>
    </w:p>
    <w:p>
      <w:pPr>
        <w:pStyle w:val="Heading6"/>
        <w:spacing w:line="408" w:lineRule="auto"/>
        <w:ind w:left="683" w:right="670" w:firstLine="419"/>
        <w:jc w:val="both"/>
      </w:pPr>
      <w:r>
        <w:rPr>
          <w:spacing w:val="-3"/>
        </w:rPr>
        <w:t>公司由一家上市前的传统图书企业，到上市时的综合性出版传媒企业，再次升级为传统</w:t>
      </w:r>
      <w:r>
        <w:rPr>
          <w:w w:val="100"/>
        </w:rPr>
        <w:t> </w:t>
      </w:r>
      <w:r>
        <w:rPr>
          <w:spacing w:val="-3"/>
        </w:rPr>
        <w:t>媒体业态和新媒体业态相结合的新型出版文化传媒企业。报告期内，公司通过在互联网娱乐</w:t>
      </w:r>
      <w:r>
        <w:rPr>
          <w:spacing w:val="-26"/>
        </w:rPr>
        <w:t> </w:t>
      </w:r>
      <w:r>
        <w:rPr>
          <w:spacing w:val="-26"/>
        </w:rPr>
      </w:r>
      <w:r>
        <w:rPr>
          <w:spacing w:val="-3"/>
        </w:rPr>
        <w:t>和教育领域开展一系列的并购与重组，有效推动了公司业务向新媒介转型，目前，公司已发</w:t>
      </w:r>
      <w:r>
        <w:rPr>
          <w:spacing w:val="-33"/>
        </w:rPr>
        <w:t> </w:t>
      </w:r>
      <w:r>
        <w:rPr>
          <w:spacing w:val="-33"/>
        </w:rPr>
      </w:r>
      <w:r>
        <w:rPr>
          <w:spacing w:val="-3"/>
        </w:rPr>
        <w:t>展成为规模、效益和影响力位居全国文化传媒企业前列的标杆性企业。公司积极布局教育资</w:t>
      </w:r>
      <w:r>
        <w:rPr>
          <w:spacing w:val="-27"/>
        </w:rPr>
        <w:t> </w:t>
      </w:r>
      <w:r>
        <w:rPr>
          <w:spacing w:val="-27"/>
        </w:rPr>
      </w:r>
      <w:r>
        <w:rPr>
          <w:spacing w:val="-3"/>
        </w:rPr>
        <w:t>源与服务、移动互联网娱乐、优秀文化的传承与传播三大领域，力争发展成国内一流、在国</w:t>
      </w:r>
      <w:r>
        <w:rPr>
          <w:spacing w:val="-28"/>
        </w:rPr>
        <w:t> </w:t>
      </w:r>
      <w:r>
        <w:rPr>
          <w:spacing w:val="-28"/>
        </w:rPr>
      </w:r>
      <w:r>
        <w:rPr/>
        <w:t>际上有一定知名度的文化产业集团。</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683"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23" w:type="dxa"/>
        <w:tblLayout w:type="fixed"/>
        <w:tblCellMar>
          <w:top w:w="0" w:type="dxa"/>
          <w:left w:w="0" w:type="dxa"/>
          <w:bottom w:w="0" w:type="dxa"/>
          <w:right w:w="0" w:type="dxa"/>
        </w:tblCellMar>
        <w:tblLook w:val="01E0"/>
      </w:tblPr>
      <w:tblGrid>
        <w:gridCol w:w="1396"/>
        <w:gridCol w:w="1429"/>
        <w:gridCol w:w="1560"/>
        <w:gridCol w:w="5103"/>
      </w:tblGrid>
      <w:tr>
        <w:trPr>
          <w:trHeight w:val="226" w:hRule="exact"/>
        </w:trPr>
        <w:tc>
          <w:tcPr>
            <w:tcW w:w="1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510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318"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14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44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226" w:hRule="exact"/>
        </w:trPr>
        <w:tc>
          <w:tcPr>
            <w:tcW w:w="1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510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27,561,189.42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12,617,529.17</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主要是报告期增加了人民东方业务合作预付款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6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54,150,583.95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63,798,728.94</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主要是报告期子公司华文俪制清理了部分应收账款。</w:t>
            </w:r>
          </w:p>
        </w:tc>
      </w:tr>
      <w:tr>
        <w:trPr>
          <w:trHeight w:val="36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21,315,231.94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40,230,312.89</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主要是报告期处置了部分过期图书。</w:t>
            </w:r>
          </w:p>
        </w:tc>
      </w:tr>
      <w:tr>
        <w:trPr>
          <w:trHeight w:val="674"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113"/>
              <w:jc w:val="left"/>
              <w:rPr>
                <w:rFonts w:ascii="宋体" w:hAnsi="宋体" w:cs="宋体" w:eastAsia="宋体" w:hint="default"/>
                <w:sz w:val="18"/>
                <w:szCs w:val="18"/>
              </w:rPr>
            </w:pPr>
            <w:r>
              <w:rPr>
                <w:rFonts w:ascii="宋体" w:hAnsi="宋体" w:cs="宋体" w:eastAsia="宋体" w:hint="default"/>
                <w:sz w:val="18"/>
                <w:szCs w:val="18"/>
              </w:rPr>
              <w:t>划分为持有待售 的资产</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104,122,673.75</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主要是报告期处置了北洋传媒股权。</w:t>
            </w:r>
          </w:p>
        </w:tc>
      </w:tr>
      <w:tr>
        <w:trPr>
          <w:trHeight w:val="360"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16,488,413.96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104,245,457.61</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主要是报告期子公司神奇时代理财产品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万元到期。</w:t>
            </w:r>
          </w:p>
        </w:tc>
      </w:tr>
      <w:tr>
        <w:trPr>
          <w:trHeight w:val="674"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 w:right="113"/>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77,347,000.00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27,347,000.00</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主要是报告期追加德天基金投资款</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85"/>
                <w:sz w:val="18"/>
                <w:szCs w:val="18"/>
              </w:rPr>
              <w:t>，</w:t>
            </w:r>
            <w:r>
              <w:rPr>
                <w:rFonts w:ascii="宋体" w:hAnsi="宋体" w:cs="宋体" w:eastAsia="宋体" w:hint="default"/>
                <w:sz w:val="18"/>
                <w:szCs w:val="18"/>
              </w:rPr>
              <w:t>新增初见科</w:t>
            </w:r>
            <w:r>
              <w:rPr>
                <w:rFonts w:ascii="宋体" w:hAnsi="宋体" w:cs="宋体" w:eastAsia="宋体" w:hint="default"/>
                <w:spacing w:val="-3"/>
                <w:sz w:val="18"/>
                <w:szCs w:val="18"/>
              </w:rPr>
              <w:t>技</w:t>
            </w:r>
            <w:r>
              <w:rPr>
                <w:rFonts w:ascii="宋体" w:hAnsi="宋体" w:cs="宋体" w:eastAsia="宋体" w:hint="default"/>
                <w:sz w:val="18"/>
                <w:szCs w:val="18"/>
              </w:rPr>
              <w:t>投资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161" w:hRule="exact"/>
        </w:trPr>
        <w:tc>
          <w:tcPr>
            <w:tcW w:w="1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9"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172,875,151.17</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03" w:type="dxa"/>
            <w:vMerge w:val="restart"/>
            <w:tcBorders>
              <w:top w:val="single" w:sz="4" w:space="0" w:color="000000"/>
              <w:left w:val="single" w:sz="4" w:space="0" w:color="000000"/>
              <w:right w:val="single" w:sz="4" w:space="0" w:color="000000"/>
            </w:tcBorders>
          </w:tcPr>
          <w:p>
            <w:pPr>
              <w:pStyle w:val="TableParagraph"/>
              <w:spacing w:line="300" w:lineRule="auto" w:before="8"/>
              <w:ind w:left="24" w:right="26"/>
              <w:jc w:val="left"/>
              <w:rPr>
                <w:rFonts w:ascii="宋体" w:hAnsi="宋体" w:cs="宋体" w:eastAsia="宋体" w:hint="default"/>
                <w:sz w:val="18"/>
                <w:szCs w:val="18"/>
              </w:rPr>
            </w:pPr>
            <w:r>
              <w:rPr>
                <w:rFonts w:ascii="宋体" w:hAnsi="宋体" w:cs="宋体" w:eastAsia="宋体" w:hint="default"/>
                <w:sz w:val="18"/>
                <w:szCs w:val="18"/>
              </w:rPr>
              <w:t>主要是报告期新增对决胜网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万元及海德拉科技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 股权投资。</w:t>
            </w:r>
          </w:p>
        </w:tc>
      </w:tr>
      <w:tr>
        <w:trPr>
          <w:trHeight w:val="353" w:hRule="exact"/>
        </w:trPr>
        <w:tc>
          <w:tcPr>
            <w:tcW w:w="1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29"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5103" w:type="dxa"/>
            <w:vMerge/>
            <w:tcBorders>
              <w:left w:val="single" w:sz="4" w:space="0" w:color="000000"/>
              <w:right w:val="single" w:sz="4" w:space="0" w:color="000000"/>
            </w:tcBorders>
          </w:tcPr>
          <w:p>
            <w:pPr/>
          </w:p>
        </w:tc>
      </w:tr>
      <w:tr>
        <w:trPr>
          <w:trHeight w:val="161" w:hRule="exact"/>
        </w:trPr>
        <w:tc>
          <w:tcPr>
            <w:tcW w:w="1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9"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5103" w:type="dxa"/>
            <w:vMerge/>
            <w:tcBorders>
              <w:left w:val="single" w:sz="4" w:space="0" w:color="000000"/>
              <w:bottom w:val="single" w:sz="4" w:space="0" w:color="000000"/>
              <w:right w:val="single" w:sz="4" w:space="0" w:color="000000"/>
            </w:tcBorders>
          </w:tcPr>
          <w:p>
            <w:pPr/>
          </w:p>
        </w:tc>
      </w:tr>
      <w:tr>
        <w:trPr>
          <w:trHeight w:val="362"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60,748,691.27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43,507,899.81</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主要是报告期购置了长沙市岳麓区绿地中央广场办公楼。</w:t>
            </w:r>
          </w:p>
        </w:tc>
      </w:tr>
      <w:tr>
        <w:trPr>
          <w:trHeight w:val="161" w:hRule="exact"/>
        </w:trPr>
        <w:tc>
          <w:tcPr>
            <w:tcW w:w="1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9"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56" w:right="0"/>
              <w:jc w:val="left"/>
              <w:rPr>
                <w:rFonts w:ascii="Times New Roman" w:hAnsi="Times New Roman" w:cs="Times New Roman" w:eastAsia="Times New Roman" w:hint="default"/>
                <w:sz w:val="18"/>
                <w:szCs w:val="18"/>
              </w:rPr>
            </w:pPr>
            <w:r>
              <w:rPr>
                <w:rFonts w:ascii="Times New Roman"/>
                <w:sz w:val="18"/>
              </w:rPr>
              <w:t>25,000,000.00</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1,000,000.00</w:t>
            </w:r>
          </w:p>
        </w:tc>
        <w:tc>
          <w:tcPr>
            <w:tcW w:w="5103" w:type="dxa"/>
            <w:vMerge w:val="restart"/>
            <w:tcBorders>
              <w:top w:val="single" w:sz="4" w:space="0" w:color="000000"/>
              <w:left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主要是报告期增加了派娱科技投资预付款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万元及银河数娱</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投资预付款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53" w:hRule="exact"/>
        </w:trPr>
        <w:tc>
          <w:tcPr>
            <w:tcW w:w="1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29"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5103" w:type="dxa"/>
            <w:vMerge/>
            <w:tcBorders>
              <w:left w:val="single" w:sz="4" w:space="0" w:color="000000"/>
              <w:right w:val="single" w:sz="4" w:space="0" w:color="000000"/>
            </w:tcBorders>
          </w:tcPr>
          <w:p>
            <w:pPr/>
          </w:p>
        </w:tc>
      </w:tr>
      <w:tr>
        <w:trPr>
          <w:trHeight w:val="161" w:hRule="exact"/>
        </w:trPr>
        <w:tc>
          <w:tcPr>
            <w:tcW w:w="1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9"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5103"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5"/>
        <w:spacing w:line="240" w:lineRule="auto" w:before="36"/>
        <w:ind w:left="683"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1061"/>
        <w:gridCol w:w="1063"/>
        <w:gridCol w:w="1066"/>
        <w:gridCol w:w="1066"/>
        <w:gridCol w:w="1064"/>
        <w:gridCol w:w="1063"/>
        <w:gridCol w:w="1066"/>
        <w:gridCol w:w="1061"/>
        <w:gridCol w:w="989"/>
      </w:tblGrid>
      <w:tr>
        <w:trPr>
          <w:trHeight w:val="98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316" w:lineRule="auto"/>
              <w:ind w:left="343" w:right="74" w:hanging="269"/>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9"/>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收益状况</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9"/>
              <w:ind w:left="74" w:right="75"/>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316" w:lineRule="auto"/>
              <w:ind w:left="40" w:right="36"/>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36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1" w:right="0"/>
              <w:jc w:val="left"/>
              <w:rPr>
                <w:rFonts w:ascii="宋体" w:hAnsi="宋体" w:cs="宋体" w:eastAsia="宋体" w:hint="default"/>
                <w:sz w:val="18"/>
                <w:szCs w:val="18"/>
              </w:rPr>
            </w:pPr>
            <w:r>
              <w:rPr>
                <w:rFonts w:ascii="宋体" w:hAnsi="宋体" w:cs="宋体" w:eastAsia="宋体" w:hint="default"/>
                <w:sz w:val="18"/>
                <w:szCs w:val="18"/>
              </w:rPr>
              <w:t>可供出售金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拓展海外互</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7,347,000.00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日本</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参股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1" w:right="0"/>
              <w:jc w:val="left"/>
              <w:rPr>
                <w:rFonts w:ascii="Times New Roman" w:hAnsi="Times New Roman" w:cs="Times New Roman" w:eastAsia="Times New Roman" w:hint="default"/>
                <w:sz w:val="18"/>
                <w:szCs w:val="18"/>
              </w:rPr>
            </w:pPr>
            <w:r>
              <w:rPr>
                <w:rFonts w:ascii="Times New Roman"/>
                <w:sz w:val="18"/>
              </w:rPr>
              <w:t>0.38%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0" w:footer="959" w:top="1580" w:bottom="1220" w:left="1160" w:right="1020"/>
        </w:sectPr>
      </w:pPr>
    </w:p>
    <w:p>
      <w:pPr>
        <w:spacing w:line="240" w:lineRule="auto" w:before="3"/>
        <w:rPr>
          <w:rFonts w:ascii="宋体" w:hAnsi="宋体" w:cs="宋体" w:eastAsia="宋体" w:hint="default"/>
          <w:b/>
          <w:bCs/>
          <w:sz w:val="6"/>
          <w:szCs w:val="6"/>
        </w:rPr>
      </w:pPr>
    </w:p>
    <w:tbl>
      <w:tblPr>
        <w:tblW w:w="0" w:type="auto"/>
        <w:jc w:val="left"/>
        <w:tblInd w:w="112" w:type="dxa"/>
        <w:tblLayout w:type="fixed"/>
        <w:tblCellMar>
          <w:top w:w="0" w:type="dxa"/>
          <w:left w:w="0" w:type="dxa"/>
          <w:bottom w:w="0" w:type="dxa"/>
          <w:right w:w="0" w:type="dxa"/>
        </w:tblCellMar>
        <w:tblLook w:val="01E0"/>
      </w:tblPr>
      <w:tblGrid>
        <w:gridCol w:w="1061"/>
        <w:gridCol w:w="1063"/>
        <w:gridCol w:w="1066"/>
        <w:gridCol w:w="1066"/>
        <w:gridCol w:w="1064"/>
        <w:gridCol w:w="1063"/>
        <w:gridCol w:w="1066"/>
        <w:gridCol w:w="1061"/>
        <w:gridCol w:w="989"/>
      </w:tblGrid>
      <w:tr>
        <w:trPr>
          <w:trHeight w:val="67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36" w:right="74" w:hanging="360"/>
              <w:jc w:val="left"/>
              <w:rPr>
                <w:rFonts w:ascii="宋体" w:hAnsi="宋体" w:cs="宋体" w:eastAsia="宋体" w:hint="default"/>
                <w:sz w:val="18"/>
                <w:szCs w:val="18"/>
              </w:rPr>
            </w:pPr>
            <w:r>
              <w:rPr>
                <w:rFonts w:ascii="宋体" w:hAnsi="宋体" w:cs="宋体" w:eastAsia="宋体" w:hint="default"/>
                <w:sz w:val="18"/>
                <w:szCs w:val="18"/>
              </w:rPr>
              <w:t>联网游戏业 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1" w:right="127"/>
              <w:jc w:val="left"/>
              <w:rPr>
                <w:rFonts w:ascii="宋体" w:hAnsi="宋体" w:cs="宋体" w:eastAsia="宋体" w:hint="default"/>
                <w:sz w:val="18"/>
                <w:szCs w:val="18"/>
              </w:rPr>
            </w:pPr>
            <w:r>
              <w:rPr>
                <w:rFonts w:ascii="宋体" w:hAnsi="宋体" w:cs="宋体" w:eastAsia="宋体" w:hint="default"/>
                <w:sz w:val="18"/>
                <w:szCs w:val="18"/>
              </w:rPr>
              <w:t>其他情况说 明</w:t>
            </w:r>
          </w:p>
        </w:tc>
        <w:tc>
          <w:tcPr>
            <w:tcW w:w="8438" w:type="dxa"/>
            <w:gridSpan w:val="8"/>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17"/>
              <w:jc w:val="both"/>
              <w:rPr>
                <w:rFonts w:ascii="宋体" w:hAnsi="宋体" w:cs="宋体" w:eastAsia="宋体" w:hint="default"/>
                <w:sz w:val="18"/>
                <w:szCs w:val="18"/>
              </w:rPr>
            </w:pPr>
            <w:r>
              <w:rPr>
                <w:rFonts w:ascii="宋体" w:hAnsi="宋体" w:cs="宋体" w:eastAsia="宋体" w:hint="default"/>
                <w:sz w:val="18"/>
                <w:szCs w:val="18"/>
              </w:rPr>
              <w:t>为了加强游戏业务对外产品及技术交流，公司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年通过香港子公司投资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万美元（折合人民币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734.7 </w:t>
            </w:r>
            <w:r>
              <w:rPr>
                <w:rFonts w:ascii="宋体" w:hAnsi="宋体" w:cs="宋体" w:eastAsia="宋体" w:hint="default"/>
                <w:sz w:val="18"/>
                <w:szCs w:val="18"/>
              </w:rPr>
              <w:t>万元）间接持有了主要从事游戏开发与运营的日本游戏企业 </w:t>
            </w:r>
            <w:r>
              <w:rPr>
                <w:rFonts w:ascii="Times New Roman" w:hAnsi="Times New Roman" w:cs="Times New Roman" w:eastAsia="Times New Roman" w:hint="default"/>
                <w:sz w:val="18"/>
                <w:szCs w:val="18"/>
              </w:rPr>
              <w:t>KEYROUTE GAMES CO.,LIMITED</w:t>
            </w:r>
            <w:r>
              <w:rPr>
                <w:rFonts w:ascii="宋体" w:hAnsi="宋体" w:cs="宋体" w:eastAsia="宋体" w:hint="default"/>
                <w:sz w:val="18"/>
                <w:szCs w:val="18"/>
              </w:rPr>
              <w:t>（</w:t>
            </w:r>
            <w:r>
              <w:rPr>
                <w:rFonts w:ascii="Times New Roman" w:hAnsi="Times New Roman" w:cs="Times New Roman" w:eastAsia="Times New Roman" w:hint="default"/>
                <w:sz w:val="18"/>
                <w:szCs w:val="18"/>
              </w:rPr>
              <w:t>BVI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w:t>
            </w:r>
            <w:r>
              <w:rPr>
                <w:rFonts w:ascii="宋体" w:hAnsi="宋体" w:cs="宋体" w:eastAsia="宋体" w:hint="default"/>
                <w:w w:val="99"/>
                <w:sz w:val="18"/>
                <w:szCs w:val="18"/>
              </w:rPr>
              <w:t> </w:t>
            </w:r>
            <w:r>
              <w:rPr>
                <w:rFonts w:ascii="宋体" w:hAnsi="宋体" w:cs="宋体" w:eastAsia="宋体" w:hint="default"/>
                <w:sz w:val="18"/>
                <w:szCs w:val="18"/>
              </w:rPr>
              <w:t>司</w:t>
            </w:r>
            <w:r>
              <w:rPr>
                <w:rFonts w:ascii="Times New Roman" w:hAnsi="Times New Roman" w:cs="Times New Roman" w:eastAsia="Times New Roman" w:hint="default"/>
                <w:sz w:val="18"/>
                <w:szCs w:val="18"/>
              </w:rPr>
              <w:t>)25%</w:t>
            </w:r>
            <w:r>
              <w:rPr>
                <w:rFonts w:ascii="宋体" w:hAnsi="宋体" w:cs="宋体" w:eastAsia="宋体" w:hint="default"/>
                <w:sz w:val="18"/>
                <w:szCs w:val="18"/>
              </w:rPr>
              <w:t>的优先股股权。</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三、核心竞争力分析</w:t>
      </w:r>
      <w:r>
        <w:rPr>
          <w:b w:val="0"/>
          <w:bCs w:val="0"/>
        </w:rPr>
      </w:r>
    </w:p>
    <w:p>
      <w:pPr>
        <w:spacing w:line="240" w:lineRule="auto" w:before="8"/>
        <w:rPr>
          <w:rFonts w:ascii="宋体" w:hAnsi="宋体" w:cs="宋体" w:eastAsia="宋体" w:hint="default"/>
          <w:b/>
          <w:bCs/>
          <w:sz w:val="30"/>
          <w:szCs w:val="30"/>
        </w:rPr>
      </w:pPr>
    </w:p>
    <w:p>
      <w:pPr>
        <w:pStyle w:val="Heading6"/>
        <w:spacing w:line="408" w:lineRule="auto"/>
        <w:ind w:left="683" w:right="740" w:firstLine="419"/>
        <w:jc w:val="both"/>
      </w:pPr>
      <w:r>
        <w:rPr>
          <w:spacing w:val="-2"/>
        </w:rPr>
        <w:t>截至期末，公司共拥有图书著作权</w:t>
      </w:r>
      <w:r>
        <w:rPr>
          <w:rFonts w:ascii="宋体" w:hAnsi="宋体" w:cs="宋体" w:eastAsia="宋体" w:hint="default"/>
          <w:spacing w:val="-2"/>
        </w:rPr>
        <w:t>191</w:t>
      </w:r>
      <w:r>
        <w:rPr>
          <w:spacing w:val="-2"/>
        </w:rPr>
        <w:t>项、软件著作权</w:t>
      </w:r>
      <w:r>
        <w:rPr>
          <w:rFonts w:ascii="宋体" w:hAnsi="宋体" w:cs="宋体" w:eastAsia="宋体" w:hint="default"/>
          <w:spacing w:val="-2"/>
        </w:rPr>
        <w:t>31</w:t>
      </w:r>
      <w:r>
        <w:rPr>
          <w:spacing w:val="-2"/>
        </w:rPr>
        <w:t>项，其中包括公司新增图书著</w:t>
      </w:r>
      <w:r>
        <w:rPr>
          <w:w w:val="100"/>
        </w:rPr>
        <w:t> </w:t>
      </w:r>
      <w:r>
        <w:rPr>
          <w:spacing w:val="-2"/>
        </w:rPr>
        <w:t>作权</w:t>
      </w:r>
      <w:r>
        <w:rPr>
          <w:rFonts w:ascii="宋体" w:hAnsi="宋体" w:cs="宋体" w:eastAsia="宋体" w:hint="default"/>
          <w:spacing w:val="-2"/>
        </w:rPr>
        <w:t>122</w:t>
      </w:r>
      <w:r>
        <w:rPr>
          <w:spacing w:val="-2"/>
        </w:rPr>
        <w:t>项，以及神奇时代软件著作权</w:t>
      </w:r>
      <w:r>
        <w:rPr>
          <w:rFonts w:ascii="宋体" w:hAnsi="宋体" w:cs="宋体" w:eastAsia="宋体" w:hint="default"/>
          <w:spacing w:val="-2"/>
        </w:rPr>
        <w:t>21</w:t>
      </w:r>
      <w:r>
        <w:rPr>
          <w:spacing w:val="-2"/>
        </w:rPr>
        <w:t>项。公司共拥有注册商标权</w:t>
      </w:r>
      <w:r>
        <w:rPr>
          <w:rFonts w:ascii="宋体" w:hAnsi="宋体" w:cs="宋体" w:eastAsia="宋体" w:hint="default"/>
          <w:spacing w:val="-2"/>
        </w:rPr>
        <w:t>74</w:t>
      </w:r>
      <w:r>
        <w:rPr>
          <w:spacing w:val="-2"/>
        </w:rPr>
        <w:t>项，其中包括神奇时</w:t>
      </w:r>
      <w:r>
        <w:rPr>
          <w:spacing w:val="-28"/>
        </w:rPr>
        <w:t> </w:t>
      </w:r>
      <w:r>
        <w:rPr>
          <w:spacing w:val="-28"/>
        </w:rPr>
      </w:r>
      <w:r>
        <w:rPr>
          <w:spacing w:val="-2"/>
        </w:rPr>
        <w:t>代注册商标</w:t>
      </w:r>
      <w:r>
        <w:rPr>
          <w:rFonts w:ascii="宋体" w:hAnsi="宋体" w:cs="宋体" w:eastAsia="宋体" w:hint="default"/>
          <w:spacing w:val="-2"/>
        </w:rPr>
        <w:t>6</w:t>
      </w:r>
      <w:r>
        <w:rPr>
          <w:spacing w:val="-2"/>
        </w:rPr>
        <w:t>项，以及土地使用权（公司所属位于芙蓉区火星镇综合楼</w:t>
      </w:r>
      <w:r>
        <w:rPr>
          <w:rFonts w:ascii="宋体" w:hAnsi="宋体" w:cs="宋体" w:eastAsia="宋体" w:hint="default"/>
          <w:spacing w:val="-2"/>
        </w:rPr>
        <w:t>11</w:t>
      </w:r>
      <w:r>
        <w:rPr>
          <w:spacing w:val="-2"/>
        </w:rPr>
        <w:t>套房、长沙县星沙</w:t>
      </w:r>
      <w:r>
        <w:rPr>
          <w:spacing w:val="-30"/>
        </w:rPr>
        <w:t> </w:t>
      </w:r>
      <w:r>
        <w:rPr>
          <w:spacing w:val="-30"/>
        </w:rPr>
      </w:r>
      <w:r>
        <w:rPr/>
        <w:t>镇茶叶大市场“山水茗园”</w:t>
      </w:r>
      <w:r>
        <w:rPr>
          <w:rFonts w:ascii="宋体" w:hAnsi="宋体" w:cs="宋体" w:eastAsia="宋体" w:hint="default"/>
        </w:rPr>
        <w:t>4</w:t>
      </w:r>
      <w:r>
        <w:rPr/>
        <w:t>套房分摊的土地使用权）。</w:t>
      </w:r>
    </w:p>
    <w:p>
      <w:pPr>
        <w:pStyle w:val="Heading6"/>
        <w:spacing w:line="240" w:lineRule="auto" w:before="46"/>
        <w:ind w:left="1103" w:right="0"/>
        <w:jc w:val="left"/>
      </w:pPr>
      <w:r>
        <w:rPr/>
        <w:t>报告期内，新增</w:t>
      </w:r>
      <w:r>
        <w:rPr>
          <w:rFonts w:ascii="宋体" w:hAnsi="宋体" w:cs="宋体" w:eastAsia="宋体" w:hint="default"/>
        </w:rPr>
        <w:t>122</w:t>
      </w:r>
      <w:r>
        <w:rPr/>
        <w:t>项著作权如下：</w:t>
      </w:r>
    </w:p>
    <w:p>
      <w:pPr>
        <w:spacing w:line="240" w:lineRule="auto" w:before="11"/>
        <w:rPr>
          <w:rFonts w:ascii="宋体" w:hAnsi="宋体" w:cs="宋体" w:eastAsia="宋体" w:hint="default"/>
          <w:sz w:val="9"/>
          <w:szCs w:val="9"/>
        </w:rPr>
      </w:pPr>
    </w:p>
    <w:tbl>
      <w:tblPr>
        <w:tblW w:w="0" w:type="auto"/>
        <w:jc w:val="left"/>
        <w:tblInd w:w="678" w:type="dxa"/>
        <w:tblLayout w:type="fixed"/>
        <w:tblCellMar>
          <w:top w:w="0" w:type="dxa"/>
          <w:left w:w="0" w:type="dxa"/>
          <w:bottom w:w="0" w:type="dxa"/>
          <w:right w:w="0" w:type="dxa"/>
        </w:tblCellMar>
        <w:tblLook w:val="01E0"/>
      </w:tblPr>
      <w:tblGrid>
        <w:gridCol w:w="708"/>
        <w:gridCol w:w="3121"/>
        <w:gridCol w:w="1133"/>
        <w:gridCol w:w="1334"/>
        <w:gridCol w:w="2069"/>
      </w:tblGrid>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作品名称</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6" w:right="0"/>
              <w:jc w:val="left"/>
              <w:rPr>
                <w:rFonts w:ascii="宋体" w:hAnsi="宋体" w:cs="宋体" w:eastAsia="宋体" w:hint="default"/>
                <w:sz w:val="18"/>
                <w:szCs w:val="18"/>
              </w:rPr>
            </w:pPr>
            <w:r>
              <w:rPr>
                <w:rFonts w:ascii="宋体" w:hAnsi="宋体" w:cs="宋体" w:eastAsia="宋体" w:hint="default"/>
                <w:b/>
                <w:bCs/>
                <w:sz w:val="18"/>
                <w:szCs w:val="18"/>
              </w:rPr>
              <w:t>作品类型</w:t>
            </w:r>
            <w:r>
              <w:rPr>
                <w:rFonts w:ascii="宋体" w:hAnsi="宋体" w:cs="宋体" w:eastAsia="宋体" w:hint="default"/>
                <w:sz w:val="18"/>
                <w:szCs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作品登记日期</w:t>
            </w:r>
            <w:r>
              <w:rPr>
                <w:rFonts w:ascii="宋体" w:hAnsi="宋体" w:cs="宋体" w:eastAsia="宋体" w:hint="default"/>
                <w:sz w:val="18"/>
                <w:szCs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b/>
                <w:bCs/>
                <w:sz w:val="18"/>
                <w:szCs w:val="18"/>
              </w:rPr>
              <w:t>作品登记号</w:t>
            </w:r>
            <w:r>
              <w:rPr>
                <w:rFonts w:ascii="宋体" w:hAnsi="宋体" w:cs="宋体" w:eastAsia="宋体" w:hint="default"/>
                <w:sz w:val="18"/>
                <w:szCs w:val="18"/>
              </w:rPr>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
              <w:jc w:val="center"/>
              <w:rPr>
                <w:rFonts w:ascii="Times New Roman" w:hAnsi="Times New Roman" w:cs="Times New Roman" w:eastAsia="Times New Roman" w:hint="default"/>
                <w:sz w:val="18"/>
                <w:szCs w:val="18"/>
              </w:rPr>
            </w:pPr>
            <w:r>
              <w:rPr>
                <w:rFonts w:ascii="Times New Roman"/>
                <w:sz w:val="18"/>
              </w:rPr>
              <w:t>1</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《单元练测卷历史七年级上册》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18-2015-A-2727</w:t>
            </w:r>
          </w:p>
        </w:tc>
      </w:tr>
      <w:tr>
        <w:trPr>
          <w:trHeight w:val="67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330" w:right="197" w:hanging="1131"/>
              <w:jc w:val="left"/>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z w:val="18"/>
                <w:szCs w:val="18"/>
              </w:rPr>
              <w:t>+</w:t>
            </w:r>
            <w:r>
              <w:rPr>
                <w:rFonts w:ascii="宋体" w:hAnsi="宋体" w:cs="宋体" w:eastAsia="宋体" w:hint="default"/>
                <w:sz w:val="18"/>
                <w:szCs w:val="18"/>
              </w:rPr>
              <w:t>考全通英语必修</w:t>
            </w:r>
            <w:r>
              <w:rPr>
                <w:rFonts w:ascii="Times New Roman" w:hAnsi="Times New Roman" w:cs="Times New Roman" w:eastAsia="Times New Roman" w:hint="default"/>
                <w:sz w:val="18"/>
                <w:szCs w:val="18"/>
              </w:rPr>
              <w:t>2</w:t>
            </w:r>
            <w:r>
              <w:rPr>
                <w:rFonts w:ascii="宋体" w:hAnsi="宋体" w:cs="宋体" w:eastAsia="宋体" w:hint="default"/>
                <w:sz w:val="18"/>
                <w:szCs w:val="18"/>
              </w:rPr>
              <w:t>（川冀黑津 </w:t>
            </w:r>
            <w:r>
              <w:rPr>
                <w:rFonts w:ascii="宋体" w:hAnsi="宋体" w:cs="宋体" w:eastAsia="宋体" w:hint="default"/>
                <w:spacing w:val="-31"/>
                <w:sz w:val="18"/>
                <w:szCs w:val="18"/>
              </w:rPr>
              <w:t>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18-2015-A-2728</w:t>
            </w:r>
          </w:p>
        </w:tc>
      </w:tr>
      <w:tr>
        <w:trPr>
          <w:trHeight w:val="46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6"/>
              <w:jc w:val="center"/>
              <w:rPr>
                <w:rFonts w:ascii="Times New Roman" w:hAnsi="Times New Roman" w:cs="Times New Roman" w:eastAsia="Times New Roman" w:hint="default"/>
                <w:sz w:val="18"/>
                <w:szCs w:val="18"/>
              </w:rPr>
            </w:pPr>
            <w:r>
              <w:rPr>
                <w:rFonts w:ascii="Times New Roman"/>
                <w:sz w:val="18"/>
              </w:rPr>
              <w:t>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考全通英语必修</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18-2015-A-2729</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
              <w:jc w:val="center"/>
              <w:rPr>
                <w:rFonts w:ascii="Times New Roman" w:hAnsi="Times New Roman" w:cs="Times New Roman" w:eastAsia="Times New Roman" w:hint="default"/>
                <w:sz w:val="18"/>
                <w:szCs w:val="18"/>
              </w:rPr>
            </w:pPr>
            <w:r>
              <w:rPr>
                <w:rFonts w:ascii="Times New Roman"/>
                <w:sz w:val="18"/>
              </w:rPr>
              <w:t>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考全通英语必修</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（苏湘用</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18-2015-A-2730</w:t>
            </w:r>
          </w:p>
        </w:tc>
      </w:tr>
      <w:tr>
        <w:trPr>
          <w:trHeight w:val="67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5</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330" w:right="197" w:hanging="1131"/>
              <w:jc w:val="left"/>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z w:val="18"/>
                <w:szCs w:val="18"/>
              </w:rPr>
              <w:t>+</w:t>
            </w:r>
            <w:r>
              <w:rPr>
                <w:rFonts w:ascii="宋体" w:hAnsi="宋体" w:cs="宋体" w:eastAsia="宋体" w:hint="default"/>
                <w:sz w:val="18"/>
                <w:szCs w:val="18"/>
              </w:rPr>
              <w:t>考全通英语必修</w:t>
            </w:r>
            <w:r>
              <w:rPr>
                <w:rFonts w:ascii="Times New Roman" w:hAnsi="Times New Roman" w:cs="Times New Roman" w:eastAsia="Times New Roman" w:hint="default"/>
                <w:sz w:val="18"/>
                <w:szCs w:val="18"/>
              </w:rPr>
              <w:t>1</w:t>
            </w:r>
            <w:r>
              <w:rPr>
                <w:rFonts w:ascii="宋体" w:hAnsi="宋体" w:cs="宋体" w:eastAsia="宋体" w:hint="default"/>
                <w:sz w:val="18"/>
                <w:szCs w:val="18"/>
              </w:rPr>
              <w:t>（川冀黑津 </w:t>
            </w:r>
            <w:r>
              <w:rPr>
                <w:rFonts w:ascii="宋体" w:hAnsi="宋体" w:cs="宋体" w:eastAsia="宋体" w:hint="default"/>
                <w:spacing w:val="-31"/>
                <w:sz w:val="18"/>
                <w:szCs w:val="18"/>
              </w:rPr>
              <w:t>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18-2015-A-2731</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
              <w:jc w:val="center"/>
              <w:rPr>
                <w:rFonts w:ascii="Times New Roman" w:hAnsi="Times New Roman" w:cs="Times New Roman" w:eastAsia="Times New Roman" w:hint="default"/>
                <w:sz w:val="18"/>
                <w:szCs w:val="18"/>
              </w:rPr>
            </w:pPr>
            <w:r>
              <w:rPr>
                <w:rFonts w:ascii="Times New Roman"/>
                <w:sz w:val="18"/>
              </w:rPr>
              <w:t>6</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考全通英语必修</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18-2015-A-2732</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
              <w:jc w:val="center"/>
              <w:rPr>
                <w:rFonts w:ascii="Times New Roman" w:hAnsi="Times New Roman" w:cs="Times New Roman" w:eastAsia="Times New Roman" w:hint="default"/>
                <w:sz w:val="18"/>
                <w:szCs w:val="18"/>
              </w:rPr>
            </w:pPr>
            <w:r>
              <w:rPr>
                <w:rFonts w:ascii="Times New Roman"/>
                <w:sz w:val="18"/>
              </w:rPr>
              <w:t>7</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考全通语文必修</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（苏浙用</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18-2015-A-2733</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
              <w:jc w:val="center"/>
              <w:rPr>
                <w:rFonts w:ascii="Times New Roman" w:hAnsi="Times New Roman" w:cs="Times New Roman" w:eastAsia="Times New Roman" w:hint="default"/>
                <w:sz w:val="18"/>
                <w:szCs w:val="18"/>
              </w:rPr>
            </w:pPr>
            <w:r>
              <w:rPr>
                <w:rFonts w:ascii="Times New Roman"/>
                <w:sz w:val="18"/>
              </w:rPr>
              <w:t>8</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《单元练测卷数学八年级上册》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18-2015-A-2734</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
              <w:jc w:val="center"/>
              <w:rPr>
                <w:rFonts w:ascii="Times New Roman" w:hAnsi="Times New Roman" w:cs="Times New Roman" w:eastAsia="Times New Roman" w:hint="default"/>
                <w:sz w:val="18"/>
                <w:szCs w:val="18"/>
              </w:rPr>
            </w:pPr>
            <w:r>
              <w:rPr>
                <w:rFonts w:ascii="Times New Roman"/>
                <w:sz w:val="18"/>
              </w:rPr>
              <w:t>9</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《单元练测卷数学七年级下册》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18-2015-A-2735</w:t>
            </w:r>
          </w:p>
        </w:tc>
      </w:tr>
      <w:tr>
        <w:trPr>
          <w:trHeight w:val="46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10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《单元练测卷数学七年级上册》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18-2015-A-2736</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《单元练测卷思想品德九年级下册》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18-2015-A-2737</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12</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考全通历史必修</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18-2015-A-2738</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UP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英语</w:t>
            </w:r>
            <w:r>
              <w:rPr>
                <w:rFonts w:ascii="Times New Roman" w:hAnsi="Times New Roman" w:cs="Times New Roman" w:eastAsia="Times New Roman" w:hint="default"/>
                <w:sz w:val="18"/>
                <w:szCs w:val="18"/>
              </w:rPr>
              <w:t>·</w:t>
            </w:r>
            <w:r>
              <w:rPr>
                <w:rFonts w:ascii="宋体" w:hAnsi="宋体" w:cs="宋体" w:eastAsia="宋体" w:hint="default"/>
                <w:sz w:val="18"/>
                <w:szCs w:val="18"/>
              </w:rPr>
              <w:t>高中英语考点语法》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18-2015-A-2739</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UP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英语</w:t>
            </w:r>
            <w:r>
              <w:rPr>
                <w:rFonts w:ascii="Times New Roman" w:hAnsi="Times New Roman" w:cs="Times New Roman" w:eastAsia="Times New Roman" w:hint="default"/>
                <w:sz w:val="18"/>
                <w:szCs w:val="18"/>
              </w:rPr>
              <w:t>·</w:t>
            </w:r>
            <w:r>
              <w:rPr>
                <w:rFonts w:ascii="宋体" w:hAnsi="宋体" w:cs="宋体" w:eastAsia="宋体" w:hint="default"/>
                <w:sz w:val="18"/>
                <w:szCs w:val="18"/>
              </w:rPr>
              <w:t>高中初中考点语法》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18-2015-A-2741</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15</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w w:val="99"/>
                <w:sz w:val="18"/>
                <w:szCs w:val="18"/>
              </w:rPr>
              <w:t>U</w:t>
            </w:r>
            <w:r>
              <w:rPr>
                <w:rFonts w:ascii="Times New Roman" w:hAnsi="Times New Roman" w:cs="Times New Roman" w:eastAsia="Times New Roman" w:hint="default"/>
                <w:w w:val="99"/>
                <w:sz w:val="18"/>
                <w:szCs w:val="18"/>
              </w:rPr>
              <w:t>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英</w:t>
            </w:r>
            <w:r>
              <w:rPr>
                <w:rFonts w:ascii="宋体" w:hAnsi="宋体" w:cs="宋体" w:eastAsia="宋体" w:hint="default"/>
                <w:spacing w:val="4"/>
                <w:sz w:val="18"/>
                <w:szCs w:val="18"/>
              </w:rPr>
              <w:t>语</w:t>
            </w:r>
            <w:r>
              <w:rPr>
                <w:rFonts w:ascii="Times New Roman" w:hAnsi="Times New Roman" w:cs="Times New Roman" w:eastAsia="Times New Roman" w:hint="default"/>
                <w:spacing w:val="-5"/>
                <w:sz w:val="18"/>
                <w:szCs w:val="18"/>
              </w:rPr>
              <w:t>·</w:t>
            </w:r>
            <w:r>
              <w:rPr>
                <w:rFonts w:ascii="宋体" w:hAnsi="宋体" w:cs="宋体" w:eastAsia="宋体" w:hint="default"/>
                <w:sz w:val="18"/>
                <w:szCs w:val="18"/>
              </w:rPr>
              <w:t>美文悦读（风物卷</w:t>
            </w:r>
            <w:r>
              <w:rPr>
                <w:rFonts w:ascii="宋体" w:hAnsi="宋体" w:cs="宋体" w:eastAsia="宋体" w:hint="default"/>
                <w:spacing w:val="-94"/>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18-2015-A-2742</w:t>
            </w:r>
          </w:p>
        </w:tc>
      </w:tr>
      <w:tr>
        <w:trPr>
          <w:trHeight w:val="67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375" w:right="216" w:hanging="11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UP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英语</w:t>
            </w:r>
            <w:r>
              <w:rPr>
                <w:rFonts w:ascii="Times New Roman" w:hAnsi="Times New Roman" w:cs="Times New Roman" w:eastAsia="Times New Roman" w:hint="default"/>
                <w:sz w:val="18"/>
                <w:szCs w:val="18"/>
              </w:rPr>
              <w:t>·</w:t>
            </w:r>
            <w:r>
              <w:rPr>
                <w:rFonts w:ascii="宋体" w:hAnsi="宋体" w:cs="宋体" w:eastAsia="宋体" w:hint="default"/>
                <w:sz w:val="18"/>
                <w:szCs w:val="18"/>
              </w:rPr>
              <w:t>新编初中英语语法练习 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18-2015-A-2743</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17</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UP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英语</w:t>
            </w:r>
            <w:r>
              <w:rPr>
                <w:rFonts w:ascii="Times New Roman" w:hAnsi="Times New Roman" w:cs="Times New Roman" w:eastAsia="Times New Roman" w:hint="default"/>
                <w:sz w:val="18"/>
                <w:szCs w:val="18"/>
              </w:rPr>
              <w:t>·</w:t>
            </w:r>
            <w:r>
              <w:rPr>
                <w:rFonts w:ascii="宋体" w:hAnsi="宋体" w:cs="宋体" w:eastAsia="宋体" w:hint="default"/>
                <w:sz w:val="18"/>
                <w:szCs w:val="18"/>
              </w:rPr>
              <w:t>完形填空和阅读理解突破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18-2015-A-2744</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59" w:top="1340" w:bottom="1160" w:left="1160" w:right="1020"/>
        </w:sectPr>
      </w:pPr>
    </w:p>
    <w:p>
      <w:pPr>
        <w:spacing w:line="240" w:lineRule="auto" w:before="1"/>
        <w:rPr>
          <w:rFonts w:ascii="Times New Roman" w:hAnsi="Times New Roman" w:cs="Times New Roman" w:eastAsia="Times New Roman" w:hint="default"/>
          <w:sz w:val="7"/>
          <w:szCs w:val="7"/>
        </w:rPr>
      </w:pPr>
    </w:p>
    <w:tbl>
      <w:tblPr>
        <w:tblW w:w="0" w:type="auto"/>
        <w:jc w:val="left"/>
        <w:tblInd w:w="158" w:type="dxa"/>
        <w:tblLayout w:type="fixed"/>
        <w:tblCellMar>
          <w:top w:w="0" w:type="dxa"/>
          <w:left w:w="0" w:type="dxa"/>
          <w:bottom w:w="0" w:type="dxa"/>
          <w:right w:w="0" w:type="dxa"/>
        </w:tblCellMar>
        <w:tblLook w:val="01E0"/>
      </w:tblPr>
      <w:tblGrid>
        <w:gridCol w:w="708"/>
        <w:gridCol w:w="3121"/>
        <w:gridCol w:w="1133"/>
        <w:gridCol w:w="1334"/>
        <w:gridCol w:w="2069"/>
      </w:tblGrid>
      <w:tr>
        <w:trPr>
          <w:trHeight w:val="464"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训练（中考版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18</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UP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英语</w:t>
            </w:r>
            <w:r>
              <w:rPr>
                <w:rFonts w:ascii="Times New Roman" w:hAnsi="Times New Roman" w:cs="Times New Roman" w:eastAsia="Times New Roman" w:hint="default"/>
                <w:sz w:val="18"/>
                <w:szCs w:val="18"/>
              </w:rPr>
              <w:t>·</w:t>
            </w:r>
            <w:r>
              <w:rPr>
                <w:rFonts w:ascii="宋体" w:hAnsi="宋体" w:cs="宋体" w:eastAsia="宋体" w:hint="default"/>
                <w:sz w:val="18"/>
                <w:szCs w:val="18"/>
              </w:rPr>
              <w:t>新编初中英语语法》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18-2015-A-2745</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19</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《单元练测卷语文八年级上册》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18-2015-A-2746</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《单元练测卷语文七年级下册》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18-2015-A-2747</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21</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《单元练测卷历史八年级下册》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18-2015-A-2748</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22</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《单元练测卷历史八年级上册》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18-2015-A-2749</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《单元练测卷历史七年级下册》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18-2015-A-2750</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《单元练测卷语文九年级下册》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18-2015-A-2751</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25</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考全通数学必修</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18-2015-A-2752</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26</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考全通数学必修</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18-2015-A-2753</w:t>
            </w:r>
          </w:p>
        </w:tc>
      </w:tr>
      <w:tr>
        <w:trPr>
          <w:trHeight w:val="67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375" w:right="216" w:hanging="11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UP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英语</w:t>
            </w:r>
            <w:r>
              <w:rPr>
                <w:rFonts w:ascii="Times New Roman" w:hAnsi="Times New Roman" w:cs="Times New Roman" w:eastAsia="Times New Roman" w:hint="default"/>
                <w:sz w:val="18"/>
                <w:szCs w:val="18"/>
              </w:rPr>
              <w:t>·</w:t>
            </w:r>
            <w:r>
              <w:rPr>
                <w:rFonts w:ascii="宋体" w:hAnsi="宋体" w:cs="宋体" w:eastAsia="宋体" w:hint="default"/>
                <w:sz w:val="18"/>
                <w:szCs w:val="18"/>
              </w:rPr>
              <w:t>新编高中英语语法练习 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18-2015-A-2754</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28</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考全通化学必修</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2015.07.05</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18-2015-A-2755</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29</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考全通化学必修</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2015.07.05</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18-2015-A-2756</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考全通地理必修</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2015.07.05</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18-2015-A-2757</w:t>
            </w:r>
          </w:p>
        </w:tc>
      </w:tr>
      <w:tr>
        <w:trPr>
          <w:trHeight w:val="67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330" w:right="197" w:hanging="1131"/>
              <w:jc w:val="left"/>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z w:val="18"/>
                <w:szCs w:val="18"/>
              </w:rPr>
              <w:t>+</w:t>
            </w:r>
            <w:r>
              <w:rPr>
                <w:rFonts w:ascii="宋体" w:hAnsi="宋体" w:cs="宋体" w:eastAsia="宋体" w:hint="default"/>
                <w:sz w:val="18"/>
                <w:szCs w:val="18"/>
              </w:rPr>
              <w:t>考全通地理必修</w:t>
            </w:r>
            <w:r>
              <w:rPr>
                <w:rFonts w:ascii="Times New Roman" w:hAnsi="Times New Roman" w:cs="Times New Roman" w:eastAsia="Times New Roman" w:hint="default"/>
                <w:sz w:val="18"/>
                <w:szCs w:val="18"/>
              </w:rPr>
              <w:t>1</w:t>
            </w:r>
            <w:r>
              <w:rPr>
                <w:rFonts w:ascii="宋体" w:hAnsi="宋体" w:cs="宋体" w:eastAsia="宋体" w:hint="default"/>
                <w:sz w:val="18"/>
                <w:szCs w:val="18"/>
              </w:rPr>
              <w:t>（湘冀黑浙 </w:t>
            </w:r>
            <w:r>
              <w:rPr>
                <w:rFonts w:ascii="宋体" w:hAnsi="宋体" w:cs="宋体" w:eastAsia="宋体" w:hint="default"/>
                <w:spacing w:val="-31"/>
                <w:sz w:val="18"/>
                <w:szCs w:val="18"/>
              </w:rPr>
              <w:t>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2015.07.05</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18-2015-A-2758</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32</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考全通数学必修</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2015.07.05</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18-2015-A-2759</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《单元练测卷地理八年级下册》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2015.07.05</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18-2015-A-2760</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考全通生物必修</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18-2015-A-2761</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35</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考全通生物必修</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18-2015-A-2762</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36</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考全通物理必修</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18-2015-A-2763</w:t>
            </w:r>
          </w:p>
        </w:tc>
      </w:tr>
      <w:tr>
        <w:trPr>
          <w:trHeight w:val="46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37</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考全通历史必修</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18-2015-A-2764</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38</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考全通物理必修</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18-2015-A-2765</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39</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考全通数学必修</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18-2015-A-2766</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考全通数学必修</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18-2015-A-2767</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41</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考全通语文必修</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（苏浙用</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18-2015-A-2768</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42</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考全通语文必修</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18-2015-A-2769</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考全通语文必修</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18-2015-A-2770</w:t>
            </w:r>
          </w:p>
        </w:tc>
      </w:tr>
      <w:tr>
        <w:trPr>
          <w:trHeight w:val="46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考全通语文必修</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18-2015-A-2771</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45</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考全通生物必修</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18-2015-A-2772</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59" w:top="1340" w:bottom="1140" w:left="1680" w:right="1580"/>
        </w:sectPr>
      </w:pPr>
    </w:p>
    <w:p>
      <w:pPr>
        <w:spacing w:line="240" w:lineRule="auto" w:before="1"/>
        <w:rPr>
          <w:rFonts w:ascii="Times New Roman" w:hAnsi="Times New Roman" w:cs="Times New Roman" w:eastAsia="Times New Roman" w:hint="default"/>
          <w:sz w:val="7"/>
          <w:szCs w:val="7"/>
        </w:rPr>
      </w:pPr>
    </w:p>
    <w:tbl>
      <w:tblPr>
        <w:tblW w:w="0" w:type="auto"/>
        <w:jc w:val="left"/>
        <w:tblInd w:w="158" w:type="dxa"/>
        <w:tblLayout w:type="fixed"/>
        <w:tblCellMar>
          <w:top w:w="0" w:type="dxa"/>
          <w:left w:w="0" w:type="dxa"/>
          <w:bottom w:w="0" w:type="dxa"/>
          <w:right w:w="0" w:type="dxa"/>
        </w:tblCellMar>
        <w:tblLook w:val="01E0"/>
      </w:tblPr>
      <w:tblGrid>
        <w:gridCol w:w="708"/>
        <w:gridCol w:w="3121"/>
        <w:gridCol w:w="1133"/>
        <w:gridCol w:w="1334"/>
        <w:gridCol w:w="2069"/>
      </w:tblGrid>
      <w:tr>
        <w:trPr>
          <w:trHeight w:val="46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46</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UP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英语</w:t>
            </w:r>
            <w:r>
              <w:rPr>
                <w:rFonts w:ascii="Times New Roman" w:hAnsi="Times New Roman" w:cs="Times New Roman" w:eastAsia="Times New Roman" w:hint="default"/>
                <w:sz w:val="18"/>
                <w:szCs w:val="18"/>
              </w:rPr>
              <w:t>·</w:t>
            </w:r>
            <w:r>
              <w:rPr>
                <w:rFonts w:ascii="宋体" w:hAnsi="宋体" w:cs="宋体" w:eastAsia="宋体" w:hint="default"/>
                <w:sz w:val="18"/>
                <w:szCs w:val="18"/>
              </w:rPr>
              <w:t>新编高中英语语法》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18-2015-A-2773</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47</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《单元练测卷语文九年级上册》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18-2015-A-2774</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48</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《单元练测卷化学九年级上册》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18-2015-A-2818</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49</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《单元练测卷物理八年级上册》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18-2015-A-2819</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《单元练测卷思想品德九年级上册》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18-2015-A-2820</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51</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《单元练测卷思想品德八年级下册》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18-2015-A-2821</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52</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《单元练测卷思想品德八年级上册》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18-2015-A-2822</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《单元练测卷思想品德七年级下册》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18-2015-A-2823</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《单元练测卷思想品德七年级上册》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18-2015-A-2824</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55</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《单元练测卷数学九年级下册》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18-2015-A-2825</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56</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《单元练测卷数学九年级上册》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18-2015-A-2826</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57</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《单元练测卷数学八年级下册》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18-2015-A-2827</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58</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w w:val="99"/>
                <w:sz w:val="18"/>
                <w:szCs w:val="18"/>
              </w:rPr>
              <w:t>U</w:t>
            </w:r>
            <w:r>
              <w:rPr>
                <w:rFonts w:ascii="Times New Roman" w:hAnsi="Times New Roman" w:cs="Times New Roman" w:eastAsia="Times New Roman" w:hint="default"/>
                <w:w w:val="99"/>
                <w:sz w:val="18"/>
                <w:szCs w:val="18"/>
              </w:rPr>
              <w:t>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英</w:t>
            </w:r>
            <w:r>
              <w:rPr>
                <w:rFonts w:ascii="宋体" w:hAnsi="宋体" w:cs="宋体" w:eastAsia="宋体" w:hint="default"/>
                <w:spacing w:val="4"/>
                <w:sz w:val="18"/>
                <w:szCs w:val="18"/>
              </w:rPr>
              <w:t>语</w:t>
            </w:r>
            <w:r>
              <w:rPr>
                <w:rFonts w:ascii="Times New Roman" w:hAnsi="Times New Roman" w:cs="Times New Roman" w:eastAsia="Times New Roman" w:hint="default"/>
                <w:spacing w:val="-5"/>
                <w:sz w:val="18"/>
                <w:szCs w:val="18"/>
              </w:rPr>
              <w:t>·</w:t>
            </w:r>
            <w:r>
              <w:rPr>
                <w:rFonts w:ascii="宋体" w:hAnsi="宋体" w:cs="宋体" w:eastAsia="宋体" w:hint="default"/>
                <w:sz w:val="18"/>
                <w:szCs w:val="18"/>
              </w:rPr>
              <w:t>美文悦读（励志卷</w:t>
            </w:r>
            <w:r>
              <w:rPr>
                <w:rFonts w:ascii="宋体" w:hAnsi="宋体" w:cs="宋体" w:eastAsia="宋体" w:hint="default"/>
                <w:spacing w:val="-94"/>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18-2015-A-2828</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59</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w w:val="99"/>
                <w:sz w:val="18"/>
                <w:szCs w:val="18"/>
              </w:rPr>
              <w:t>U</w:t>
            </w:r>
            <w:r>
              <w:rPr>
                <w:rFonts w:ascii="Times New Roman" w:hAnsi="Times New Roman" w:cs="Times New Roman" w:eastAsia="Times New Roman" w:hint="default"/>
                <w:w w:val="99"/>
                <w:sz w:val="18"/>
                <w:szCs w:val="18"/>
              </w:rPr>
              <w:t>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英</w:t>
            </w:r>
            <w:r>
              <w:rPr>
                <w:rFonts w:ascii="宋体" w:hAnsi="宋体" w:cs="宋体" w:eastAsia="宋体" w:hint="default"/>
                <w:spacing w:val="4"/>
                <w:sz w:val="18"/>
                <w:szCs w:val="18"/>
              </w:rPr>
              <w:t>语</w:t>
            </w:r>
            <w:r>
              <w:rPr>
                <w:rFonts w:ascii="Times New Roman" w:hAnsi="Times New Roman" w:cs="Times New Roman" w:eastAsia="Times New Roman" w:hint="default"/>
                <w:spacing w:val="-5"/>
                <w:sz w:val="18"/>
                <w:szCs w:val="18"/>
              </w:rPr>
              <w:t>·</w:t>
            </w:r>
            <w:r>
              <w:rPr>
                <w:rFonts w:ascii="宋体" w:hAnsi="宋体" w:cs="宋体" w:eastAsia="宋体" w:hint="default"/>
                <w:sz w:val="18"/>
                <w:szCs w:val="18"/>
              </w:rPr>
              <w:t>美文悦读（情感卷</w:t>
            </w:r>
            <w:r>
              <w:rPr>
                <w:rFonts w:ascii="宋体" w:hAnsi="宋体" w:cs="宋体" w:eastAsia="宋体" w:hint="default"/>
                <w:spacing w:val="-94"/>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18-2015-A-2829</w:t>
            </w:r>
          </w:p>
        </w:tc>
      </w:tr>
      <w:tr>
        <w:trPr>
          <w:trHeight w:val="46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60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考全通英语必修</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（苏湘用</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18-2015-A-2830</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61</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考全通地理必修</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18-2015-A-2831</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62</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考全通语文必修</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（苏浙用</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18-2015-A-2832</w:t>
            </w:r>
          </w:p>
        </w:tc>
      </w:tr>
      <w:tr>
        <w:trPr>
          <w:trHeight w:val="67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330" w:right="197" w:hanging="1131"/>
              <w:jc w:val="left"/>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z w:val="18"/>
                <w:szCs w:val="18"/>
              </w:rPr>
              <w:t>+</w:t>
            </w:r>
            <w:r>
              <w:rPr>
                <w:rFonts w:ascii="宋体" w:hAnsi="宋体" w:cs="宋体" w:eastAsia="宋体" w:hint="default"/>
                <w:sz w:val="18"/>
                <w:szCs w:val="18"/>
              </w:rPr>
              <w:t>考全通地理必修</w:t>
            </w:r>
            <w:r>
              <w:rPr>
                <w:rFonts w:ascii="Times New Roman" w:hAnsi="Times New Roman" w:cs="Times New Roman" w:eastAsia="Times New Roman" w:hint="default"/>
                <w:sz w:val="18"/>
                <w:szCs w:val="18"/>
              </w:rPr>
              <w:t>2</w:t>
            </w:r>
            <w:r>
              <w:rPr>
                <w:rFonts w:ascii="宋体" w:hAnsi="宋体" w:cs="宋体" w:eastAsia="宋体" w:hint="default"/>
                <w:sz w:val="18"/>
                <w:szCs w:val="18"/>
              </w:rPr>
              <w:t>（湘冀黑浙 </w:t>
            </w:r>
            <w:r>
              <w:rPr>
                <w:rFonts w:ascii="宋体" w:hAnsi="宋体" w:cs="宋体" w:eastAsia="宋体" w:hint="default"/>
                <w:spacing w:val="-31"/>
                <w:sz w:val="18"/>
                <w:szCs w:val="18"/>
              </w:rPr>
              <w:t>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18-2015-A-2833</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64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考全通语文必修</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18-2015-A-2834</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65</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考全通语文必修</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18-2015-A-2835</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66</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《单元练测卷英语八年级上册》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18-2015-A-2836</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67</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《单元练测卷英语八年级下册》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18-2015-A-2837</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68</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《单元练测卷英语九年级上册》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18-2015-A-2838</w:t>
            </w:r>
          </w:p>
        </w:tc>
      </w:tr>
      <w:tr>
        <w:trPr>
          <w:trHeight w:val="67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69</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330" w:right="197" w:hanging="1131"/>
              <w:jc w:val="left"/>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z w:val="18"/>
                <w:szCs w:val="18"/>
              </w:rPr>
              <w:t>+</w:t>
            </w:r>
            <w:r>
              <w:rPr>
                <w:rFonts w:ascii="宋体" w:hAnsi="宋体" w:cs="宋体" w:eastAsia="宋体" w:hint="default"/>
                <w:sz w:val="18"/>
                <w:szCs w:val="18"/>
              </w:rPr>
              <w:t>考全通英语必修</w:t>
            </w:r>
            <w:r>
              <w:rPr>
                <w:rFonts w:ascii="Times New Roman" w:hAnsi="Times New Roman" w:cs="Times New Roman" w:eastAsia="Times New Roman" w:hint="default"/>
                <w:sz w:val="18"/>
                <w:szCs w:val="18"/>
              </w:rPr>
              <w:t>5</w:t>
            </w:r>
            <w:r>
              <w:rPr>
                <w:rFonts w:ascii="宋体" w:hAnsi="宋体" w:cs="宋体" w:eastAsia="宋体" w:hint="default"/>
                <w:sz w:val="18"/>
                <w:szCs w:val="18"/>
              </w:rPr>
              <w:t>（川冀黑津 </w:t>
            </w:r>
            <w:r>
              <w:rPr>
                <w:rFonts w:ascii="宋体" w:hAnsi="宋体" w:cs="宋体" w:eastAsia="宋体" w:hint="default"/>
                <w:spacing w:val="-31"/>
                <w:sz w:val="18"/>
                <w:szCs w:val="18"/>
              </w:rPr>
              <w:t>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18-2015-A-2839</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考全通英语必修</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18-2015-A-2840</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71</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《单元练测卷地理七年级上册》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18-2015-A-2841</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72</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《单元练测卷地理七年级下册》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18-2015-A-2842</w:t>
            </w:r>
          </w:p>
        </w:tc>
      </w:tr>
      <w:tr>
        <w:trPr>
          <w:trHeight w:val="46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考全通英语必修</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（苏湘用</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18-2015-A-2843</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74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《单元练测卷语文七年级上册》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18-2015-A-2844</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59" w:top="1340" w:bottom="1140" w:left="1680" w:right="1580"/>
        </w:sectPr>
      </w:pPr>
    </w:p>
    <w:p>
      <w:pPr>
        <w:spacing w:line="240" w:lineRule="auto" w:before="1"/>
        <w:rPr>
          <w:rFonts w:ascii="Times New Roman" w:hAnsi="Times New Roman" w:cs="Times New Roman" w:eastAsia="Times New Roman" w:hint="default"/>
          <w:sz w:val="7"/>
          <w:szCs w:val="7"/>
        </w:rPr>
      </w:pPr>
    </w:p>
    <w:tbl>
      <w:tblPr>
        <w:tblW w:w="0" w:type="auto"/>
        <w:jc w:val="left"/>
        <w:tblInd w:w="158" w:type="dxa"/>
        <w:tblLayout w:type="fixed"/>
        <w:tblCellMar>
          <w:top w:w="0" w:type="dxa"/>
          <w:left w:w="0" w:type="dxa"/>
          <w:bottom w:w="0" w:type="dxa"/>
          <w:right w:w="0" w:type="dxa"/>
        </w:tblCellMar>
        <w:tblLook w:val="01E0"/>
      </w:tblPr>
      <w:tblGrid>
        <w:gridCol w:w="708"/>
        <w:gridCol w:w="3121"/>
        <w:gridCol w:w="1133"/>
        <w:gridCol w:w="1334"/>
        <w:gridCol w:w="2069"/>
      </w:tblGrid>
      <w:tr>
        <w:trPr>
          <w:trHeight w:val="46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75</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《单元练测卷英语九年级下册》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18-2015-A-2845</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76</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《单元练测卷物理八年级下册》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2015.06.30</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18-2015-A-2905</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77</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w w:val="99"/>
                <w:sz w:val="18"/>
                <w:szCs w:val="18"/>
              </w:rPr>
              <w:t>U</w:t>
            </w:r>
            <w:r>
              <w:rPr>
                <w:rFonts w:ascii="Times New Roman" w:hAnsi="Times New Roman" w:cs="Times New Roman" w:eastAsia="Times New Roman" w:hint="default"/>
                <w:w w:val="99"/>
                <w:sz w:val="18"/>
                <w:szCs w:val="18"/>
              </w:rPr>
              <w:t>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英</w:t>
            </w:r>
            <w:r>
              <w:rPr>
                <w:rFonts w:ascii="宋体" w:hAnsi="宋体" w:cs="宋体" w:eastAsia="宋体" w:hint="default"/>
                <w:spacing w:val="4"/>
                <w:sz w:val="18"/>
                <w:szCs w:val="18"/>
              </w:rPr>
              <w:t>语</w:t>
            </w:r>
            <w:r>
              <w:rPr>
                <w:rFonts w:ascii="Times New Roman" w:hAnsi="Times New Roman" w:cs="Times New Roman" w:eastAsia="Times New Roman" w:hint="default"/>
                <w:spacing w:val="-5"/>
                <w:sz w:val="18"/>
                <w:szCs w:val="18"/>
              </w:rPr>
              <w:t>·</w:t>
            </w:r>
            <w:r>
              <w:rPr>
                <w:rFonts w:ascii="宋体" w:hAnsi="宋体" w:cs="宋体" w:eastAsia="宋体" w:hint="default"/>
                <w:sz w:val="18"/>
                <w:szCs w:val="18"/>
              </w:rPr>
              <w:t>美文悦读（哲思卷</w:t>
            </w:r>
            <w:r>
              <w:rPr>
                <w:rFonts w:ascii="宋体" w:hAnsi="宋体" w:cs="宋体" w:eastAsia="宋体" w:hint="default"/>
                <w:spacing w:val="-94"/>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2015.06.30</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18-2015-A-2906</w:t>
            </w:r>
          </w:p>
        </w:tc>
      </w:tr>
      <w:tr>
        <w:trPr>
          <w:trHeight w:val="67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78</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878" w:right="125" w:hanging="75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UP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英语</w:t>
            </w:r>
            <w:r>
              <w:rPr>
                <w:rFonts w:ascii="Times New Roman" w:hAnsi="Times New Roman" w:cs="Times New Roman" w:eastAsia="Times New Roman" w:hint="default"/>
                <w:sz w:val="18"/>
                <w:szCs w:val="18"/>
              </w:rPr>
              <w:t>·</w:t>
            </w:r>
            <w:r>
              <w:rPr>
                <w:rFonts w:ascii="宋体" w:hAnsi="宋体" w:cs="宋体" w:eastAsia="宋体" w:hint="default"/>
                <w:sz w:val="18"/>
                <w:szCs w:val="18"/>
              </w:rPr>
              <w:t>完形填空和阅读理解突破 </w:t>
            </w:r>
            <w:r>
              <w:rPr>
                <w:rFonts w:ascii="宋体" w:hAnsi="宋体" w:cs="宋体" w:eastAsia="宋体" w:hint="default"/>
                <w:spacing w:val="-12"/>
                <w:sz w:val="18"/>
                <w:szCs w:val="18"/>
              </w:rPr>
              <w:t>训练（八年级）》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2015.06.30</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18-2015-A-2907</w:t>
            </w:r>
          </w:p>
        </w:tc>
      </w:tr>
      <w:tr>
        <w:trPr>
          <w:trHeight w:val="67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79</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878" w:right="125" w:hanging="75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UP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英语</w:t>
            </w:r>
            <w:r>
              <w:rPr>
                <w:rFonts w:ascii="Times New Roman" w:hAnsi="Times New Roman" w:cs="Times New Roman" w:eastAsia="Times New Roman" w:hint="default"/>
                <w:sz w:val="18"/>
                <w:szCs w:val="18"/>
              </w:rPr>
              <w:t>·</w:t>
            </w:r>
            <w:r>
              <w:rPr>
                <w:rFonts w:ascii="宋体" w:hAnsi="宋体" w:cs="宋体" w:eastAsia="宋体" w:hint="default"/>
                <w:sz w:val="18"/>
                <w:szCs w:val="18"/>
              </w:rPr>
              <w:t>完形填空和阅读理解突破 </w:t>
            </w:r>
            <w:r>
              <w:rPr>
                <w:rFonts w:ascii="宋体" w:hAnsi="宋体" w:cs="宋体" w:eastAsia="宋体" w:hint="default"/>
                <w:spacing w:val="-12"/>
                <w:sz w:val="18"/>
                <w:szCs w:val="18"/>
              </w:rPr>
              <w:t>训练（七年级）》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18-2015-A-2908</w:t>
            </w:r>
          </w:p>
        </w:tc>
      </w:tr>
      <w:tr>
        <w:trPr>
          <w:trHeight w:val="67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789" w:right="125" w:hanging="66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UP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英语</w:t>
            </w:r>
            <w:r>
              <w:rPr>
                <w:rFonts w:ascii="Times New Roman" w:hAnsi="Times New Roman" w:cs="Times New Roman" w:eastAsia="Times New Roman" w:hint="default"/>
                <w:sz w:val="18"/>
                <w:szCs w:val="18"/>
              </w:rPr>
              <w:t>·</w:t>
            </w:r>
            <w:r>
              <w:rPr>
                <w:rFonts w:ascii="宋体" w:hAnsi="宋体" w:cs="宋体" w:eastAsia="宋体" w:hint="default"/>
                <w:sz w:val="18"/>
                <w:szCs w:val="18"/>
              </w:rPr>
              <w:t>完形填空和阅读理解突破 </w:t>
            </w:r>
            <w:r>
              <w:rPr>
                <w:rFonts w:ascii="宋体" w:hAnsi="宋体" w:cs="宋体" w:eastAsia="宋体" w:hint="default"/>
                <w:spacing w:val="-11"/>
                <w:sz w:val="18"/>
                <w:szCs w:val="18"/>
              </w:rPr>
              <w:t>训练（高一年级）》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18-2015-A-2909</w:t>
            </w:r>
          </w:p>
        </w:tc>
      </w:tr>
      <w:tr>
        <w:trPr>
          <w:trHeight w:val="67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81</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878" w:right="125" w:hanging="75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UP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英语</w:t>
            </w:r>
            <w:r>
              <w:rPr>
                <w:rFonts w:ascii="Times New Roman" w:hAnsi="Times New Roman" w:cs="Times New Roman" w:eastAsia="Times New Roman" w:hint="default"/>
                <w:sz w:val="18"/>
                <w:szCs w:val="18"/>
              </w:rPr>
              <w:t>·</w:t>
            </w:r>
            <w:r>
              <w:rPr>
                <w:rFonts w:ascii="宋体" w:hAnsi="宋体" w:cs="宋体" w:eastAsia="宋体" w:hint="default"/>
                <w:sz w:val="18"/>
                <w:szCs w:val="18"/>
              </w:rPr>
              <w:t>完形填空和阅读理解突破 </w:t>
            </w:r>
            <w:r>
              <w:rPr>
                <w:rFonts w:ascii="宋体" w:hAnsi="宋体" w:cs="宋体" w:eastAsia="宋体" w:hint="default"/>
                <w:spacing w:val="-12"/>
                <w:sz w:val="18"/>
                <w:szCs w:val="18"/>
              </w:rPr>
              <w:t>训练（高考版）》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18-2015-A-2910</w:t>
            </w:r>
          </w:p>
        </w:tc>
      </w:tr>
      <w:tr>
        <w:trPr>
          <w:trHeight w:val="67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82</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789" w:right="125" w:hanging="66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UP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英语</w:t>
            </w:r>
            <w:r>
              <w:rPr>
                <w:rFonts w:ascii="Times New Roman" w:hAnsi="Times New Roman" w:cs="Times New Roman" w:eastAsia="Times New Roman" w:hint="default"/>
                <w:sz w:val="18"/>
                <w:szCs w:val="18"/>
              </w:rPr>
              <w:t>·</w:t>
            </w:r>
            <w:r>
              <w:rPr>
                <w:rFonts w:ascii="宋体" w:hAnsi="宋体" w:cs="宋体" w:eastAsia="宋体" w:hint="default"/>
                <w:sz w:val="18"/>
                <w:szCs w:val="18"/>
              </w:rPr>
              <w:t>完形填空和阅读理解突破 </w:t>
            </w:r>
            <w:r>
              <w:rPr>
                <w:rFonts w:ascii="宋体" w:hAnsi="宋体" w:cs="宋体" w:eastAsia="宋体" w:hint="default"/>
                <w:spacing w:val="-11"/>
                <w:sz w:val="18"/>
                <w:szCs w:val="18"/>
              </w:rPr>
              <w:t>训练（高二年级）》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18-2015-A-2911</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83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《单元练测卷物理九年级上册》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18-2015-A-2912</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84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《单元练测卷物理九年级下册》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18-2015-A-2913</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85</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《单元练测卷英语七年级上册》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18-2015-A-2914</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86</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《单元练测卷英语七年级下册》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18-2015-A-2915</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87</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考全通英语必修</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（苏湘用</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18-2015-A-2916</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88</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考全通英语必修</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18-2015-A-2917</w:t>
            </w:r>
          </w:p>
        </w:tc>
      </w:tr>
      <w:tr>
        <w:trPr>
          <w:trHeight w:val="67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89</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330" w:right="197" w:hanging="1131"/>
              <w:jc w:val="left"/>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z w:val="18"/>
                <w:szCs w:val="18"/>
              </w:rPr>
              <w:t>+</w:t>
            </w:r>
            <w:r>
              <w:rPr>
                <w:rFonts w:ascii="宋体" w:hAnsi="宋体" w:cs="宋体" w:eastAsia="宋体" w:hint="default"/>
                <w:sz w:val="18"/>
                <w:szCs w:val="18"/>
              </w:rPr>
              <w:t>考全通思想政治必修</w:t>
            </w:r>
            <w:r>
              <w:rPr>
                <w:rFonts w:ascii="Times New Roman" w:hAnsi="Times New Roman" w:cs="Times New Roman" w:eastAsia="Times New Roman" w:hint="default"/>
                <w:sz w:val="18"/>
                <w:szCs w:val="18"/>
              </w:rPr>
              <w:t>1</w:t>
            </w:r>
            <w:r>
              <w:rPr>
                <w:rFonts w:ascii="宋体" w:hAnsi="宋体" w:cs="宋体" w:eastAsia="宋体" w:hint="default"/>
                <w:sz w:val="18"/>
                <w:szCs w:val="18"/>
              </w:rPr>
              <w:t>（标准 </w:t>
            </w:r>
            <w:r>
              <w:rPr>
                <w:rFonts w:ascii="宋体" w:hAnsi="宋体" w:cs="宋体" w:eastAsia="宋体" w:hint="default"/>
                <w:spacing w:val="-31"/>
                <w:sz w:val="18"/>
                <w:szCs w:val="18"/>
              </w:rPr>
              <w:t>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18-2015-A-2918</w:t>
            </w:r>
          </w:p>
        </w:tc>
      </w:tr>
      <w:tr>
        <w:trPr>
          <w:trHeight w:val="67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330" w:right="197" w:hanging="1131"/>
              <w:jc w:val="left"/>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z w:val="18"/>
                <w:szCs w:val="18"/>
              </w:rPr>
              <w:t>+</w:t>
            </w:r>
            <w:r>
              <w:rPr>
                <w:rFonts w:ascii="宋体" w:hAnsi="宋体" w:cs="宋体" w:eastAsia="宋体" w:hint="default"/>
                <w:sz w:val="18"/>
                <w:szCs w:val="18"/>
              </w:rPr>
              <w:t>考全通思想政治必修</w:t>
            </w:r>
            <w:r>
              <w:rPr>
                <w:rFonts w:ascii="Times New Roman" w:hAnsi="Times New Roman" w:cs="Times New Roman" w:eastAsia="Times New Roman" w:hint="default"/>
                <w:sz w:val="18"/>
                <w:szCs w:val="18"/>
              </w:rPr>
              <w:t>2</w:t>
            </w:r>
            <w:r>
              <w:rPr>
                <w:rFonts w:ascii="宋体" w:hAnsi="宋体" w:cs="宋体" w:eastAsia="宋体" w:hint="default"/>
                <w:sz w:val="18"/>
                <w:szCs w:val="18"/>
              </w:rPr>
              <w:t>（标准 </w:t>
            </w:r>
            <w:r>
              <w:rPr>
                <w:rFonts w:ascii="宋体" w:hAnsi="宋体" w:cs="宋体" w:eastAsia="宋体" w:hint="default"/>
                <w:spacing w:val="-31"/>
                <w:sz w:val="18"/>
                <w:szCs w:val="18"/>
              </w:rPr>
              <w:t>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18-2015-A-2919</w:t>
            </w:r>
          </w:p>
        </w:tc>
      </w:tr>
      <w:tr>
        <w:trPr>
          <w:trHeight w:val="67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91</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330" w:right="197" w:hanging="1131"/>
              <w:jc w:val="left"/>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z w:val="18"/>
                <w:szCs w:val="18"/>
              </w:rPr>
              <w:t>+</w:t>
            </w:r>
            <w:r>
              <w:rPr>
                <w:rFonts w:ascii="宋体" w:hAnsi="宋体" w:cs="宋体" w:eastAsia="宋体" w:hint="default"/>
                <w:sz w:val="18"/>
                <w:szCs w:val="18"/>
              </w:rPr>
              <w:t>考全通思想政治必修</w:t>
            </w:r>
            <w:r>
              <w:rPr>
                <w:rFonts w:ascii="Times New Roman" w:hAnsi="Times New Roman" w:cs="Times New Roman" w:eastAsia="Times New Roman" w:hint="default"/>
                <w:sz w:val="18"/>
                <w:szCs w:val="18"/>
              </w:rPr>
              <w:t>3</w:t>
            </w:r>
            <w:r>
              <w:rPr>
                <w:rFonts w:ascii="宋体" w:hAnsi="宋体" w:cs="宋体" w:eastAsia="宋体" w:hint="default"/>
                <w:sz w:val="18"/>
                <w:szCs w:val="18"/>
              </w:rPr>
              <w:t>（标准 </w:t>
            </w:r>
            <w:r>
              <w:rPr>
                <w:rFonts w:ascii="宋体" w:hAnsi="宋体" w:cs="宋体" w:eastAsia="宋体" w:hint="default"/>
                <w:spacing w:val="-31"/>
                <w:sz w:val="18"/>
                <w:szCs w:val="18"/>
              </w:rPr>
              <w:t>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18-2015-A-2920</w:t>
            </w:r>
          </w:p>
        </w:tc>
      </w:tr>
      <w:tr>
        <w:trPr>
          <w:trHeight w:val="46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92</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《单元练测卷地理八年级上册》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18-2015-A-2921</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93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《单元练测卷历史九年级上册》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18-2015-A-2922</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94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《单元练测卷历史九年级下册》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18-2015-A-2923</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95</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《单元练测卷生物八年级上册》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18-2015-A-2924</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96</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《单元练测卷生物八年级下册》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18-2015-A-2925</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97</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《单元练测卷生物七年级上册》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18-2015-A-2926</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98</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《单元练测卷生物七年级下册》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18-2015-A-2927</w:t>
            </w:r>
          </w:p>
        </w:tc>
      </w:tr>
      <w:tr>
        <w:trPr>
          <w:trHeight w:val="46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99</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考全通英语必修</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（标准版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18-2015-A-2928</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100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《学</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考全通英语必修</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（苏湘用</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2015.07.03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18-2015-A-2929</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59" w:top="1340" w:bottom="1140" w:left="1680" w:right="1580"/>
        </w:sectPr>
      </w:pPr>
    </w:p>
    <w:p>
      <w:pPr>
        <w:spacing w:line="240" w:lineRule="auto" w:before="1"/>
        <w:rPr>
          <w:rFonts w:ascii="Times New Roman" w:hAnsi="Times New Roman" w:cs="Times New Roman" w:eastAsia="Times New Roman" w:hint="default"/>
          <w:sz w:val="7"/>
          <w:szCs w:val="7"/>
        </w:rPr>
      </w:pPr>
    </w:p>
    <w:tbl>
      <w:tblPr>
        <w:tblW w:w="0" w:type="auto"/>
        <w:jc w:val="left"/>
        <w:tblInd w:w="158" w:type="dxa"/>
        <w:tblLayout w:type="fixed"/>
        <w:tblCellMar>
          <w:top w:w="0" w:type="dxa"/>
          <w:left w:w="0" w:type="dxa"/>
          <w:bottom w:w="0" w:type="dxa"/>
          <w:right w:w="0" w:type="dxa"/>
        </w:tblCellMar>
        <w:tblLook w:val="01E0"/>
      </w:tblPr>
      <w:tblGrid>
        <w:gridCol w:w="708"/>
        <w:gridCol w:w="3121"/>
        <w:gridCol w:w="1133"/>
        <w:gridCol w:w="1334"/>
        <w:gridCol w:w="2069"/>
      </w:tblGrid>
      <w:tr>
        <w:trPr>
          <w:trHeight w:val="67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101</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103" w:right="113" w:hanging="989"/>
              <w:jc w:val="left"/>
              <w:rPr>
                <w:rFonts w:ascii="宋体" w:hAnsi="宋体" w:cs="宋体" w:eastAsia="宋体" w:hint="default"/>
                <w:sz w:val="18"/>
                <w:szCs w:val="18"/>
              </w:rPr>
            </w:pPr>
            <w:r>
              <w:rPr>
                <w:rFonts w:ascii="宋体" w:hAnsi="宋体" w:cs="宋体" w:eastAsia="宋体" w:hint="default"/>
                <w:sz w:val="18"/>
                <w:szCs w:val="18"/>
              </w:rPr>
              <w:t>《冒险小王子（</w:t>
            </w:r>
            <w:r>
              <w:rPr>
                <w:rFonts w:ascii="Times New Roman" w:hAnsi="Times New Roman" w:cs="Times New Roman" w:eastAsia="Times New Roman" w:hint="default"/>
                <w:sz w:val="18"/>
                <w:szCs w:val="18"/>
              </w:rPr>
              <w:t>29</w:t>
            </w:r>
            <w:r>
              <w:rPr>
                <w:rFonts w:ascii="宋体" w:hAnsi="宋体" w:cs="宋体" w:eastAsia="宋体" w:hint="default"/>
                <w:sz w:val="18"/>
                <w:szCs w:val="18"/>
              </w:rPr>
              <w:t>）奇迹巧克力餐厅 和乐之花》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美术作品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18-2015-F-2877</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102</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《冒险小王子（</w:t>
            </w:r>
            <w:r>
              <w:rPr>
                <w:rFonts w:ascii="Times New Roman" w:hAnsi="Times New Roman" w:cs="Times New Roman" w:eastAsia="Times New Roman" w:hint="default"/>
                <w:sz w:val="18"/>
                <w:szCs w:val="18"/>
              </w:rPr>
              <w:t>30</w:t>
            </w:r>
            <w:r>
              <w:rPr>
                <w:rFonts w:ascii="宋体" w:hAnsi="宋体" w:cs="宋体" w:eastAsia="宋体" w:hint="default"/>
                <w:sz w:val="18"/>
                <w:szCs w:val="18"/>
              </w:rPr>
              <w:t>）黑王子》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美术作品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18-2015-F-2878</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103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8" w:right="0"/>
              <w:jc w:val="center"/>
              <w:rPr>
                <w:rFonts w:ascii="宋体" w:hAnsi="宋体" w:cs="宋体" w:eastAsia="宋体" w:hint="default"/>
                <w:sz w:val="18"/>
                <w:szCs w:val="18"/>
              </w:rPr>
            </w:pPr>
            <w:r>
              <w:rPr>
                <w:rFonts w:ascii="宋体" w:hAnsi="宋体" w:cs="宋体" w:eastAsia="宋体" w:hint="default"/>
                <w:spacing w:val="-4"/>
                <w:sz w:val="18"/>
                <w:szCs w:val="18"/>
              </w:rPr>
              <w:t>《冒险小王子（</w:t>
            </w:r>
            <w:r>
              <w:rPr>
                <w:rFonts w:ascii="Times New Roman" w:hAnsi="Times New Roman" w:cs="Times New Roman" w:eastAsia="Times New Roman" w:hint="default"/>
                <w:spacing w:val="-4"/>
                <w:sz w:val="18"/>
                <w:szCs w:val="18"/>
              </w:rPr>
              <w:t>31</w:t>
            </w:r>
            <w:r>
              <w:rPr>
                <w:rFonts w:ascii="宋体" w:hAnsi="宋体" w:cs="宋体" w:eastAsia="宋体" w:hint="default"/>
                <w:spacing w:val="-4"/>
                <w:sz w:val="18"/>
                <w:szCs w:val="18"/>
              </w:rPr>
              <w:t>）反击吧，孩子们》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美术作品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18-2015-F-2879</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104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8" w:right="0"/>
              <w:jc w:val="center"/>
              <w:rPr>
                <w:rFonts w:ascii="宋体" w:hAnsi="宋体" w:cs="宋体" w:eastAsia="宋体" w:hint="default"/>
                <w:sz w:val="18"/>
                <w:szCs w:val="18"/>
              </w:rPr>
            </w:pPr>
            <w:r>
              <w:rPr>
                <w:rFonts w:ascii="宋体" w:hAnsi="宋体" w:cs="宋体" w:eastAsia="宋体" w:hint="default"/>
                <w:spacing w:val="-4"/>
                <w:sz w:val="18"/>
                <w:szCs w:val="18"/>
              </w:rPr>
              <w:t>《冒险小王子（</w:t>
            </w:r>
            <w:r>
              <w:rPr>
                <w:rFonts w:ascii="Times New Roman" w:hAnsi="Times New Roman" w:cs="Times New Roman" w:eastAsia="Times New Roman" w:hint="default"/>
                <w:spacing w:val="-4"/>
                <w:sz w:val="18"/>
                <w:szCs w:val="18"/>
              </w:rPr>
              <w:t>32</w:t>
            </w:r>
            <w:r>
              <w:rPr>
                <w:rFonts w:ascii="宋体" w:hAnsi="宋体" w:cs="宋体" w:eastAsia="宋体" w:hint="default"/>
                <w:spacing w:val="-4"/>
                <w:sz w:val="18"/>
                <w:szCs w:val="18"/>
              </w:rPr>
              <w:t>）禁忌之沙漠魔域》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美术作品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18-2015-F-2880</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105</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8" w:right="0"/>
              <w:jc w:val="center"/>
              <w:rPr>
                <w:rFonts w:ascii="宋体" w:hAnsi="宋体" w:cs="宋体" w:eastAsia="宋体" w:hint="default"/>
                <w:sz w:val="18"/>
                <w:szCs w:val="18"/>
              </w:rPr>
            </w:pPr>
            <w:r>
              <w:rPr>
                <w:rFonts w:ascii="宋体" w:hAnsi="宋体" w:cs="宋体" w:eastAsia="宋体" w:hint="default"/>
                <w:spacing w:val="-4"/>
                <w:sz w:val="18"/>
                <w:szCs w:val="18"/>
              </w:rPr>
              <w:t>《冒险小王子（</w:t>
            </w:r>
            <w:r>
              <w:rPr>
                <w:rFonts w:ascii="Times New Roman" w:hAnsi="Times New Roman" w:cs="Times New Roman" w:eastAsia="Times New Roman" w:hint="default"/>
                <w:spacing w:val="-4"/>
                <w:sz w:val="18"/>
                <w:szCs w:val="18"/>
              </w:rPr>
              <w:t>26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年前的木刻书》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美术作品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18-2015-F-2881</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106</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8" w:right="0"/>
              <w:jc w:val="center"/>
              <w:rPr>
                <w:rFonts w:ascii="宋体" w:hAnsi="宋体" w:cs="宋体" w:eastAsia="宋体" w:hint="default"/>
                <w:sz w:val="18"/>
                <w:szCs w:val="18"/>
              </w:rPr>
            </w:pPr>
            <w:r>
              <w:rPr>
                <w:rFonts w:ascii="宋体" w:hAnsi="宋体" w:cs="宋体" w:eastAsia="宋体" w:hint="default"/>
                <w:sz w:val="18"/>
                <w:szCs w:val="18"/>
              </w:rPr>
              <w:t>《冒险小王</w:t>
            </w:r>
            <w:r>
              <w:rPr>
                <w:rFonts w:ascii="宋体" w:hAnsi="宋体" w:cs="宋体" w:eastAsia="宋体" w:hint="default"/>
                <w:spacing w:val="-80"/>
                <w:sz w:val="18"/>
                <w:szCs w:val="18"/>
              </w:rPr>
              <w:t>子</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25</w:t>
            </w:r>
            <w:r>
              <w:rPr>
                <w:rFonts w:ascii="宋体" w:hAnsi="宋体" w:cs="宋体" w:eastAsia="宋体" w:hint="default"/>
                <w:spacing w:val="-80"/>
                <w:sz w:val="18"/>
                <w:szCs w:val="18"/>
              </w:rPr>
              <w:t>）</w:t>
            </w:r>
            <w:r>
              <w:rPr>
                <w:rFonts w:ascii="宋体" w:hAnsi="宋体" w:cs="宋体" w:eastAsia="宋体" w:hint="default"/>
                <w:sz w:val="18"/>
                <w:szCs w:val="18"/>
              </w:rPr>
              <w:t>齐格威</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宋体" w:hAnsi="宋体" w:cs="宋体" w:eastAsia="宋体" w:hint="default"/>
                <w:spacing w:val="-3"/>
                <w:sz w:val="18"/>
                <w:szCs w:val="18"/>
              </w:rPr>
              <w:t>年</w:t>
            </w:r>
            <w:r>
              <w:rPr>
                <w:rFonts w:ascii="宋体" w:hAnsi="宋体" w:cs="宋体" w:eastAsia="宋体" w:hint="default"/>
                <w:sz w:val="18"/>
                <w:szCs w:val="18"/>
              </w:rPr>
              <w:t>之诅》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美术作品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18-2015-F-2882</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107</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《冒险小王子</w:t>
            </w:r>
            <w:r>
              <w:rPr>
                <w:rFonts w:ascii="Times New Roman" w:hAnsi="Times New Roman" w:cs="Times New Roman" w:eastAsia="Times New Roman" w:hint="default"/>
                <w:sz w:val="18"/>
                <w:szCs w:val="18"/>
              </w:rPr>
              <w:t>24</w:t>
            </w:r>
            <w:r>
              <w:rPr>
                <w:rFonts w:ascii="宋体" w:hAnsi="宋体" w:cs="宋体" w:eastAsia="宋体" w:hint="default"/>
                <w:sz w:val="18"/>
                <w:szCs w:val="18"/>
              </w:rPr>
              <w:t>塌陷的地坑》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美术作品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18-2015-F-2883</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108</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《冒险小王子</w:t>
            </w:r>
            <w:r>
              <w:rPr>
                <w:rFonts w:ascii="Times New Roman" w:hAnsi="Times New Roman" w:cs="Times New Roman" w:eastAsia="Times New Roman" w:hint="default"/>
                <w:sz w:val="18"/>
                <w:szCs w:val="18"/>
              </w:rPr>
              <w:t>23</w:t>
            </w:r>
            <w:r>
              <w:rPr>
                <w:rFonts w:ascii="宋体" w:hAnsi="宋体" w:cs="宋体" w:eastAsia="宋体" w:hint="default"/>
                <w:sz w:val="18"/>
                <w:szCs w:val="18"/>
              </w:rPr>
              <w:t>神奇的邮包》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美术作品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18-2015-F-2884</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109</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《冒险小王子</w:t>
            </w:r>
            <w:r>
              <w:rPr>
                <w:rFonts w:ascii="Times New Roman" w:hAnsi="Times New Roman" w:cs="Times New Roman" w:eastAsia="Times New Roman" w:hint="default"/>
                <w:sz w:val="18"/>
                <w:szCs w:val="18"/>
              </w:rPr>
              <w:t>22</w:t>
            </w:r>
            <w:r>
              <w:rPr>
                <w:rFonts w:ascii="宋体" w:hAnsi="宋体" w:cs="宋体" w:eastAsia="宋体" w:hint="default"/>
                <w:sz w:val="18"/>
                <w:szCs w:val="18"/>
              </w:rPr>
              <w:t>水魔方密码》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美术作品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18-2015-F-2885</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110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《冒险小王子</w:t>
            </w:r>
            <w:r>
              <w:rPr>
                <w:rFonts w:ascii="Times New Roman" w:hAnsi="Times New Roman" w:cs="Times New Roman" w:eastAsia="Times New Roman" w:hint="default"/>
                <w:sz w:val="18"/>
                <w:szCs w:val="18"/>
              </w:rPr>
              <w:t>21</w:t>
            </w:r>
            <w:r>
              <w:rPr>
                <w:rFonts w:ascii="宋体" w:hAnsi="宋体" w:cs="宋体" w:eastAsia="宋体" w:hint="default"/>
                <w:sz w:val="18"/>
                <w:szCs w:val="18"/>
              </w:rPr>
              <w:t>了不起的雪峰山》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美术作品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18-2015-F-2886</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6"/>
                <w:sz w:val="18"/>
              </w:rPr>
              <w:t>111</w:t>
            </w:r>
            <w:r>
              <w:rPr>
                <w:rFonts w:ascii="Times New Roman"/>
                <w:sz w:val="18"/>
              </w:rPr>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《冒险小王子</w:t>
            </w:r>
            <w:r>
              <w:rPr>
                <w:rFonts w:ascii="Times New Roman" w:hAnsi="Times New Roman" w:cs="Times New Roman" w:eastAsia="Times New Roman" w:hint="default"/>
                <w:sz w:val="18"/>
                <w:szCs w:val="18"/>
              </w:rPr>
              <w:t>21</w:t>
            </w:r>
            <w:r>
              <w:rPr>
                <w:rFonts w:ascii="宋体" w:hAnsi="宋体" w:cs="宋体" w:eastAsia="宋体" w:hint="default"/>
                <w:sz w:val="18"/>
                <w:szCs w:val="18"/>
              </w:rPr>
              <w:t>了不起的雪峰山》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18-2015-A-2859</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112</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《冒险小王子</w:t>
            </w:r>
            <w:r>
              <w:rPr>
                <w:rFonts w:ascii="Times New Roman" w:hAnsi="Times New Roman" w:cs="Times New Roman" w:eastAsia="Times New Roman" w:hint="default"/>
                <w:sz w:val="18"/>
                <w:szCs w:val="18"/>
              </w:rPr>
              <w:t>23</w:t>
            </w:r>
            <w:r>
              <w:rPr>
                <w:rFonts w:ascii="宋体" w:hAnsi="宋体" w:cs="宋体" w:eastAsia="宋体" w:hint="default"/>
                <w:sz w:val="18"/>
                <w:szCs w:val="18"/>
              </w:rPr>
              <w:t>神奇的邮包》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18-2015-A-2860</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113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《冒险小王子</w:t>
            </w:r>
            <w:r>
              <w:rPr>
                <w:rFonts w:ascii="Times New Roman" w:hAnsi="Times New Roman" w:cs="Times New Roman" w:eastAsia="Times New Roman" w:hint="default"/>
                <w:sz w:val="18"/>
                <w:szCs w:val="18"/>
              </w:rPr>
              <w:t>24</w:t>
            </w:r>
            <w:r>
              <w:rPr>
                <w:rFonts w:ascii="宋体" w:hAnsi="宋体" w:cs="宋体" w:eastAsia="宋体" w:hint="default"/>
                <w:sz w:val="18"/>
                <w:szCs w:val="18"/>
              </w:rPr>
              <w:t>塌陷的地坑》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18-2015-A-2861</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114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8" w:right="0"/>
              <w:jc w:val="center"/>
              <w:rPr>
                <w:rFonts w:ascii="宋体" w:hAnsi="宋体" w:cs="宋体" w:eastAsia="宋体" w:hint="default"/>
                <w:sz w:val="18"/>
                <w:szCs w:val="18"/>
              </w:rPr>
            </w:pPr>
            <w:r>
              <w:rPr>
                <w:rFonts w:ascii="宋体" w:hAnsi="宋体" w:cs="宋体" w:eastAsia="宋体" w:hint="default"/>
                <w:sz w:val="18"/>
                <w:szCs w:val="18"/>
              </w:rPr>
              <w:t>《冒险小王</w:t>
            </w:r>
            <w:r>
              <w:rPr>
                <w:rFonts w:ascii="宋体" w:hAnsi="宋体" w:cs="宋体" w:eastAsia="宋体" w:hint="default"/>
                <w:spacing w:val="-80"/>
                <w:sz w:val="18"/>
                <w:szCs w:val="18"/>
              </w:rPr>
              <w:t>子</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25</w:t>
            </w:r>
            <w:r>
              <w:rPr>
                <w:rFonts w:ascii="宋体" w:hAnsi="宋体" w:cs="宋体" w:eastAsia="宋体" w:hint="default"/>
                <w:spacing w:val="-80"/>
                <w:sz w:val="18"/>
                <w:szCs w:val="18"/>
              </w:rPr>
              <w:t>）</w:t>
            </w:r>
            <w:r>
              <w:rPr>
                <w:rFonts w:ascii="宋体" w:hAnsi="宋体" w:cs="宋体" w:eastAsia="宋体" w:hint="default"/>
                <w:sz w:val="18"/>
                <w:szCs w:val="18"/>
              </w:rPr>
              <w:t>齐格威</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宋体" w:hAnsi="宋体" w:cs="宋体" w:eastAsia="宋体" w:hint="default"/>
                <w:spacing w:val="-3"/>
                <w:sz w:val="18"/>
                <w:szCs w:val="18"/>
              </w:rPr>
              <w:t>年</w:t>
            </w:r>
            <w:r>
              <w:rPr>
                <w:rFonts w:ascii="宋体" w:hAnsi="宋体" w:cs="宋体" w:eastAsia="宋体" w:hint="default"/>
                <w:sz w:val="18"/>
                <w:szCs w:val="18"/>
              </w:rPr>
              <w:t>之诅》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18-2015-A-2862</w:t>
            </w:r>
          </w:p>
        </w:tc>
      </w:tr>
      <w:tr>
        <w:trPr>
          <w:trHeight w:val="46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115</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8" w:right="0"/>
              <w:jc w:val="center"/>
              <w:rPr>
                <w:rFonts w:ascii="宋体" w:hAnsi="宋体" w:cs="宋体" w:eastAsia="宋体" w:hint="default"/>
                <w:sz w:val="18"/>
                <w:szCs w:val="18"/>
              </w:rPr>
            </w:pPr>
            <w:r>
              <w:rPr>
                <w:rFonts w:ascii="宋体" w:hAnsi="宋体" w:cs="宋体" w:eastAsia="宋体" w:hint="default"/>
                <w:spacing w:val="-4"/>
                <w:sz w:val="18"/>
                <w:szCs w:val="18"/>
              </w:rPr>
              <w:t>《冒险小王子（</w:t>
            </w:r>
            <w:r>
              <w:rPr>
                <w:rFonts w:ascii="Times New Roman" w:hAnsi="Times New Roman" w:cs="Times New Roman" w:eastAsia="Times New Roman" w:hint="default"/>
                <w:spacing w:val="-4"/>
                <w:sz w:val="18"/>
                <w:szCs w:val="18"/>
              </w:rPr>
              <w:t>26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年前的木刻书》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18-2015-A-2863</w:t>
            </w:r>
          </w:p>
        </w:tc>
      </w:tr>
      <w:tr>
        <w:trPr>
          <w:trHeight w:val="67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116</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《冒险小王子（</w:t>
            </w:r>
            <w:r>
              <w:rPr>
                <w:rFonts w:ascii="Times New Roman" w:hAnsi="Times New Roman" w:cs="Times New Roman" w:eastAsia="Times New Roman" w:hint="default"/>
                <w:sz w:val="18"/>
                <w:szCs w:val="18"/>
              </w:rPr>
              <w:t>27</w:t>
            </w:r>
            <w:r>
              <w:rPr>
                <w:rFonts w:ascii="宋体" w:hAnsi="宋体" w:cs="宋体" w:eastAsia="宋体" w:hint="default"/>
                <w:sz w:val="18"/>
                <w:szCs w:val="18"/>
              </w:rPr>
              <w:t>）尤达校长的苦心</w:t>
            </w:r>
          </w:p>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18-2015-A-2864</w:t>
            </w:r>
          </w:p>
        </w:tc>
      </w:tr>
      <w:tr>
        <w:trPr>
          <w:trHeight w:val="67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117</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《冒险小王子（</w:t>
            </w:r>
            <w:r>
              <w:rPr>
                <w:rFonts w:ascii="Times New Roman" w:hAnsi="Times New Roman" w:cs="Times New Roman" w:eastAsia="Times New Roman" w:hint="default"/>
                <w:sz w:val="18"/>
                <w:szCs w:val="18"/>
              </w:rPr>
              <w:t>28</w:t>
            </w:r>
            <w:r>
              <w:rPr>
                <w:rFonts w:ascii="宋体" w:hAnsi="宋体" w:cs="宋体" w:eastAsia="宋体" w:hint="default"/>
                <w:sz w:val="18"/>
                <w:szCs w:val="18"/>
              </w:rPr>
              <w:t>）尤达校长的苦心</w:t>
            </w:r>
          </w:p>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（下</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18-2015-A-2865</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118</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《冒险小王子（</w:t>
            </w:r>
            <w:r>
              <w:rPr>
                <w:rFonts w:ascii="Times New Roman" w:hAnsi="Times New Roman" w:cs="Times New Roman" w:eastAsia="Times New Roman" w:hint="default"/>
                <w:sz w:val="18"/>
                <w:szCs w:val="18"/>
              </w:rPr>
              <w:t>30</w:t>
            </w:r>
            <w:r>
              <w:rPr>
                <w:rFonts w:ascii="宋体" w:hAnsi="宋体" w:cs="宋体" w:eastAsia="宋体" w:hint="default"/>
                <w:sz w:val="18"/>
                <w:szCs w:val="18"/>
              </w:rPr>
              <w:t>）黑王子》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18-2015-A-2867</w:t>
            </w:r>
          </w:p>
        </w:tc>
      </w:tr>
      <w:tr>
        <w:trPr>
          <w:trHeight w:val="46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119</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8" w:right="0"/>
              <w:jc w:val="center"/>
              <w:rPr>
                <w:rFonts w:ascii="宋体" w:hAnsi="宋体" w:cs="宋体" w:eastAsia="宋体" w:hint="default"/>
                <w:sz w:val="18"/>
                <w:szCs w:val="18"/>
              </w:rPr>
            </w:pPr>
            <w:r>
              <w:rPr>
                <w:rFonts w:ascii="宋体" w:hAnsi="宋体" w:cs="宋体" w:eastAsia="宋体" w:hint="default"/>
                <w:spacing w:val="-4"/>
                <w:sz w:val="18"/>
                <w:szCs w:val="18"/>
              </w:rPr>
              <w:t>《冒险小王子（</w:t>
            </w:r>
            <w:r>
              <w:rPr>
                <w:rFonts w:ascii="Times New Roman" w:hAnsi="Times New Roman" w:cs="Times New Roman" w:eastAsia="Times New Roman" w:hint="default"/>
                <w:spacing w:val="-4"/>
                <w:sz w:val="18"/>
                <w:szCs w:val="18"/>
              </w:rPr>
              <w:t>32</w:t>
            </w:r>
            <w:r>
              <w:rPr>
                <w:rFonts w:ascii="宋体" w:hAnsi="宋体" w:cs="宋体" w:eastAsia="宋体" w:hint="default"/>
                <w:spacing w:val="-4"/>
                <w:sz w:val="18"/>
                <w:szCs w:val="18"/>
              </w:rPr>
              <w:t>）禁忌之沙漠魔域》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18-2015-A-2872</w:t>
            </w:r>
          </w:p>
        </w:tc>
      </w:tr>
      <w:tr>
        <w:trPr>
          <w:trHeight w:val="46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120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8" w:right="0"/>
              <w:jc w:val="center"/>
              <w:rPr>
                <w:rFonts w:ascii="宋体" w:hAnsi="宋体" w:cs="宋体" w:eastAsia="宋体" w:hint="default"/>
                <w:sz w:val="18"/>
                <w:szCs w:val="18"/>
              </w:rPr>
            </w:pPr>
            <w:r>
              <w:rPr>
                <w:rFonts w:ascii="宋体" w:hAnsi="宋体" w:cs="宋体" w:eastAsia="宋体" w:hint="default"/>
                <w:spacing w:val="-4"/>
                <w:sz w:val="18"/>
                <w:szCs w:val="18"/>
              </w:rPr>
              <w:t>《冒险小王子（</w:t>
            </w:r>
            <w:r>
              <w:rPr>
                <w:rFonts w:ascii="Times New Roman" w:hAnsi="Times New Roman" w:cs="Times New Roman" w:eastAsia="Times New Roman" w:hint="default"/>
                <w:spacing w:val="-4"/>
                <w:sz w:val="18"/>
                <w:szCs w:val="18"/>
              </w:rPr>
              <w:t>31</w:t>
            </w:r>
            <w:r>
              <w:rPr>
                <w:rFonts w:ascii="宋体" w:hAnsi="宋体" w:cs="宋体" w:eastAsia="宋体" w:hint="default"/>
                <w:spacing w:val="-4"/>
                <w:sz w:val="18"/>
                <w:szCs w:val="18"/>
              </w:rPr>
              <w:t>）反击吧，孩子们》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文字作品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18-2015-A-2873</w:t>
            </w:r>
          </w:p>
        </w:tc>
      </w:tr>
      <w:tr>
        <w:trPr>
          <w:trHeight w:val="67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121</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《冒险小王子（</w:t>
            </w:r>
            <w:r>
              <w:rPr>
                <w:rFonts w:ascii="Times New Roman" w:hAnsi="Times New Roman" w:cs="Times New Roman" w:eastAsia="Times New Roman" w:hint="default"/>
                <w:sz w:val="18"/>
                <w:szCs w:val="18"/>
              </w:rPr>
              <w:t>27</w:t>
            </w:r>
            <w:r>
              <w:rPr>
                <w:rFonts w:ascii="宋体" w:hAnsi="宋体" w:cs="宋体" w:eastAsia="宋体" w:hint="default"/>
                <w:sz w:val="18"/>
                <w:szCs w:val="18"/>
              </w:rPr>
              <w:t>）尤达校长的苦心</w:t>
            </w:r>
          </w:p>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美术作品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18-2015-F-2875</w:t>
            </w:r>
          </w:p>
        </w:tc>
      </w:tr>
      <w:tr>
        <w:trPr>
          <w:trHeight w:val="67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122</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《冒险小王子（</w:t>
            </w:r>
            <w:r>
              <w:rPr>
                <w:rFonts w:ascii="Times New Roman" w:hAnsi="Times New Roman" w:cs="Times New Roman" w:eastAsia="Times New Roman" w:hint="default"/>
                <w:sz w:val="18"/>
                <w:szCs w:val="18"/>
              </w:rPr>
              <w:t>28</w:t>
            </w:r>
            <w:r>
              <w:rPr>
                <w:rFonts w:ascii="宋体" w:hAnsi="宋体" w:cs="宋体" w:eastAsia="宋体" w:hint="default"/>
                <w:sz w:val="18"/>
                <w:szCs w:val="18"/>
              </w:rPr>
              <w:t>）尤达校长的苦心</w:t>
            </w:r>
          </w:p>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（下</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美术作品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2015.04.17</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湘</w:t>
            </w:r>
            <w:r>
              <w:rPr>
                <w:rFonts w:ascii="Times New Roman" w:hAnsi="Times New Roman" w:cs="Times New Roman" w:eastAsia="Times New Roman" w:hint="default"/>
                <w:sz w:val="18"/>
                <w:szCs w:val="18"/>
              </w:rPr>
              <w:t>18-2015-F-2876</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Heading6"/>
        <w:spacing w:line="240" w:lineRule="auto"/>
        <w:ind w:left="583" w:right="0"/>
        <w:jc w:val="left"/>
      </w:pPr>
      <w:r>
        <w:rPr/>
        <w:t>神奇时代软件著作权如下：</w:t>
      </w:r>
    </w:p>
    <w:p>
      <w:pPr>
        <w:spacing w:line="240" w:lineRule="auto" w:before="11"/>
        <w:rPr>
          <w:rFonts w:ascii="宋体" w:hAnsi="宋体" w:cs="宋体" w:eastAsia="宋体" w:hint="default"/>
          <w:sz w:val="9"/>
          <w:szCs w:val="9"/>
        </w:rPr>
      </w:pPr>
    </w:p>
    <w:tbl>
      <w:tblPr>
        <w:tblW w:w="0" w:type="auto"/>
        <w:jc w:val="left"/>
        <w:tblInd w:w="154" w:type="dxa"/>
        <w:tblLayout w:type="fixed"/>
        <w:tblCellMar>
          <w:top w:w="0" w:type="dxa"/>
          <w:left w:w="0" w:type="dxa"/>
          <w:bottom w:w="0" w:type="dxa"/>
          <w:right w:w="0" w:type="dxa"/>
        </w:tblCellMar>
        <w:tblLook w:val="01E0"/>
      </w:tblPr>
      <w:tblGrid>
        <w:gridCol w:w="713"/>
        <w:gridCol w:w="1844"/>
        <w:gridCol w:w="1133"/>
        <w:gridCol w:w="710"/>
        <w:gridCol w:w="1277"/>
        <w:gridCol w:w="1400"/>
        <w:gridCol w:w="1279"/>
      </w:tblGrid>
      <w:tr>
        <w:trPr>
          <w:trHeight w:val="410" w:hRule="exact"/>
        </w:trPr>
        <w:tc>
          <w:tcPr>
            <w:tcW w:w="71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right="129"/>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版本</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127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b/>
                <w:bCs/>
                <w:sz w:val="18"/>
                <w:szCs w:val="18"/>
              </w:rPr>
              <w:t>获取日期</w:t>
            </w:r>
            <w:r>
              <w:rPr>
                <w:rFonts w:ascii="宋体" w:hAnsi="宋体" w:cs="宋体" w:eastAsia="宋体" w:hint="default"/>
                <w:sz w:val="18"/>
                <w:szCs w:val="18"/>
              </w:rPr>
            </w:r>
          </w:p>
        </w:tc>
      </w:tr>
      <w:tr>
        <w:trPr>
          <w:trHeight w:val="63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潜龙游戏综合管理系 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潜龙</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0200865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2010SR012592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2010.3.19</w:t>
            </w:r>
          </w:p>
        </w:tc>
      </w:tr>
      <w:tr>
        <w:trPr>
          <w:trHeight w:val="636"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10"/>
              <w:jc w:val="left"/>
              <w:rPr>
                <w:rFonts w:ascii="宋体" w:hAnsi="宋体" w:cs="宋体" w:eastAsia="宋体" w:hint="default"/>
                <w:sz w:val="18"/>
                <w:szCs w:val="18"/>
              </w:rPr>
            </w:pPr>
            <w:r>
              <w:rPr>
                <w:rFonts w:ascii="宋体" w:hAnsi="宋体" w:cs="宋体" w:eastAsia="宋体" w:hint="default"/>
                <w:sz w:val="18"/>
                <w:szCs w:val="18"/>
              </w:rPr>
              <w:t>神奇时代网络游戏机 引擎优化工具软件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19"/>
              <w:jc w:val="left"/>
              <w:rPr>
                <w:rFonts w:ascii="宋体" w:hAnsi="宋体" w:cs="宋体" w:eastAsia="宋体" w:hint="default"/>
                <w:sz w:val="18"/>
                <w:szCs w:val="18"/>
              </w:rPr>
            </w:pPr>
            <w:r>
              <w:rPr>
                <w:rFonts w:ascii="宋体" w:hAnsi="宋体" w:cs="宋体" w:eastAsia="宋体" w:hint="default"/>
                <w:sz w:val="18"/>
                <w:szCs w:val="18"/>
              </w:rPr>
              <w:t>神奇时代网 络游戏引擎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0287543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2011SR023869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2011.4.27</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59" w:top="1340" w:bottom="1140" w:left="1680" w:right="1580"/>
        </w:sectPr>
      </w:pPr>
    </w:p>
    <w:p>
      <w:pPr>
        <w:spacing w:line="240" w:lineRule="auto" w:before="1"/>
        <w:rPr>
          <w:rFonts w:ascii="Times New Roman" w:hAnsi="Times New Roman" w:cs="Times New Roman" w:eastAsia="Times New Roman" w:hint="default"/>
          <w:sz w:val="7"/>
          <w:szCs w:val="7"/>
        </w:rPr>
      </w:pPr>
    </w:p>
    <w:tbl>
      <w:tblPr>
        <w:tblW w:w="0" w:type="auto"/>
        <w:jc w:val="left"/>
        <w:tblInd w:w="154" w:type="dxa"/>
        <w:tblLayout w:type="fixed"/>
        <w:tblCellMar>
          <w:top w:w="0" w:type="dxa"/>
          <w:left w:w="0" w:type="dxa"/>
          <w:bottom w:w="0" w:type="dxa"/>
          <w:right w:w="0" w:type="dxa"/>
        </w:tblCellMar>
        <w:tblLook w:val="01E0"/>
      </w:tblPr>
      <w:tblGrid>
        <w:gridCol w:w="713"/>
        <w:gridCol w:w="1844"/>
        <w:gridCol w:w="1133"/>
        <w:gridCol w:w="710"/>
        <w:gridCol w:w="1277"/>
        <w:gridCol w:w="1400"/>
        <w:gridCol w:w="1279"/>
      </w:tblGrid>
      <w:tr>
        <w:trPr>
          <w:trHeight w:val="125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神奇时代监控网内 </w:t>
            </w:r>
            <w:r>
              <w:rPr>
                <w:rFonts w:ascii="Times New Roman" w:hAnsi="Times New Roman" w:cs="Times New Roman" w:eastAsia="Times New Roman" w:hint="default"/>
                <w:sz w:val="18"/>
                <w:szCs w:val="18"/>
              </w:rPr>
              <w:t>DVR </w:t>
            </w:r>
            <w:r>
              <w:rPr>
                <w:rFonts w:ascii="宋体" w:hAnsi="宋体" w:cs="宋体" w:eastAsia="宋体" w:hint="default"/>
                <w:sz w:val="18"/>
                <w:szCs w:val="18"/>
              </w:rPr>
              <w:t>系统实时视频 图像和当前状态的软 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19"/>
              <w:jc w:val="left"/>
              <w:rPr>
                <w:rFonts w:ascii="宋体" w:hAnsi="宋体" w:cs="宋体" w:eastAsia="宋体" w:hint="default"/>
                <w:sz w:val="18"/>
                <w:szCs w:val="18"/>
              </w:rPr>
            </w:pPr>
            <w:r>
              <w:rPr>
                <w:rFonts w:ascii="宋体" w:hAnsi="宋体" w:cs="宋体" w:eastAsia="宋体" w:hint="default"/>
                <w:sz w:val="18"/>
                <w:szCs w:val="18"/>
              </w:rPr>
              <w:t>神奇时代监 控软件</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0287544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35"/>
              <w:jc w:val="right"/>
              <w:rPr>
                <w:rFonts w:ascii="Times New Roman" w:hAnsi="Times New Roman" w:cs="Times New Roman" w:eastAsia="Times New Roman" w:hint="default"/>
                <w:sz w:val="18"/>
                <w:szCs w:val="18"/>
              </w:rPr>
            </w:pPr>
            <w:r>
              <w:rPr>
                <w:rFonts w:ascii="Times New Roman"/>
                <w:spacing w:val="-1"/>
                <w:sz w:val="18"/>
              </w:rPr>
              <w:t>2011SR023870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2011.4.27</w:t>
            </w:r>
          </w:p>
        </w:tc>
      </w:tr>
      <w:tr>
        <w:trPr>
          <w:trHeight w:val="63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神奇时代网上多平台 通话软件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9"/>
              <w:jc w:val="left"/>
              <w:rPr>
                <w:rFonts w:ascii="宋体" w:hAnsi="宋体" w:cs="宋体" w:eastAsia="宋体" w:hint="default"/>
                <w:sz w:val="18"/>
                <w:szCs w:val="18"/>
              </w:rPr>
            </w:pPr>
            <w:r>
              <w:rPr>
                <w:rFonts w:ascii="宋体" w:hAnsi="宋体" w:cs="宋体" w:eastAsia="宋体" w:hint="default"/>
                <w:sz w:val="18"/>
                <w:szCs w:val="18"/>
              </w:rPr>
              <w:t>神奇时代网 上通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0287628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2011SR023954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2011.4.27</w:t>
            </w:r>
          </w:p>
        </w:tc>
      </w:tr>
      <w:tr>
        <w:trPr>
          <w:trHeight w:val="63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神奇时代游戏账号安 全游戏安全盾软件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游戏安全盾</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0288289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2011SR024615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2011.4.27</w:t>
            </w:r>
          </w:p>
        </w:tc>
      </w:tr>
      <w:tr>
        <w:trPr>
          <w:trHeight w:val="949"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0"/>
              <w:jc w:val="both"/>
              <w:rPr>
                <w:rFonts w:ascii="宋体" w:hAnsi="宋体" w:cs="宋体" w:eastAsia="宋体" w:hint="default"/>
                <w:sz w:val="18"/>
                <w:szCs w:val="18"/>
              </w:rPr>
            </w:pPr>
            <w:r>
              <w:rPr>
                <w:rFonts w:ascii="宋体" w:hAnsi="宋体" w:cs="宋体" w:eastAsia="宋体" w:hint="default"/>
                <w:sz w:val="18"/>
                <w:szCs w:val="18"/>
              </w:rPr>
              <w:t>神奇时代业务和收入 统计分析查询自动化 报表系统软件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9"/>
              <w:jc w:val="both"/>
              <w:rPr>
                <w:rFonts w:ascii="宋体" w:hAnsi="宋体" w:cs="宋体" w:eastAsia="宋体" w:hint="default"/>
                <w:sz w:val="18"/>
                <w:szCs w:val="18"/>
              </w:rPr>
            </w:pPr>
            <w:r>
              <w:rPr>
                <w:rFonts w:ascii="宋体" w:hAnsi="宋体" w:cs="宋体" w:eastAsia="宋体" w:hint="default"/>
                <w:sz w:val="18"/>
                <w:szCs w:val="18"/>
              </w:rPr>
              <w:t>神奇时代报 表自动化系 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0288959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35"/>
              <w:jc w:val="right"/>
              <w:rPr>
                <w:rFonts w:ascii="Times New Roman" w:hAnsi="Times New Roman" w:cs="Times New Roman" w:eastAsia="Times New Roman" w:hint="default"/>
                <w:sz w:val="18"/>
                <w:szCs w:val="18"/>
              </w:rPr>
            </w:pPr>
            <w:r>
              <w:rPr>
                <w:rFonts w:ascii="Times New Roman"/>
                <w:spacing w:val="-1"/>
                <w:sz w:val="18"/>
              </w:rPr>
              <w:t>2011SR025285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Times New Roman" w:hAnsi="Times New Roman" w:cs="Times New Roman" w:eastAsia="Times New Roman" w:hint="default"/>
                <w:sz w:val="18"/>
                <w:szCs w:val="18"/>
              </w:rPr>
            </w:pPr>
            <w:r>
              <w:rPr>
                <w:rFonts w:ascii="Times New Roman"/>
                <w:sz w:val="18"/>
              </w:rPr>
              <w:t>2011.5.3</w:t>
            </w:r>
          </w:p>
        </w:tc>
      </w:tr>
      <w:tr>
        <w:trPr>
          <w:trHeight w:val="63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神奇时代局域网语音 控制和管理系统软件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9"/>
              <w:jc w:val="left"/>
              <w:rPr>
                <w:rFonts w:ascii="宋体" w:hAnsi="宋体" w:cs="宋体" w:eastAsia="宋体" w:hint="default"/>
                <w:sz w:val="18"/>
                <w:szCs w:val="18"/>
              </w:rPr>
            </w:pPr>
            <w:r>
              <w:rPr>
                <w:rFonts w:ascii="宋体" w:hAnsi="宋体" w:cs="宋体" w:eastAsia="宋体" w:hint="default"/>
                <w:sz w:val="18"/>
                <w:szCs w:val="18"/>
              </w:rPr>
              <w:t>神奇时代语 音控制系统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0288961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2011SR025287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2011.5.3</w:t>
            </w:r>
          </w:p>
        </w:tc>
      </w:tr>
      <w:tr>
        <w:trPr>
          <w:trHeight w:val="946"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both"/>
              <w:rPr>
                <w:rFonts w:ascii="宋体" w:hAnsi="宋体" w:cs="宋体" w:eastAsia="宋体" w:hint="default"/>
                <w:sz w:val="18"/>
                <w:szCs w:val="18"/>
              </w:rPr>
            </w:pPr>
            <w:r>
              <w:rPr>
                <w:rFonts w:ascii="宋体" w:hAnsi="宋体" w:cs="宋体" w:eastAsia="宋体" w:hint="default"/>
                <w:sz w:val="18"/>
                <w:szCs w:val="18"/>
              </w:rPr>
              <w:t>神奇时代电信运营商 彩信制作上传和管理 工具软件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19"/>
              <w:jc w:val="left"/>
              <w:rPr>
                <w:rFonts w:ascii="宋体" w:hAnsi="宋体" w:cs="宋体" w:eastAsia="宋体" w:hint="default"/>
                <w:sz w:val="18"/>
                <w:szCs w:val="18"/>
              </w:rPr>
            </w:pPr>
            <w:r>
              <w:rPr>
                <w:rFonts w:ascii="宋体" w:hAnsi="宋体" w:cs="宋体" w:eastAsia="宋体" w:hint="default"/>
                <w:sz w:val="18"/>
                <w:szCs w:val="18"/>
              </w:rPr>
              <w:t>神奇时代彩 信制作平台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0288962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35"/>
              <w:jc w:val="right"/>
              <w:rPr>
                <w:rFonts w:ascii="Times New Roman" w:hAnsi="Times New Roman" w:cs="Times New Roman" w:eastAsia="Times New Roman" w:hint="default"/>
                <w:sz w:val="18"/>
                <w:szCs w:val="18"/>
              </w:rPr>
            </w:pPr>
            <w:r>
              <w:rPr>
                <w:rFonts w:ascii="Times New Roman"/>
                <w:spacing w:val="-1"/>
                <w:sz w:val="18"/>
              </w:rPr>
              <w:t>2011SR025288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Times New Roman" w:hAnsi="Times New Roman" w:cs="Times New Roman" w:eastAsia="Times New Roman" w:hint="default"/>
                <w:sz w:val="18"/>
                <w:szCs w:val="18"/>
              </w:rPr>
            </w:pPr>
            <w:r>
              <w:rPr>
                <w:rFonts w:ascii="Times New Roman"/>
                <w:sz w:val="18"/>
              </w:rPr>
              <w:t>2011.5.3</w:t>
            </w:r>
          </w:p>
        </w:tc>
      </w:tr>
      <w:tr>
        <w:trPr>
          <w:trHeight w:val="946"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both"/>
              <w:rPr>
                <w:rFonts w:ascii="宋体" w:hAnsi="宋体" w:cs="宋体" w:eastAsia="宋体" w:hint="default"/>
                <w:sz w:val="18"/>
                <w:szCs w:val="18"/>
              </w:rPr>
            </w:pPr>
            <w:r>
              <w:rPr>
                <w:rFonts w:ascii="宋体" w:hAnsi="宋体" w:cs="宋体" w:eastAsia="宋体" w:hint="default"/>
                <w:sz w:val="18"/>
                <w:szCs w:val="18"/>
              </w:rPr>
              <w:t>神奇时代电信运营商 彩铃上传及管理终端 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19"/>
              <w:jc w:val="left"/>
              <w:rPr>
                <w:rFonts w:ascii="宋体" w:hAnsi="宋体" w:cs="宋体" w:eastAsia="宋体" w:hint="default"/>
                <w:sz w:val="18"/>
                <w:szCs w:val="18"/>
              </w:rPr>
            </w:pPr>
            <w:r>
              <w:rPr>
                <w:rFonts w:ascii="宋体" w:hAnsi="宋体" w:cs="宋体" w:eastAsia="宋体" w:hint="default"/>
                <w:sz w:val="18"/>
                <w:szCs w:val="18"/>
              </w:rPr>
              <w:t>神奇时代彩 铃终端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0288964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35"/>
              <w:jc w:val="right"/>
              <w:rPr>
                <w:rFonts w:ascii="Times New Roman" w:hAnsi="Times New Roman" w:cs="Times New Roman" w:eastAsia="Times New Roman" w:hint="default"/>
                <w:sz w:val="18"/>
                <w:szCs w:val="18"/>
              </w:rPr>
            </w:pPr>
            <w:r>
              <w:rPr>
                <w:rFonts w:ascii="Times New Roman"/>
                <w:spacing w:val="-1"/>
                <w:sz w:val="18"/>
              </w:rPr>
              <w:t>2011SR025290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Times New Roman" w:hAnsi="Times New Roman" w:cs="Times New Roman" w:eastAsia="Times New Roman" w:hint="default"/>
                <w:sz w:val="18"/>
                <w:szCs w:val="18"/>
              </w:rPr>
            </w:pPr>
            <w:r>
              <w:rPr>
                <w:rFonts w:ascii="Times New Roman"/>
                <w:sz w:val="18"/>
              </w:rPr>
              <w:t>2011.5.3</w:t>
            </w:r>
          </w:p>
        </w:tc>
      </w:tr>
      <w:tr>
        <w:trPr>
          <w:trHeight w:val="63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202"/>
              <w:jc w:val="left"/>
              <w:rPr>
                <w:rFonts w:ascii="宋体" w:hAnsi="宋体" w:cs="宋体" w:eastAsia="宋体" w:hint="default"/>
                <w:sz w:val="18"/>
                <w:szCs w:val="18"/>
              </w:rPr>
            </w:pPr>
            <w:r>
              <w:rPr>
                <w:rFonts w:ascii="宋体" w:hAnsi="宋体" w:cs="宋体" w:eastAsia="宋体" w:hint="default"/>
                <w:sz w:val="18"/>
                <w:szCs w:val="18"/>
              </w:rPr>
              <w:t>神奇时代最游记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Line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最游记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OL</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0335223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2011SR071549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2011.10.8</w:t>
            </w:r>
          </w:p>
        </w:tc>
      </w:tr>
      <w:tr>
        <w:trPr>
          <w:trHeight w:val="63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神奇时代三国时代</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Online </w:t>
            </w:r>
            <w:r>
              <w:rPr>
                <w:rFonts w:ascii="宋体" w:hAnsi="宋体" w:cs="宋体" w:eastAsia="宋体" w:hint="default"/>
                <w:sz w:val="18"/>
                <w:szCs w:val="18"/>
              </w:rPr>
              <w:t>游戏软件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三国时代</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0380439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2012SR012403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2012.2.23</w:t>
            </w:r>
          </w:p>
        </w:tc>
      </w:tr>
      <w:tr>
        <w:trPr>
          <w:trHeight w:val="636"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神奇时代灭世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Online</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游戏软件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灭世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OL</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0391289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2012SR023253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2012.3.26</w:t>
            </w:r>
          </w:p>
        </w:tc>
      </w:tr>
      <w:tr>
        <w:trPr>
          <w:trHeight w:val="63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神奇时代新佣兵三国</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Online </w:t>
            </w:r>
            <w:r>
              <w:rPr>
                <w:rFonts w:ascii="宋体" w:hAnsi="宋体" w:cs="宋体" w:eastAsia="宋体" w:hint="default"/>
                <w:sz w:val="18"/>
                <w:szCs w:val="18"/>
              </w:rPr>
              <w:t>游戏软件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新佣兵三国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0398137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2012SR030101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2012.4.18</w:t>
            </w:r>
          </w:p>
        </w:tc>
      </w:tr>
      <w:tr>
        <w:trPr>
          <w:trHeight w:val="63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139"/>
              <w:jc w:val="left"/>
              <w:rPr>
                <w:rFonts w:ascii="宋体" w:hAnsi="宋体" w:cs="宋体" w:eastAsia="宋体" w:hint="default"/>
                <w:sz w:val="18"/>
                <w:szCs w:val="18"/>
              </w:rPr>
            </w:pPr>
            <w:r>
              <w:rPr>
                <w:rFonts w:ascii="宋体" w:hAnsi="宋体" w:cs="宋体" w:eastAsia="宋体" w:hint="default"/>
                <w:sz w:val="18"/>
                <w:szCs w:val="18"/>
              </w:rPr>
              <w:t>神奇时代忘仙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 戏软件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忘仙</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OL</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0433869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2012SR065833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2012.7.20</w:t>
            </w:r>
          </w:p>
        </w:tc>
      </w:tr>
      <w:tr>
        <w:trPr>
          <w:trHeight w:val="63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8"/>
              <w:jc w:val="left"/>
              <w:rPr>
                <w:rFonts w:ascii="宋体" w:hAnsi="宋体" w:cs="宋体" w:eastAsia="宋体" w:hint="default"/>
                <w:sz w:val="18"/>
                <w:szCs w:val="18"/>
              </w:rPr>
            </w:pPr>
            <w:r>
              <w:rPr>
                <w:rFonts w:ascii="宋体" w:hAnsi="宋体" w:cs="宋体" w:eastAsia="宋体" w:hint="default"/>
                <w:sz w:val="18"/>
                <w:szCs w:val="18"/>
              </w:rPr>
              <w:t>神奇时代游戏开发引 擎软件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254"/>
              <w:jc w:val="left"/>
              <w:rPr>
                <w:rFonts w:ascii="宋体" w:hAnsi="宋体" w:cs="宋体" w:eastAsia="宋体" w:hint="default"/>
                <w:sz w:val="18"/>
                <w:szCs w:val="18"/>
              </w:rPr>
            </w:pPr>
            <w:r>
              <w:rPr>
                <w:rFonts w:ascii="Times New Roman" w:hAnsi="Times New Roman" w:cs="Times New Roman" w:eastAsia="Times New Roman" w:hint="default"/>
                <w:sz w:val="18"/>
                <w:szCs w:val="18"/>
              </w:rPr>
              <w:t>SQG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游戏 引擎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0468072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2012SR100036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2012.10.24</w:t>
            </w:r>
          </w:p>
        </w:tc>
      </w:tr>
      <w:tr>
        <w:trPr>
          <w:trHeight w:val="63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神奇时代不江湖</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Online </w:t>
            </w:r>
            <w:r>
              <w:rPr>
                <w:rFonts w:ascii="宋体" w:hAnsi="宋体" w:cs="宋体" w:eastAsia="宋体" w:hint="default"/>
                <w:sz w:val="18"/>
                <w:szCs w:val="18"/>
              </w:rPr>
              <w:t>游戏软件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不江湖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OL</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0559556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2013SR053794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2013.6.3</w:t>
            </w:r>
          </w:p>
        </w:tc>
      </w:tr>
      <w:tr>
        <w:trPr>
          <w:trHeight w:val="63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神奇时代梦幻十一人 游戏软件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梦幻十一人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0642045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2013SR136283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2013.12.2</w:t>
            </w:r>
          </w:p>
        </w:tc>
      </w:tr>
      <w:tr>
        <w:trPr>
          <w:trHeight w:val="636"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0"/>
              <w:jc w:val="left"/>
              <w:rPr>
                <w:rFonts w:ascii="宋体" w:hAnsi="宋体" w:cs="宋体" w:eastAsia="宋体" w:hint="default"/>
                <w:sz w:val="18"/>
                <w:szCs w:val="18"/>
              </w:rPr>
            </w:pPr>
            <w:r>
              <w:rPr>
                <w:rFonts w:ascii="宋体" w:hAnsi="宋体" w:cs="宋体" w:eastAsia="宋体" w:hint="default"/>
                <w:sz w:val="18"/>
                <w:szCs w:val="18"/>
              </w:rPr>
              <w:t>神奇时代天天世界杯 游戏软件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天天世界杯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0647035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2013SR141273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2013.12.9</w:t>
            </w:r>
          </w:p>
        </w:tc>
      </w:tr>
      <w:tr>
        <w:trPr>
          <w:trHeight w:val="63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神奇时代卧虎藏龙</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Online </w:t>
            </w:r>
            <w:r>
              <w:rPr>
                <w:rFonts w:ascii="宋体" w:hAnsi="宋体" w:cs="宋体" w:eastAsia="宋体" w:hint="default"/>
                <w:sz w:val="18"/>
                <w:szCs w:val="18"/>
              </w:rPr>
              <w:t>游戏软件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卧虎藏龙</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0707117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2014SR037873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2014.4.3</w:t>
            </w:r>
          </w:p>
        </w:tc>
      </w:tr>
      <w:tr>
        <w:trPr>
          <w:trHeight w:val="63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神奇时代足球大逆袭 游戏软件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足球大逆袭</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0722672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2014SR053428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2014.5.4</w:t>
            </w:r>
          </w:p>
        </w:tc>
      </w:tr>
      <w:tr>
        <w:trPr>
          <w:trHeight w:val="63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神奇时代天堂之手</w:t>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OnLine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天堂之手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7"/>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0723681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2014SR054437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2014.5.6</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59" w:top="1340" w:bottom="1140" w:left="1680" w:right="1600"/>
        </w:sectPr>
      </w:pPr>
    </w:p>
    <w:p>
      <w:pPr>
        <w:pStyle w:val="Heading6"/>
        <w:spacing w:line="240" w:lineRule="auto" w:before="6"/>
        <w:ind w:left="583" w:right="0"/>
        <w:jc w:val="left"/>
      </w:pPr>
      <w:r>
        <w:rPr/>
        <w:pict>
          <v:group style="position:absolute;margin-left:200.850006pt;margin-top:216.649979pt;width:95.25pt;height:82.65pt;mso-position-horizontal-relative:page;mso-position-vertical-relative:page;z-index:-1039144" coordorigin="4017,4333" coordsize="1905,1653">
            <v:shape style="position:absolute;left:4462;top:4333;width:1005;height:795" type="#_x0000_t75" stroked="false">
              <v:imagedata r:id="rId14" o:title=""/>
            </v:shape>
            <v:shape style="position:absolute;left:4017;top:5146;width:1905;height:840" type="#_x0000_t75" stroked="false">
              <v:imagedata r:id="rId15" o:title=""/>
            </v:shape>
            <w10:wrap type="none"/>
          </v:group>
        </w:pict>
      </w:r>
      <w:r>
        <w:rPr/>
        <w:pict>
          <v:shape style="position:absolute;margin-left:222.350006pt;margin-top:300.499969pt;width:49.339231pt;height:39.270pt;mso-position-horizontal-relative:page;mso-position-vertical-relative:page;z-index:1096" type="#_x0000_t75" stroked="false">
            <v:imagedata r:id="rId16" o:title=""/>
          </v:shape>
        </w:pict>
      </w:r>
      <w:r>
        <w:rPr/>
        <w:pict>
          <v:shape style="position:absolute;margin-left:204.350006pt;margin-top:343.499969pt;width:89.112692pt;height:39.270pt;mso-position-horizontal-relative:page;mso-position-vertical-relative:page;z-index:1120" type="#_x0000_t75" stroked="false">
            <v:imagedata r:id="rId17" o:title=""/>
          </v:shape>
        </w:pict>
      </w:r>
      <w:r>
        <w:rPr/>
        <w:t>神奇时代注册商标如下：</w:t>
      </w:r>
    </w:p>
    <w:p>
      <w:pPr>
        <w:spacing w:line="240" w:lineRule="auto" w:before="11"/>
        <w:rPr>
          <w:rFonts w:ascii="宋体" w:hAnsi="宋体" w:cs="宋体" w:eastAsia="宋体" w:hint="default"/>
          <w:sz w:val="9"/>
          <w:szCs w:val="9"/>
        </w:rPr>
      </w:pPr>
    </w:p>
    <w:tbl>
      <w:tblPr>
        <w:tblW w:w="0" w:type="auto"/>
        <w:jc w:val="left"/>
        <w:tblInd w:w="158" w:type="dxa"/>
        <w:tblLayout w:type="fixed"/>
        <w:tblCellMar>
          <w:top w:w="0" w:type="dxa"/>
          <w:left w:w="0" w:type="dxa"/>
          <w:bottom w:w="0" w:type="dxa"/>
          <w:right w:w="0" w:type="dxa"/>
        </w:tblCellMar>
        <w:tblLook w:val="01E0"/>
      </w:tblPr>
      <w:tblGrid>
        <w:gridCol w:w="715"/>
        <w:gridCol w:w="1493"/>
        <w:gridCol w:w="1766"/>
        <w:gridCol w:w="1025"/>
        <w:gridCol w:w="1378"/>
        <w:gridCol w:w="994"/>
        <w:gridCol w:w="994"/>
      </w:tblGrid>
      <w:tr>
        <w:trPr>
          <w:trHeight w:val="413" w:hRule="exact"/>
        </w:trPr>
        <w:tc>
          <w:tcPr>
            <w:tcW w:w="71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right="235"/>
              <w:jc w:val="righ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49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b/>
                <w:bCs/>
                <w:sz w:val="18"/>
                <w:szCs w:val="18"/>
              </w:rPr>
              <w:t>商标名称</w:t>
            </w:r>
            <w:r>
              <w:rPr>
                <w:rFonts w:ascii="宋体" w:hAnsi="宋体" w:cs="宋体" w:eastAsia="宋体" w:hint="default"/>
                <w:sz w:val="18"/>
                <w:szCs w:val="18"/>
              </w:rPr>
            </w:r>
          </w:p>
        </w:tc>
        <w:tc>
          <w:tcPr>
            <w:tcW w:w="1766"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left="515" w:right="0"/>
              <w:jc w:val="left"/>
              <w:rPr>
                <w:rFonts w:ascii="宋体" w:hAnsi="宋体" w:cs="宋体" w:eastAsia="宋体" w:hint="default"/>
                <w:sz w:val="18"/>
                <w:szCs w:val="18"/>
              </w:rPr>
            </w:pPr>
            <w:r>
              <w:rPr>
                <w:rFonts w:ascii="宋体" w:hAnsi="宋体" w:cs="宋体" w:eastAsia="宋体" w:hint="default"/>
                <w:b/>
                <w:bCs/>
                <w:sz w:val="18"/>
                <w:szCs w:val="18"/>
              </w:rPr>
              <w:t>商标图形</w:t>
            </w:r>
            <w:r>
              <w:rPr>
                <w:rFonts w:ascii="宋体" w:hAnsi="宋体" w:cs="宋体" w:eastAsia="宋体" w:hint="default"/>
                <w:sz w:val="18"/>
                <w:szCs w:val="18"/>
              </w:rPr>
            </w:r>
          </w:p>
        </w:tc>
        <w:tc>
          <w:tcPr>
            <w:tcW w:w="102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left="146" w:right="0"/>
              <w:jc w:val="left"/>
              <w:rPr>
                <w:rFonts w:ascii="宋体" w:hAnsi="宋体" w:cs="宋体" w:eastAsia="宋体" w:hint="default"/>
                <w:sz w:val="18"/>
                <w:szCs w:val="18"/>
              </w:rPr>
            </w:pPr>
            <w:r>
              <w:rPr>
                <w:rFonts w:ascii="宋体" w:hAnsi="宋体" w:cs="宋体" w:eastAsia="宋体" w:hint="default"/>
                <w:b/>
                <w:bCs/>
                <w:sz w:val="18"/>
                <w:szCs w:val="18"/>
              </w:rPr>
              <w:t>注册日期</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发文编号</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代理文号</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r>
      <w:tr>
        <w:trPr>
          <w:trHeight w:val="1183" w:hRule="exact"/>
        </w:trPr>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08"/>
              <w:jc w:val="right"/>
              <w:rPr>
                <w:rFonts w:ascii="Times New Roman" w:hAnsi="Times New Roman" w:cs="Times New Roman" w:eastAsia="Times New Roman" w:hint="default"/>
                <w:sz w:val="18"/>
                <w:szCs w:val="18"/>
              </w:rPr>
            </w:pPr>
            <w:r>
              <w:rPr>
                <w:rFonts w:ascii="Times New Roman"/>
                <w:sz w:val="18"/>
              </w:rPr>
              <w:t>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神奇时代</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1039" w:lineRule="exact"/>
              <w:ind w:left="450" w:right="0"/>
              <w:jc w:val="left"/>
              <w:rPr>
                <w:rFonts w:ascii="宋体" w:hAnsi="宋体" w:cs="宋体" w:eastAsia="宋体" w:hint="default"/>
                <w:sz w:val="20"/>
                <w:szCs w:val="20"/>
              </w:rPr>
            </w:pPr>
            <w:r>
              <w:rPr>
                <w:rFonts w:ascii="宋体" w:hAnsi="宋体" w:cs="宋体" w:eastAsia="宋体" w:hint="default"/>
                <w:position w:val="-20"/>
                <w:sz w:val="20"/>
                <w:szCs w:val="20"/>
              </w:rPr>
              <w:drawing>
                <wp:inline distT="0" distB="0" distL="0" distR="0">
                  <wp:extent cx="510208" cy="660082"/>
                  <wp:effectExtent l="0" t="0" r="0" b="0"/>
                  <wp:docPr id="3" name="image6.png" descr=""/>
                  <wp:cNvGraphicFramePr>
                    <a:graphicFrameLocks noChangeAspect="1"/>
                  </wp:cNvGraphicFramePr>
                  <a:graphic>
                    <a:graphicData uri="http://schemas.openxmlformats.org/drawingml/2006/picture">
                      <pic:pic>
                        <pic:nvPicPr>
                          <pic:cNvPr id="4" name="image6.png"/>
                          <pic:cNvPicPr/>
                        </pic:nvPicPr>
                        <pic:blipFill>
                          <a:blip r:embed="rId18" cstate="print"/>
                          <a:stretch>
                            <a:fillRect/>
                          </a:stretch>
                        </pic:blipFill>
                        <pic:spPr>
                          <a:xfrm>
                            <a:off x="0" y="0"/>
                            <a:ext cx="510208" cy="660082"/>
                          </a:xfrm>
                          <a:prstGeom prst="rect">
                            <a:avLst/>
                          </a:prstGeom>
                        </pic:spPr>
                      </pic:pic>
                    </a:graphicData>
                  </a:graphic>
                </wp:inline>
              </w:drawing>
            </w:r>
            <w:r>
              <w:rPr>
                <w:rFonts w:ascii="宋体" w:hAnsi="宋体" w:cs="宋体" w:eastAsia="宋体" w:hint="default"/>
                <w:position w:val="-20"/>
                <w:sz w:val="20"/>
                <w:szCs w:val="20"/>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2012.12.3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ZC11780344SL</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6"/>
              <w:jc w:val="center"/>
              <w:rPr>
                <w:rFonts w:ascii="Times New Roman" w:hAnsi="Times New Roman" w:cs="Times New Roman" w:eastAsia="Times New Roman" w:hint="default"/>
                <w:sz w:val="18"/>
                <w:szCs w:val="18"/>
              </w:rPr>
            </w:pPr>
            <w:r>
              <w:rPr>
                <w:rFonts w:ascii="Times New Roman"/>
                <w:sz w:val="18"/>
              </w:rPr>
              <w:t>ZC12204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w:t>
            </w:r>
          </w:p>
        </w:tc>
      </w:tr>
      <w:tr>
        <w:trPr>
          <w:trHeight w:val="850" w:hRule="exact"/>
        </w:trPr>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308"/>
              <w:jc w:val="right"/>
              <w:rPr>
                <w:rFonts w:ascii="Times New Roman" w:hAnsi="Times New Roman" w:cs="Times New Roman" w:eastAsia="Times New Roman" w:hint="default"/>
                <w:sz w:val="18"/>
                <w:szCs w:val="18"/>
              </w:rPr>
            </w:pPr>
            <w:r>
              <w:rPr>
                <w:rFonts w:ascii="Times New Roman"/>
                <w:sz w:val="18"/>
              </w:rPr>
              <w:t>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忘仙</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772" w:lineRule="exact"/>
              <w:ind w:left="390" w:right="0"/>
              <w:jc w:val="left"/>
              <w:rPr>
                <w:rFonts w:ascii="宋体" w:hAnsi="宋体" w:cs="宋体" w:eastAsia="宋体" w:hint="default"/>
                <w:sz w:val="20"/>
                <w:szCs w:val="20"/>
              </w:rPr>
            </w:pPr>
            <w:r>
              <w:rPr>
                <w:rFonts w:ascii="宋体" w:hAnsi="宋体" w:cs="宋体" w:eastAsia="宋体" w:hint="default"/>
                <w:position w:val="-14"/>
                <w:sz w:val="20"/>
                <w:szCs w:val="20"/>
              </w:rPr>
              <w:drawing>
                <wp:inline distT="0" distB="0" distL="0" distR="0">
                  <wp:extent cx="624952" cy="490347"/>
                  <wp:effectExtent l="0" t="0" r="0" b="0"/>
                  <wp:docPr id="5" name="image7.jpeg" descr=""/>
                  <wp:cNvGraphicFramePr>
                    <a:graphicFrameLocks noChangeAspect="1"/>
                  </wp:cNvGraphicFramePr>
                  <a:graphic>
                    <a:graphicData uri="http://schemas.openxmlformats.org/drawingml/2006/picture">
                      <pic:pic>
                        <pic:nvPicPr>
                          <pic:cNvPr id="6" name="image7.jpeg"/>
                          <pic:cNvPicPr/>
                        </pic:nvPicPr>
                        <pic:blipFill>
                          <a:blip r:embed="rId19" cstate="print"/>
                          <a:stretch>
                            <a:fillRect/>
                          </a:stretch>
                        </pic:blipFill>
                        <pic:spPr>
                          <a:xfrm>
                            <a:off x="0" y="0"/>
                            <a:ext cx="624952" cy="490347"/>
                          </a:xfrm>
                          <a:prstGeom prst="rect">
                            <a:avLst/>
                          </a:prstGeom>
                        </pic:spPr>
                      </pic:pic>
                    </a:graphicData>
                  </a:graphic>
                </wp:inline>
              </w:drawing>
            </w:r>
            <w:r>
              <w:rPr>
                <w:rFonts w:ascii="宋体" w:hAnsi="宋体" w:cs="宋体" w:eastAsia="宋体" w:hint="default"/>
                <w:position w:val="-14"/>
                <w:sz w:val="20"/>
                <w:szCs w:val="20"/>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2012.12.03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ZC11782851SL</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6"/>
              <w:jc w:val="center"/>
              <w:rPr>
                <w:rFonts w:ascii="Times New Roman" w:hAnsi="Times New Roman" w:cs="Times New Roman" w:eastAsia="Times New Roman" w:hint="default"/>
                <w:sz w:val="18"/>
                <w:szCs w:val="18"/>
              </w:rPr>
            </w:pPr>
            <w:r>
              <w:rPr>
                <w:rFonts w:ascii="Times New Roman"/>
                <w:sz w:val="18"/>
              </w:rPr>
              <w:t>ZC12205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w:t>
            </w:r>
          </w:p>
        </w:tc>
      </w:tr>
      <w:tr>
        <w:trPr>
          <w:trHeight w:val="860" w:hRule="exact"/>
        </w:trPr>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308"/>
              <w:jc w:val="right"/>
              <w:rPr>
                <w:rFonts w:ascii="Times New Roman" w:hAnsi="Times New Roman" w:cs="Times New Roman" w:eastAsia="Times New Roman" w:hint="default"/>
                <w:sz w:val="18"/>
                <w:szCs w:val="18"/>
              </w:rPr>
            </w:pPr>
            <w:r>
              <w:rPr>
                <w:rFonts w:ascii="Times New Roman"/>
                <w:sz w:val="18"/>
              </w:rPr>
              <w:t>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忘仙</w:t>
            </w:r>
          </w:p>
        </w:tc>
        <w:tc>
          <w:tcPr>
            <w:tcW w:w="176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2012.12.03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ZC11782980SL</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6"/>
              <w:jc w:val="center"/>
              <w:rPr>
                <w:rFonts w:ascii="Times New Roman" w:hAnsi="Times New Roman" w:cs="Times New Roman" w:eastAsia="Times New Roman" w:hint="default"/>
                <w:sz w:val="18"/>
                <w:szCs w:val="18"/>
              </w:rPr>
            </w:pPr>
            <w:r>
              <w:rPr>
                <w:rFonts w:ascii="Times New Roman"/>
                <w:sz w:val="18"/>
              </w:rPr>
              <w:t>ZC12208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w:t>
            </w:r>
          </w:p>
        </w:tc>
      </w:tr>
      <w:tr>
        <w:trPr>
          <w:trHeight w:val="828" w:hRule="exact"/>
        </w:trPr>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08"/>
              <w:jc w:val="right"/>
              <w:rPr>
                <w:rFonts w:ascii="Times New Roman" w:hAnsi="Times New Roman" w:cs="Times New Roman" w:eastAsia="Times New Roman" w:hint="default"/>
                <w:sz w:val="18"/>
                <w:szCs w:val="18"/>
              </w:rPr>
            </w:pPr>
            <w:r>
              <w:rPr>
                <w:rFonts w:ascii="Times New Roman"/>
                <w:sz w:val="18"/>
              </w:rPr>
              <w:t>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卧虎藏龙</w:t>
            </w:r>
          </w:p>
        </w:tc>
        <w:tc>
          <w:tcPr>
            <w:tcW w:w="176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2014.03.10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ZC14042251SL</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6"/>
              <w:jc w:val="center"/>
              <w:rPr>
                <w:rFonts w:ascii="Times New Roman" w:hAnsi="Times New Roman" w:cs="Times New Roman" w:eastAsia="Times New Roman" w:hint="default"/>
                <w:sz w:val="18"/>
                <w:szCs w:val="18"/>
              </w:rPr>
            </w:pPr>
            <w:r>
              <w:rPr>
                <w:rFonts w:ascii="Times New Roman"/>
                <w:sz w:val="18"/>
              </w:rPr>
              <w:t>ZC14038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w:t>
            </w:r>
          </w:p>
        </w:tc>
      </w:tr>
      <w:tr>
        <w:trPr>
          <w:trHeight w:val="857" w:hRule="exact"/>
        </w:trPr>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308"/>
              <w:jc w:val="right"/>
              <w:rPr>
                <w:rFonts w:ascii="Times New Roman" w:hAnsi="Times New Roman" w:cs="Times New Roman" w:eastAsia="Times New Roman" w:hint="default"/>
                <w:sz w:val="18"/>
                <w:szCs w:val="18"/>
              </w:rPr>
            </w:pPr>
            <w:r>
              <w:rPr>
                <w:rFonts w:ascii="Times New Roman"/>
                <w:sz w:val="18"/>
              </w:rPr>
              <w:t>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足球大逆袭</w:t>
            </w:r>
          </w:p>
        </w:tc>
        <w:tc>
          <w:tcPr>
            <w:tcW w:w="176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2014.09.09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22"/>
              <w:ind w:left="103" w:right="283"/>
              <w:jc w:val="left"/>
              <w:rPr>
                <w:rFonts w:ascii="Times New Roman" w:hAnsi="Times New Roman" w:cs="Times New Roman" w:eastAsia="Times New Roman" w:hint="default"/>
                <w:sz w:val="18"/>
                <w:szCs w:val="18"/>
              </w:rPr>
            </w:pPr>
            <w:r>
              <w:rPr>
                <w:rFonts w:ascii="Times New Roman"/>
                <w:sz w:val="18"/>
              </w:rPr>
              <w:t>TMZC1446 2774ZCSL01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6"/>
              <w:jc w:val="center"/>
              <w:rPr>
                <w:rFonts w:ascii="Times New Roman" w:hAnsi="Times New Roman" w:cs="Times New Roman" w:eastAsia="Times New Roman" w:hint="default"/>
                <w:sz w:val="18"/>
                <w:szCs w:val="18"/>
              </w:rPr>
            </w:pPr>
            <w:r>
              <w:rPr>
                <w:rFonts w:ascii="Times New Roman"/>
                <w:sz w:val="18"/>
              </w:rPr>
              <w:t>ZC14093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w:t>
            </w:r>
          </w:p>
        </w:tc>
      </w:tr>
      <w:tr>
        <w:trPr>
          <w:trHeight w:val="854" w:hRule="exact"/>
        </w:trPr>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308"/>
              <w:jc w:val="right"/>
              <w:rPr>
                <w:rFonts w:ascii="Times New Roman" w:hAnsi="Times New Roman" w:cs="Times New Roman" w:eastAsia="Times New Roman" w:hint="default"/>
                <w:sz w:val="18"/>
                <w:szCs w:val="18"/>
              </w:rPr>
            </w:pPr>
            <w:r>
              <w:rPr>
                <w:rFonts w:ascii="Times New Roman"/>
                <w:sz w:val="18"/>
              </w:rPr>
              <w:t>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卧虎藏龙</w:t>
            </w:r>
            <w:r>
              <w:rPr>
                <w:rFonts w:ascii="Times New Roman" w:hAnsi="Times New Roman" w:cs="Times New Roman" w:eastAsia="Times New Roman" w:hint="default"/>
                <w:sz w:val="18"/>
                <w:szCs w:val="18"/>
              </w:rPr>
              <w:t>-</w:t>
            </w:r>
            <w:r>
              <w:rPr>
                <w:rFonts w:ascii="宋体" w:hAnsi="宋体" w:cs="宋体" w:eastAsia="宋体" w:hint="default"/>
                <w:sz w:val="18"/>
                <w:szCs w:val="18"/>
              </w:rPr>
              <w:t>韩国</w:t>
            </w:r>
          </w:p>
        </w:tc>
        <w:tc>
          <w:tcPr>
            <w:tcW w:w="176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2014.07.25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59" w:top="1480" w:bottom="1140" w:left="1680" w:right="1580"/>
        </w:sectPr>
      </w:pPr>
    </w:p>
    <w:p>
      <w:pPr>
        <w:spacing w:line="240" w:lineRule="auto" w:before="6"/>
        <w:rPr>
          <w:rFonts w:ascii="宋体" w:hAnsi="宋体" w:cs="宋体" w:eastAsia="宋体" w:hint="default"/>
          <w:sz w:val="19"/>
          <w:szCs w:val="19"/>
        </w:rPr>
      </w:pPr>
    </w:p>
    <w:p>
      <w:pPr>
        <w:pStyle w:val="Heading1"/>
        <w:spacing w:line="240" w:lineRule="auto"/>
        <w:ind w:left="2578" w:right="0"/>
        <w:jc w:val="left"/>
        <w:rPr>
          <w:b w:val="0"/>
          <w:bCs w:val="0"/>
        </w:rPr>
      </w:pPr>
      <w:bookmarkStart w:name="_TOC_250006" w:id="4"/>
      <w:r>
        <w:rPr/>
        <w:t>第四节管理层讨论与分析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26"/>
        <w:ind w:left="163" w:right="0"/>
        <w:jc w:val="left"/>
        <w:rPr>
          <w:b w:val="0"/>
          <w:bCs w:val="0"/>
        </w:rPr>
      </w:pPr>
      <w:r>
        <w:rPr/>
        <w:t>一、概述</w:t>
      </w:r>
      <w:r>
        <w:rPr>
          <w:b w:val="0"/>
          <w:bCs w:val="0"/>
        </w:rPr>
      </w:r>
    </w:p>
    <w:p>
      <w:pPr>
        <w:pStyle w:val="Heading6"/>
        <w:spacing w:line="391" w:lineRule="auto" w:before="179"/>
        <w:ind w:right="210" w:firstLine="419"/>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21"/>
        </w:rPr>
        <w:t> </w:t>
      </w:r>
      <w:r>
        <w:rPr/>
        <w:t>年，是公司上市后第一个五年发展的收官之年，也是公司从</w:t>
      </w:r>
      <w:r>
        <w:rPr>
          <w:rFonts w:ascii="Times New Roman" w:hAnsi="Times New Roman" w:cs="Times New Roman" w:eastAsia="Times New Roman" w:hint="default"/>
        </w:rPr>
        <w:t>“</w:t>
      </w:r>
      <w:r>
        <w:rPr/>
        <w:t>专注于教育出版和移</w:t>
      </w:r>
      <w:r>
        <w:rPr>
          <w:w w:val="100"/>
        </w:rPr>
        <w:t> </w:t>
      </w:r>
      <w:r>
        <w:rPr/>
        <w:t>动互联网娱乐</w:t>
      </w:r>
      <w:r>
        <w:rPr>
          <w:rFonts w:ascii="Times New Roman" w:hAnsi="Times New Roman" w:cs="Times New Roman" w:eastAsia="Times New Roman" w:hint="default"/>
        </w:rPr>
        <w:t>”</w:t>
      </w:r>
      <w:r>
        <w:rPr/>
        <w:t>向</w:t>
      </w:r>
      <w:r>
        <w:rPr>
          <w:rFonts w:ascii="Times New Roman" w:hAnsi="Times New Roman" w:cs="Times New Roman" w:eastAsia="Times New Roman" w:hint="default"/>
        </w:rPr>
        <w:t>“</w:t>
      </w:r>
      <w:r>
        <w:rPr/>
        <w:t>聚焦教育、娱乐、文化三大板块打造国内一流的文化产业集团</w:t>
      </w:r>
      <w:r>
        <w:rPr>
          <w:rFonts w:ascii="Times New Roman" w:hAnsi="Times New Roman" w:cs="Times New Roman" w:eastAsia="Times New Roman" w:hint="default"/>
        </w:rPr>
        <w:t>”</w:t>
      </w:r>
      <w:r>
        <w:rPr/>
        <w:t>战略调整</w:t>
      </w:r>
      <w:r>
        <w:rPr>
          <w:spacing w:val="-4"/>
        </w:rPr>
        <w:t> </w:t>
      </w:r>
      <w:r>
        <w:rPr>
          <w:spacing w:val="-4"/>
        </w:rPr>
      </w:r>
      <w:r>
        <w:rPr>
          <w:spacing w:val="-5"/>
        </w:rPr>
        <w:t>的起航之年，是公司转型升级、整合布局之年。</w:t>
      </w:r>
      <w:r>
        <w:rPr>
          <w:rFonts w:ascii="Times New Roman" w:hAnsi="Times New Roman" w:cs="Times New Roman" w:eastAsia="Times New Roman" w:hint="default"/>
          <w:spacing w:val="-5"/>
        </w:rPr>
        <w:t>2015 </w:t>
      </w:r>
      <w:r>
        <w:rPr>
          <w:spacing w:val="-3"/>
        </w:rPr>
        <w:t>年，公司抢抓国家大力发展文化传媒行</w:t>
      </w:r>
      <w:r>
        <w:rPr>
          <w:spacing w:val="-72"/>
        </w:rPr>
        <w:t> </w:t>
      </w:r>
      <w:r>
        <w:rPr>
          <w:spacing w:val="-72"/>
        </w:rPr>
      </w:r>
      <w:r>
        <w:rPr>
          <w:spacing w:val="-3"/>
        </w:rPr>
        <w:t>业机遇，适时调整经营策略，积极布局教育资源与服务、移动互联网娱乐、优秀文化的传承</w:t>
      </w:r>
      <w:r>
        <w:rPr>
          <w:spacing w:val="-28"/>
        </w:rPr>
        <w:t> </w:t>
      </w:r>
      <w:r>
        <w:rPr>
          <w:spacing w:val="-28"/>
        </w:rPr>
      </w:r>
      <w:r>
        <w:rPr/>
        <w:t>与传播三大领域，加快推进行业整合和并购重组，加速转型步伐，推动公司跨越发展。</w:t>
      </w:r>
    </w:p>
    <w:p>
      <w:pPr>
        <w:pStyle w:val="Heading5"/>
        <w:spacing w:line="240" w:lineRule="auto" w:before="61"/>
        <w:ind w:left="585" w:right="0"/>
        <w:jc w:val="left"/>
        <w:rPr>
          <w:b w:val="0"/>
          <w:bCs w:val="0"/>
        </w:rPr>
      </w:pPr>
      <w:r>
        <w:rPr>
          <w:rFonts w:ascii="Times New Roman" w:hAnsi="Times New Roman" w:cs="Times New Roman" w:eastAsia="Times New Roman" w:hint="default"/>
        </w:rPr>
        <w:t>1</w:t>
      </w:r>
      <w:r>
        <w:rPr/>
        <w:t>、经营业绩持续提升</w:t>
      </w:r>
      <w:r>
        <w:rPr>
          <w:b w:val="0"/>
          <w:bCs w:val="0"/>
        </w:rPr>
      </w:r>
    </w:p>
    <w:p>
      <w:pPr>
        <w:pStyle w:val="Heading6"/>
        <w:spacing w:line="240" w:lineRule="auto" w:before="177"/>
        <w:ind w:left="583"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44"/>
        </w:rPr>
        <w:t> </w:t>
      </w:r>
      <w:r>
        <w:rPr>
          <w:spacing w:val="-4"/>
        </w:rPr>
        <w:t>年，公司围绕发展战略和年度经营目标，积极推进各项工作，全年实现营业总收入</w:t>
      </w:r>
    </w:p>
    <w:p>
      <w:pPr>
        <w:pStyle w:val="Heading6"/>
        <w:spacing w:line="386" w:lineRule="auto" w:before="177"/>
        <w:ind w:right="209"/>
        <w:jc w:val="left"/>
      </w:pPr>
      <w:r>
        <w:rPr>
          <w:rFonts w:ascii="Times New Roman" w:hAnsi="Times New Roman" w:cs="Times New Roman" w:eastAsia="Times New Roman" w:hint="default"/>
        </w:rPr>
        <w:t>54,428.25</w:t>
      </w:r>
      <w:r>
        <w:rPr>
          <w:rFonts w:ascii="Times New Roman" w:hAnsi="Times New Roman" w:cs="Times New Roman" w:eastAsia="Times New Roman" w:hint="default"/>
          <w:spacing w:val="-7"/>
        </w:rPr>
        <w:t> </w:t>
      </w:r>
      <w:r>
        <w:rPr/>
        <w:t>万元，同比增加</w:t>
      </w:r>
      <w:r>
        <w:rPr>
          <w:spacing w:val="-59"/>
        </w:rPr>
        <w:t> </w:t>
      </w:r>
      <w:r>
        <w:rPr>
          <w:rFonts w:ascii="Times New Roman" w:hAnsi="Times New Roman" w:cs="Times New Roman" w:eastAsia="Times New Roman" w:hint="default"/>
        </w:rPr>
        <w:t>5.53%</w:t>
      </w:r>
      <w:r>
        <w:rPr/>
        <w:t>；实现营业利润</w:t>
      </w:r>
      <w:r>
        <w:rPr>
          <w:spacing w:val="-57"/>
        </w:rPr>
        <w:t> </w:t>
      </w:r>
      <w:r>
        <w:rPr>
          <w:rFonts w:ascii="Times New Roman" w:hAnsi="Times New Roman" w:cs="Times New Roman" w:eastAsia="Times New Roman" w:hint="default"/>
        </w:rPr>
        <w:t>20,673.29</w:t>
      </w:r>
      <w:r>
        <w:rPr>
          <w:rFonts w:ascii="Times New Roman" w:hAnsi="Times New Roman" w:cs="Times New Roman" w:eastAsia="Times New Roman" w:hint="default"/>
          <w:spacing w:val="-6"/>
        </w:rPr>
        <w:t> </w:t>
      </w:r>
      <w:r>
        <w:rPr/>
        <w:t>万元，同比增加</w:t>
      </w:r>
      <w:r>
        <w:rPr>
          <w:spacing w:val="-57"/>
        </w:rPr>
        <w:t> </w:t>
      </w:r>
      <w:r>
        <w:rPr>
          <w:rFonts w:ascii="Times New Roman" w:hAnsi="Times New Roman" w:cs="Times New Roman" w:eastAsia="Times New Roman" w:hint="default"/>
        </w:rPr>
        <w:t>52.28%</w:t>
      </w:r>
      <w:r>
        <w:rPr/>
        <w:t>；实现归</w:t>
      </w:r>
      <w:r>
        <w:rPr>
          <w:w w:val="100"/>
        </w:rPr>
        <w:t> </w:t>
      </w:r>
      <w:r>
        <w:rPr/>
        <w:t>属于上市公司股东利润</w:t>
      </w:r>
      <w:r>
        <w:rPr>
          <w:spacing w:val="-54"/>
        </w:rPr>
        <w:t> </w:t>
      </w:r>
      <w:r>
        <w:rPr>
          <w:rFonts w:ascii="Times New Roman" w:hAnsi="Times New Roman" w:cs="Times New Roman" w:eastAsia="Times New Roman" w:hint="default"/>
        </w:rPr>
        <w:t>17,621.79</w:t>
      </w:r>
      <w:r>
        <w:rPr>
          <w:rFonts w:ascii="Times New Roman" w:hAnsi="Times New Roman" w:cs="Times New Roman" w:eastAsia="Times New Roman" w:hint="default"/>
          <w:spacing w:val="-5"/>
        </w:rPr>
        <w:t> </w:t>
      </w:r>
      <w:r>
        <w:rPr/>
        <w:t>万元，同比增加</w:t>
      </w:r>
      <w:r>
        <w:rPr>
          <w:spacing w:val="-55"/>
        </w:rPr>
        <w:t> </w:t>
      </w:r>
      <w:r>
        <w:rPr>
          <w:rFonts w:ascii="Times New Roman" w:hAnsi="Times New Roman" w:cs="Times New Roman" w:eastAsia="Times New Roman" w:hint="default"/>
        </w:rPr>
        <w:t>49.01%</w:t>
      </w:r>
      <w:r>
        <w:rPr/>
        <w:t>。</w:t>
      </w:r>
    </w:p>
    <w:p>
      <w:pPr>
        <w:pStyle w:val="Heading6"/>
        <w:spacing w:line="403" w:lineRule="auto" w:before="35"/>
        <w:ind w:right="0" w:firstLine="419"/>
        <w:jc w:val="left"/>
      </w:pPr>
      <w:r>
        <w:rPr>
          <w:spacing w:val="-5"/>
        </w:rPr>
        <w:t>报告期内，公司教育出版业务稳健发展，布局心理健康教育服务，广设省外营销分公司，</w:t>
      </w:r>
      <w:r>
        <w:rPr>
          <w:w w:val="100"/>
        </w:rPr>
        <w:t> </w:t>
      </w:r>
      <w:r>
        <w:rPr>
          <w:spacing w:val="-3"/>
        </w:rPr>
        <w:t>通过与已有子分公司整合初步实现全国营销网络的布局；移动互联网娱乐业务持续增长，子</w:t>
      </w:r>
      <w:r>
        <w:rPr>
          <w:spacing w:val="-28"/>
        </w:rPr>
        <w:t> </w:t>
      </w:r>
      <w:r>
        <w:rPr>
          <w:spacing w:val="-28"/>
        </w:rPr>
      </w:r>
      <w:r>
        <w:rPr>
          <w:spacing w:val="-5"/>
        </w:rPr>
        <w:t>公司神奇时代经典游戏产品《忘仙》等依然保持平稳的经营状态及产品竞争力，</w:t>
      </w:r>
      <w:r>
        <w:rPr>
          <w:rFonts w:ascii="Times New Roman" w:hAnsi="Times New Roman" w:cs="Times New Roman" w:eastAsia="Times New Roman" w:hint="default"/>
          <w:spacing w:val="-5"/>
        </w:rPr>
        <w:t>3D </w:t>
      </w:r>
      <w:r>
        <w:rPr>
          <w:spacing w:val="-10"/>
        </w:rPr>
        <w:t>手游《卧</w:t>
      </w:r>
      <w:r>
        <w:rPr>
          <w:spacing w:val="-67"/>
        </w:rPr>
        <w:t> </w:t>
      </w:r>
      <w:r>
        <w:rPr>
          <w:spacing w:val="-67"/>
        </w:rPr>
      </w:r>
      <w:r>
        <w:rPr>
          <w:spacing w:val="-3"/>
        </w:rPr>
        <w:t>虎藏龙》在港澳台版本和大陆安卓版基础上，发行了韩文版和东南亚版本，并开启大陆苹果</w:t>
      </w:r>
      <w:r>
        <w:rPr>
          <w:spacing w:val="-33"/>
        </w:rPr>
        <w:t> </w:t>
      </w:r>
      <w:r>
        <w:rPr>
          <w:spacing w:val="-33"/>
        </w:rPr>
      </w:r>
      <w:r>
        <w:rPr/>
        <w:t>版上线运营，继续保持良好发展态势，公司业绩保持持续增长。</w:t>
      </w:r>
    </w:p>
    <w:p>
      <w:pPr>
        <w:spacing w:line="386" w:lineRule="auto" w:before="50"/>
        <w:ind w:left="583"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、投资并购取得重大进展</w:t>
      </w:r>
      <w:r>
        <w:rPr>
          <w:rFonts w:ascii="宋体" w:hAnsi="宋体" w:cs="宋体" w:eastAsia="宋体" w:hint="default"/>
          <w:b/>
          <w:bCs/>
          <w:w w:val="100"/>
          <w:sz w:val="21"/>
          <w:szCs w:val="21"/>
        </w:rPr>
        <w:t> </w:t>
      </w:r>
      <w:r>
        <w:rPr>
          <w:rFonts w:ascii="宋体" w:hAnsi="宋体" w:cs="宋体" w:eastAsia="宋体" w:hint="default"/>
          <w:spacing w:val="-3"/>
          <w:sz w:val="21"/>
          <w:szCs w:val="21"/>
        </w:rPr>
        <w:t>报告期内，聚焦教育、娱乐、文化三大板块，公司积极利用资本市场发展机遇，加快推</w:t>
      </w:r>
    </w:p>
    <w:p>
      <w:pPr>
        <w:pStyle w:val="Heading6"/>
        <w:spacing w:line="240" w:lineRule="auto" w:before="65"/>
        <w:ind w:right="0"/>
        <w:jc w:val="left"/>
      </w:pPr>
      <w:r>
        <w:rPr/>
        <w:t>进对外投资与并购重组。</w:t>
      </w:r>
    </w:p>
    <w:p>
      <w:pPr>
        <w:spacing w:line="240" w:lineRule="auto" w:before="11"/>
        <w:rPr>
          <w:rFonts w:ascii="宋体" w:hAnsi="宋体" w:cs="宋体" w:eastAsia="宋体" w:hint="default"/>
          <w:sz w:val="14"/>
          <w:szCs w:val="14"/>
        </w:rPr>
      </w:pPr>
    </w:p>
    <w:p>
      <w:pPr>
        <w:pStyle w:val="Heading6"/>
        <w:spacing w:line="398" w:lineRule="auto"/>
        <w:ind w:right="210" w:firstLine="419"/>
        <w:jc w:val="both"/>
      </w:pPr>
      <w:r>
        <w:rPr/>
        <w:t>（</w:t>
      </w:r>
      <w:r>
        <w:rPr>
          <w:rFonts w:ascii="Times New Roman" w:hAnsi="Times New Roman" w:cs="Times New Roman" w:eastAsia="Times New Roman" w:hint="default"/>
        </w:rPr>
        <w:t>1</w:t>
      </w:r>
      <w:r>
        <w:rPr/>
        <w:t>）教育板块，公司投资</w:t>
      </w:r>
      <w:r>
        <w:rPr>
          <w:spacing w:val="-41"/>
        </w:rPr>
        <w:t> </w:t>
      </w:r>
      <w:r>
        <w:rPr>
          <w:rFonts w:ascii="Times New Roman" w:hAnsi="Times New Roman" w:cs="Times New Roman" w:eastAsia="Times New Roman" w:hint="default"/>
        </w:rPr>
        <w:t>1.7</w:t>
      </w:r>
      <w:r>
        <w:rPr>
          <w:rFonts w:ascii="Times New Roman" w:hAnsi="Times New Roman" w:cs="Times New Roman" w:eastAsia="Times New Roman" w:hint="default"/>
          <w:spacing w:val="11"/>
        </w:rPr>
        <w:t> </w:t>
      </w:r>
      <w:r>
        <w:rPr/>
        <w:t>亿元参股</w:t>
      </w:r>
      <w:r>
        <w:rPr>
          <w:spacing w:val="-44"/>
        </w:rPr>
        <w:t> </w:t>
      </w:r>
      <w:r>
        <w:rPr>
          <w:rFonts w:ascii="Times New Roman" w:hAnsi="Times New Roman" w:cs="Times New Roman" w:eastAsia="Times New Roman" w:hint="default"/>
        </w:rPr>
        <w:t>O2O</w:t>
      </w:r>
      <w:r>
        <w:rPr>
          <w:rFonts w:ascii="Times New Roman" w:hAnsi="Times New Roman" w:cs="Times New Roman" w:eastAsia="Times New Roman" w:hint="default"/>
          <w:spacing w:val="13"/>
        </w:rPr>
        <w:t> </w:t>
      </w:r>
      <w:r>
        <w:rPr/>
        <w:t>教育线上平台决胜网</w:t>
      </w:r>
      <w:r>
        <w:rPr>
          <w:spacing w:val="-44"/>
        </w:rPr>
        <w:t> </w:t>
      </w:r>
      <w:r>
        <w:rPr>
          <w:rFonts w:ascii="Times New Roman" w:hAnsi="Times New Roman" w:cs="Times New Roman" w:eastAsia="Times New Roman" w:hint="default"/>
        </w:rPr>
        <w:t>18.889%</w:t>
      </w:r>
      <w:r>
        <w:rPr/>
        <w:t>股权，将公</w:t>
      </w:r>
      <w:r>
        <w:rPr>
          <w:w w:val="100"/>
        </w:rPr>
        <w:t> </w:t>
      </w:r>
      <w:r>
        <w:rPr>
          <w:spacing w:val="-3"/>
        </w:rPr>
        <w:t>司线下的教育资源和渠道优势与在线教育平台的数据和用户体量进行优势互补，改善公司业</w:t>
      </w:r>
      <w:r>
        <w:rPr>
          <w:spacing w:val="-27"/>
        </w:rPr>
        <w:t> </w:t>
      </w:r>
      <w:r>
        <w:rPr>
          <w:spacing w:val="-27"/>
        </w:rPr>
      </w:r>
      <w:r>
        <w:rPr>
          <w:spacing w:val="-3"/>
        </w:rPr>
        <w:t>务结构，实现公司由教辅出版向教育内容提供商角色的升级，助推传统教育资源转型；公司</w:t>
      </w:r>
      <w:r>
        <w:rPr>
          <w:spacing w:val="-35"/>
        </w:rPr>
        <w:t> </w:t>
      </w:r>
      <w:r>
        <w:rPr>
          <w:spacing w:val="-35"/>
        </w:rPr>
      </w:r>
      <w:r>
        <w:rPr>
          <w:spacing w:val="-3"/>
        </w:rPr>
        <w:t>以自有教育出版资源为基础，拟通过控股人民今典 </w:t>
      </w:r>
      <w:r>
        <w:rPr>
          <w:rFonts w:ascii="Times New Roman" w:hAnsi="Times New Roman" w:cs="Times New Roman" w:eastAsia="Times New Roman" w:hint="default"/>
          <w:spacing w:val="-3"/>
        </w:rPr>
        <w:t>51%</w:t>
      </w:r>
      <w:r>
        <w:rPr>
          <w:spacing w:val="-3"/>
        </w:rPr>
        <w:t>股权，实现传统线下教育资源的积累</w:t>
      </w:r>
      <w:r>
        <w:rPr>
          <w:spacing w:val="-97"/>
        </w:rPr>
        <w:t> </w:t>
      </w:r>
      <w:r>
        <w:rPr>
          <w:spacing w:val="-97"/>
        </w:rPr>
      </w:r>
      <w:r>
        <w:rPr/>
        <w:t>和整合。</w:t>
      </w:r>
    </w:p>
    <w:p>
      <w:pPr>
        <w:pStyle w:val="Heading6"/>
        <w:spacing w:line="386" w:lineRule="auto" w:before="54"/>
        <w:ind w:right="210" w:firstLine="419"/>
        <w:jc w:val="both"/>
      </w:pPr>
      <w:r>
        <w:rPr/>
        <w:t>（</w:t>
      </w:r>
      <w:r>
        <w:rPr>
          <w:rFonts w:ascii="Times New Roman" w:hAnsi="Times New Roman" w:cs="Times New Roman" w:eastAsia="Times New Roman" w:hint="default"/>
        </w:rPr>
        <w:t>2</w:t>
      </w:r>
      <w:r>
        <w:rPr/>
        <w:t>）娱乐板块，公司投资 </w:t>
      </w:r>
      <w:r>
        <w:rPr>
          <w:rFonts w:ascii="Times New Roman" w:hAnsi="Times New Roman" w:cs="Times New Roman" w:eastAsia="Times New Roman" w:hint="default"/>
        </w:rPr>
        <w:t>6,000 </w:t>
      </w:r>
      <w:r>
        <w:rPr/>
        <w:t>万元参股了专注于移动游戏发行业务的初见科技</w:t>
      </w:r>
      <w:r>
        <w:rPr>
          <w:spacing w:val="-60"/>
        </w:rPr>
        <w:t> </w:t>
      </w:r>
      <w:r>
        <w:rPr>
          <w:rFonts w:ascii="Times New Roman" w:hAnsi="Times New Roman" w:cs="Times New Roman" w:eastAsia="Times New Roman" w:hint="default"/>
        </w:rPr>
        <w:t>15%</w:t>
      </w:r>
      <w:r>
        <w:rPr>
          <w:rFonts w:ascii="Times New Roman" w:hAnsi="Times New Roman" w:cs="Times New Roman" w:eastAsia="Times New Roman" w:hint="default"/>
          <w:w w:val="100"/>
        </w:rPr>
        <w:t> </w:t>
      </w:r>
      <w:r>
        <w:rPr>
          <w:spacing w:val="-7"/>
        </w:rPr>
        <w:t>股权，投资</w:t>
      </w:r>
      <w:r>
        <w:rPr>
          <w:spacing w:val="-44"/>
        </w:rPr>
        <w:t> </w:t>
      </w:r>
      <w:r>
        <w:rPr>
          <w:rFonts w:ascii="Times New Roman" w:hAnsi="Times New Roman" w:cs="Times New Roman" w:eastAsia="Times New Roman" w:hint="default"/>
        </w:rPr>
        <w:t>1400</w:t>
      </w:r>
      <w:r>
        <w:rPr>
          <w:rFonts w:ascii="Times New Roman" w:hAnsi="Times New Roman" w:cs="Times New Roman" w:eastAsia="Times New Roman" w:hint="default"/>
          <w:spacing w:val="6"/>
        </w:rPr>
        <w:t> </w:t>
      </w:r>
      <w:r>
        <w:rPr/>
        <w:t>万元参股了游戏研发实力突出的银河数娱</w:t>
      </w:r>
      <w:r>
        <w:rPr>
          <w:spacing w:val="-43"/>
        </w:rPr>
        <w:t> </w:t>
      </w:r>
      <w:r>
        <w:rPr>
          <w:rFonts w:ascii="Times New Roman" w:hAnsi="Times New Roman" w:cs="Times New Roman" w:eastAsia="Times New Roman" w:hint="default"/>
          <w:spacing w:val="-4"/>
        </w:rPr>
        <w:t>2%</w:t>
      </w:r>
      <w:r>
        <w:rPr>
          <w:spacing w:val="-4"/>
        </w:rPr>
        <w:t>股权，拟以非公开发行股份及</w:t>
      </w:r>
      <w:r>
        <w:rPr>
          <w:spacing w:val="-101"/>
        </w:rPr>
        <w:t> </w:t>
      </w:r>
      <w:r>
        <w:rPr>
          <w:spacing w:val="-101"/>
        </w:rPr>
      </w:r>
      <w:r>
        <w:rPr/>
        <w:t>支付现金方式购买国内知名手游开发商和运营商游爱网络</w:t>
      </w:r>
      <w:r>
        <w:rPr>
          <w:spacing w:val="-6"/>
        </w:rPr>
        <w:t> </w:t>
      </w:r>
      <w:r>
        <w:rPr>
          <w:rFonts w:ascii="Times New Roman" w:hAnsi="Times New Roman" w:cs="Times New Roman" w:eastAsia="Times New Roman" w:hint="default"/>
        </w:rPr>
        <w:t>100%</w:t>
      </w:r>
      <w:r>
        <w:rPr/>
        <w:t>股权，拟投资专注动漫二次</w:t>
      </w:r>
      <w:r>
        <w:rPr>
          <w:w w:val="100"/>
        </w:rPr>
        <w:t> </w:t>
      </w:r>
      <w:r>
        <w:rPr/>
        <w:t>元游戏发行、运营及 </w:t>
      </w:r>
      <w:r>
        <w:rPr>
          <w:rFonts w:ascii="Times New Roman" w:hAnsi="Times New Roman" w:cs="Times New Roman" w:eastAsia="Times New Roman" w:hint="default"/>
        </w:rPr>
        <w:t>IP </w:t>
      </w:r>
      <w:r>
        <w:rPr/>
        <w:t>资源泛娱乐化的派娱科技</w:t>
      </w:r>
      <w:r>
        <w:rPr>
          <w:spacing w:val="-40"/>
        </w:rPr>
        <w:t> </w:t>
      </w:r>
      <w:r>
        <w:rPr>
          <w:rFonts w:ascii="Times New Roman" w:hAnsi="Times New Roman" w:cs="Times New Roman" w:eastAsia="Times New Roman" w:hint="default"/>
        </w:rPr>
        <w:t>51%</w:t>
      </w:r>
      <w:r>
        <w:rPr/>
        <w:t>股权等，通过一系列投资并购，丰富</w:t>
      </w:r>
    </w:p>
    <w:p>
      <w:pPr>
        <w:spacing w:after="0" w:line="386" w:lineRule="auto"/>
        <w:jc w:val="both"/>
        <w:sectPr>
          <w:pgSz w:w="11910" w:h="16840"/>
          <w:pgMar w:header="0" w:footer="959" w:top="1580" w:bottom="1140" w:left="1680" w:right="1480"/>
        </w:sectPr>
      </w:pPr>
    </w:p>
    <w:p>
      <w:pPr>
        <w:pStyle w:val="Heading6"/>
        <w:spacing w:line="408" w:lineRule="auto" w:before="6"/>
        <w:ind w:left="263" w:right="0"/>
        <w:jc w:val="left"/>
      </w:pPr>
      <w:r>
        <w:rPr>
          <w:spacing w:val="-3"/>
        </w:rPr>
        <w:t>公司在移动互联网娱乐领域的产品类型，增强公司在该领域的研发、发行、运营方面的业务</w:t>
      </w:r>
      <w:r>
        <w:rPr>
          <w:spacing w:val="-33"/>
        </w:rPr>
        <w:t> </w:t>
      </w:r>
      <w:r>
        <w:rPr>
          <w:spacing w:val="-33"/>
        </w:rPr>
      </w:r>
      <w:r>
        <w:rPr/>
        <w:t>实力，实现在移动互联网娱乐的全产业链布局，打造新的利润增长点。</w:t>
      </w:r>
    </w:p>
    <w:p>
      <w:pPr>
        <w:pStyle w:val="Heading6"/>
        <w:spacing w:line="398" w:lineRule="auto" w:before="46"/>
        <w:ind w:left="263" w:right="110" w:firstLine="419"/>
        <w:jc w:val="both"/>
      </w:pPr>
      <w:r>
        <w:rPr/>
        <w:t>（</w:t>
      </w:r>
      <w:r>
        <w:rPr>
          <w:rFonts w:ascii="Times New Roman" w:hAnsi="Times New Roman" w:cs="Times New Roman" w:eastAsia="Times New Roman" w:hint="default"/>
        </w:rPr>
        <w:t>3</w:t>
      </w:r>
      <w:r>
        <w:rPr/>
        <w:t>）文化板块，公司与人民出版社共同出资设立人民天舟从事对外专项出版业务，已</w:t>
      </w:r>
      <w:r>
        <w:rPr>
          <w:w w:val="100"/>
        </w:rPr>
        <w:t> </w:t>
      </w:r>
      <w:r>
        <w:rPr>
          <w:spacing w:val="-3"/>
        </w:rPr>
        <w:t>获得国家新闻出版广电总局批复。此次公司作为非公有制文化企业，首批获得对外专项出版</w:t>
      </w:r>
      <w:r>
        <w:rPr>
          <w:spacing w:val="-28"/>
        </w:rPr>
        <w:t> </w:t>
      </w:r>
      <w:r>
        <w:rPr>
          <w:spacing w:val="-28"/>
        </w:rPr>
      </w:r>
      <w:r>
        <w:rPr/>
        <w:t>权，实现了文化产业发展重大突破，有利于进一步拓展海外市场。</w:t>
      </w:r>
    </w:p>
    <w:p>
      <w:pPr>
        <w:spacing w:line="386" w:lineRule="auto" w:before="54"/>
        <w:ind w:left="683"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、提升内部管理，启动员工持股计划</w:t>
      </w:r>
      <w:r>
        <w:rPr>
          <w:rFonts w:ascii="宋体" w:hAnsi="宋体" w:cs="宋体" w:eastAsia="宋体" w:hint="default"/>
          <w:b/>
          <w:bCs/>
          <w:w w:val="100"/>
          <w:sz w:val="21"/>
          <w:szCs w:val="21"/>
        </w:rPr>
        <w:t> </w:t>
      </w:r>
      <w:r>
        <w:rPr>
          <w:rFonts w:ascii="宋体" w:hAnsi="宋体" w:cs="宋体" w:eastAsia="宋体" w:hint="default"/>
          <w:spacing w:val="-3"/>
          <w:sz w:val="21"/>
          <w:szCs w:val="21"/>
        </w:rPr>
        <w:t>报告期内，加强组织建设，总部作为战略、投资、管理和服务中心职能进一步凸显；加</w:t>
      </w:r>
    </w:p>
    <w:p>
      <w:pPr>
        <w:pStyle w:val="Heading6"/>
        <w:spacing w:line="408" w:lineRule="auto" w:before="65"/>
        <w:ind w:left="263" w:right="110"/>
        <w:jc w:val="both"/>
      </w:pPr>
      <w:r>
        <w:rPr>
          <w:spacing w:val="-3"/>
        </w:rPr>
        <w:t>大内控建设，规范内控体系，强化内控制度梳理和完善，积极开展专项审计检查，实现内部</w:t>
      </w:r>
      <w:r>
        <w:rPr>
          <w:spacing w:val="-28"/>
        </w:rPr>
        <w:t> </w:t>
      </w:r>
      <w:r>
        <w:rPr>
          <w:spacing w:val="-28"/>
        </w:rPr>
      </w:r>
      <w:r>
        <w:rPr>
          <w:spacing w:val="-3"/>
        </w:rPr>
        <w:t>审计全覆盖，督促各项问题及时整改；强化企业文化建设，通过新版官网上线，总部办公大</w:t>
      </w:r>
      <w:r>
        <w:rPr>
          <w:spacing w:val="-28"/>
        </w:rPr>
        <w:t> </w:t>
      </w:r>
      <w:r>
        <w:rPr>
          <w:spacing w:val="-28"/>
        </w:rPr>
      </w:r>
      <w:r>
        <w:rPr>
          <w:spacing w:val="-3"/>
        </w:rPr>
        <w:t>楼迁入湘江新区等，扩大公司的品牌影响力；加强外部人才引进和内部人才选拔，加大人才</w:t>
      </w:r>
      <w:r>
        <w:rPr>
          <w:spacing w:val="-36"/>
        </w:rPr>
        <w:t> </w:t>
      </w:r>
      <w:r>
        <w:rPr>
          <w:spacing w:val="-36"/>
        </w:rPr>
      </w:r>
      <w:r>
        <w:rPr>
          <w:spacing w:val="-3"/>
        </w:rPr>
        <w:t>培养力度，选送了首批中高管人员到北大清华深造学习；进一步完善员工激励机制，通过设</w:t>
      </w:r>
      <w:r>
        <w:rPr>
          <w:spacing w:val="-35"/>
        </w:rPr>
        <w:t> </w:t>
      </w:r>
      <w:r>
        <w:rPr>
          <w:spacing w:val="-35"/>
        </w:rPr>
      </w:r>
      <w:r>
        <w:rPr>
          <w:spacing w:val="-3"/>
        </w:rPr>
        <w:t>立员工持股计划，拟参与认购公司发行股份购买资产配套融资中的非公开发行股份，有利于</w:t>
      </w:r>
      <w:r>
        <w:rPr>
          <w:spacing w:val="-29"/>
        </w:rPr>
        <w:t> </w:t>
      </w:r>
      <w:r>
        <w:rPr>
          <w:spacing w:val="-29"/>
        </w:rPr>
      </w:r>
      <w:r>
        <w:rPr/>
        <w:t>实现股东、公司和核心员工利益的长期一致，推进公司的持续发展。</w:t>
      </w:r>
    </w:p>
    <w:p>
      <w:pPr>
        <w:spacing w:line="240" w:lineRule="auto" w:before="8"/>
        <w:rPr>
          <w:rFonts w:ascii="宋体" w:hAnsi="宋体" w:cs="宋体" w:eastAsia="宋体" w:hint="default"/>
          <w:sz w:val="18"/>
          <w:szCs w:val="18"/>
        </w:rPr>
      </w:pPr>
    </w:p>
    <w:p>
      <w:pPr>
        <w:pStyle w:val="Heading3"/>
        <w:spacing w:line="240" w:lineRule="auto"/>
        <w:ind w:left="263" w:right="0"/>
        <w:jc w:val="both"/>
        <w:rPr>
          <w:b w:val="0"/>
          <w:bCs w:val="0"/>
        </w:rPr>
      </w:pPr>
      <w:r>
        <w:rPr/>
        <w:t>二、主营业务分析</w:t>
      </w:r>
      <w:r>
        <w:rPr>
          <w:b w:val="0"/>
          <w:bCs w:val="0"/>
        </w:rPr>
      </w:r>
    </w:p>
    <w:p>
      <w:pPr>
        <w:spacing w:line="688" w:lineRule="exact" w:before="21"/>
        <w:ind w:left="263" w:right="44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pacing w:val="-2"/>
          <w:sz w:val="21"/>
          <w:szCs w:val="21"/>
        </w:rPr>
        <w:t>是否与管理层讨论与分析中的概述披露相同</w:t>
      </w:r>
    </w:p>
    <w:p>
      <w:pPr>
        <w:pStyle w:val="Heading6"/>
        <w:spacing w:line="240" w:lineRule="auto" w:before="85"/>
        <w:ind w:left="263" w:right="0"/>
        <w:jc w:val="both"/>
      </w:pPr>
      <w:r>
        <w:rPr/>
        <w:t>√是□否</w:t>
      </w:r>
    </w:p>
    <w:p>
      <w:pPr>
        <w:spacing w:line="240" w:lineRule="auto" w:before="11"/>
        <w:rPr>
          <w:rFonts w:ascii="宋体" w:hAnsi="宋体" w:cs="宋体" w:eastAsia="宋体" w:hint="default"/>
          <w:sz w:val="9"/>
          <w:szCs w:val="9"/>
        </w:rPr>
      </w:pPr>
    </w:p>
    <w:tbl>
      <w:tblPr>
        <w:tblW w:w="0" w:type="auto"/>
        <w:jc w:val="left"/>
        <w:tblInd w:w="117" w:type="dxa"/>
        <w:tblLayout w:type="fixed"/>
        <w:tblCellMar>
          <w:top w:w="0" w:type="dxa"/>
          <w:left w:w="0" w:type="dxa"/>
          <w:bottom w:w="0" w:type="dxa"/>
          <w:right w:w="0" w:type="dxa"/>
        </w:tblCellMar>
        <w:tblLook w:val="01E0"/>
      </w:tblPr>
      <w:tblGrid>
        <w:gridCol w:w="3017"/>
        <w:gridCol w:w="1853"/>
        <w:gridCol w:w="1908"/>
        <w:gridCol w:w="1693"/>
      </w:tblGrid>
      <w:tr>
        <w:trPr>
          <w:trHeight w:val="403" w:hRule="exact"/>
        </w:trPr>
        <w:tc>
          <w:tcPr>
            <w:tcW w:w="30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99"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1" w:hRule="exact"/>
        </w:trPr>
        <w:tc>
          <w:tcPr>
            <w:tcW w:w="301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4"/>
              <w:jc w:val="right"/>
              <w:rPr>
                <w:rFonts w:ascii="Times New Roman" w:hAnsi="Times New Roman" w:cs="Times New Roman" w:eastAsia="Times New Roman" w:hint="default"/>
                <w:sz w:val="18"/>
                <w:szCs w:val="18"/>
              </w:rPr>
            </w:pPr>
            <w:r>
              <w:rPr>
                <w:rFonts w:ascii="Times New Roman"/>
                <w:spacing w:val="-1"/>
                <w:sz w:val="18"/>
              </w:rPr>
              <w:t>544,282,530.17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515,755,768.36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z w:val="18"/>
              </w:rPr>
              <w:t>5.53%</w:t>
            </w:r>
          </w:p>
        </w:tc>
      </w:tr>
      <w:tr>
        <w:trPr>
          <w:trHeight w:val="403" w:hRule="exact"/>
        </w:trPr>
        <w:tc>
          <w:tcPr>
            <w:tcW w:w="301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pacing w:val="-1"/>
                <w:sz w:val="18"/>
              </w:rPr>
              <w:t>235,770,667.04</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281,439,807.55</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z w:val="18"/>
              </w:rPr>
              <w:t>-16.23%</w:t>
            </w:r>
          </w:p>
        </w:tc>
      </w:tr>
      <w:tr>
        <w:trPr>
          <w:trHeight w:val="401" w:hRule="exact"/>
        </w:trPr>
        <w:tc>
          <w:tcPr>
            <w:tcW w:w="301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销售及管理费用</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Times New Roman" w:hAnsi="Times New Roman" w:cs="Times New Roman" w:eastAsia="Times New Roman" w:hint="default"/>
                <w:sz w:val="18"/>
                <w:szCs w:val="18"/>
              </w:rPr>
            </w:pPr>
            <w:r>
              <w:rPr>
                <w:rFonts w:ascii="Times New Roman"/>
                <w:spacing w:val="-1"/>
                <w:sz w:val="18"/>
              </w:rPr>
              <w:t>116,421,740.75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Times New Roman" w:hAnsi="Times New Roman" w:cs="Times New Roman" w:eastAsia="Times New Roman" w:hint="default"/>
                <w:sz w:val="18"/>
                <w:szCs w:val="18"/>
              </w:rPr>
            </w:pPr>
            <w:r>
              <w:rPr>
                <w:rFonts w:ascii="Times New Roman"/>
                <w:spacing w:val="-1"/>
                <w:sz w:val="18"/>
              </w:rPr>
              <w:t>96,343,262.44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18"/>
                <w:szCs w:val="18"/>
              </w:rPr>
            </w:pPr>
            <w:r>
              <w:rPr>
                <w:rFonts w:ascii="Times New Roman"/>
                <w:sz w:val="18"/>
              </w:rPr>
              <w:t>20.84%</w:t>
            </w:r>
          </w:p>
        </w:tc>
      </w:tr>
      <w:tr>
        <w:trPr>
          <w:trHeight w:val="403" w:hRule="exact"/>
        </w:trPr>
        <w:tc>
          <w:tcPr>
            <w:tcW w:w="30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研发经费投入</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spacing w:val="-1"/>
                <w:sz w:val="18"/>
              </w:rPr>
              <w:t>38,426,415.63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22,943,498.07</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z w:val="18"/>
              </w:rPr>
              <w:t>67.48%</w:t>
            </w:r>
          </w:p>
        </w:tc>
      </w:tr>
      <w:tr>
        <w:trPr>
          <w:trHeight w:val="674" w:hRule="exact"/>
        </w:trPr>
        <w:tc>
          <w:tcPr>
            <w:tcW w:w="301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8"/>
              <w:ind w:left="103" w:right="202"/>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归属于上市公司普通股股东的净利 润</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176,217,902.06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118,257,749.77</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49.01%</w:t>
            </w:r>
          </w:p>
        </w:tc>
      </w:tr>
    </w:tbl>
    <w:p>
      <w:pPr>
        <w:pStyle w:val="BodyText"/>
        <w:spacing w:line="307" w:lineRule="auto" w:before="8"/>
        <w:ind w:left="263" w:right="115" w:firstLine="359"/>
        <w:jc w:val="both"/>
      </w:pPr>
      <w:r>
        <w:rPr/>
        <w:t>报告期公司营业收入、销售及管理费用、研发经费投入及归属于上市公司普通股股东的净利润，较上 年同期均有不同幅度的增长。其中营业收入较上年同比增长</w:t>
      </w:r>
      <w:r>
        <w:rPr>
          <w:spacing w:val="-45"/>
        </w:rPr>
        <w:t> </w:t>
      </w:r>
      <w:r>
        <w:rPr>
          <w:rFonts w:ascii="Times New Roman" w:hAnsi="Times New Roman" w:cs="Times New Roman" w:eastAsia="Times New Roman" w:hint="default"/>
        </w:rPr>
        <w:t>5.53%</w:t>
      </w:r>
      <w:r>
        <w:rPr/>
        <w:t>，营业成本较上年同比下降</w:t>
      </w:r>
      <w:r>
        <w:rPr>
          <w:spacing w:val="-45"/>
        </w:rPr>
        <w:t> </w:t>
      </w:r>
      <w:r>
        <w:rPr>
          <w:rFonts w:ascii="Times New Roman" w:hAnsi="Times New Roman" w:cs="Times New Roman" w:eastAsia="Times New Roman" w:hint="default"/>
        </w:rPr>
        <w:t>16.23%</w:t>
      </w:r>
      <w:r>
        <w:rPr/>
        <w:t>，主 要是本报告期受一教一辅新政影响，公司部分图书结算模式由之前与客户直接结算，改为现在与出版社结 算差额；销售及管理费用较上年同比增长</w:t>
      </w:r>
      <w:r>
        <w:rPr>
          <w:spacing w:val="-63"/>
        </w:rPr>
        <w:t> </w:t>
      </w:r>
      <w:r>
        <w:rPr>
          <w:rFonts w:ascii="Times New Roman" w:hAnsi="Times New Roman" w:cs="Times New Roman" w:eastAsia="Times New Roman" w:hint="default"/>
        </w:rPr>
        <w:t>20.84%</w:t>
      </w:r>
      <w:r>
        <w:rPr/>
        <w:t>；研发经费投入较上年同比增长</w:t>
      </w:r>
      <w:r>
        <w:rPr>
          <w:spacing w:val="-63"/>
        </w:rPr>
        <w:t> </w:t>
      </w:r>
      <w:r>
        <w:rPr>
          <w:rFonts w:ascii="Times New Roman" w:hAnsi="Times New Roman" w:cs="Times New Roman" w:eastAsia="Times New Roman" w:hint="default"/>
        </w:rPr>
        <w:t>67.48%</w:t>
      </w:r>
      <w:r>
        <w:rPr/>
        <w:t>，主要是移动网游 戏业务的研发投入增加；归属于上市公司普通股股东的净利润较上年增长</w:t>
      </w:r>
      <w:r>
        <w:rPr>
          <w:spacing w:val="-46"/>
        </w:rPr>
        <w:t> </w:t>
      </w:r>
      <w:r>
        <w:rPr>
          <w:rFonts w:ascii="Times New Roman" w:hAnsi="Times New Roman" w:cs="Times New Roman" w:eastAsia="Times New Roman" w:hint="default"/>
        </w:rPr>
        <w:t>49.01%</w:t>
      </w:r>
      <w:r>
        <w:rPr/>
        <w:t>，主要是本报告期移动网 游戏业务利润的增长，及确认了北洋传媒的股权处置收益。</w:t>
      </w:r>
    </w:p>
    <w:p>
      <w:pPr>
        <w:spacing w:after="0" w:line="307" w:lineRule="auto"/>
        <w:jc w:val="both"/>
        <w:sectPr>
          <w:pgSz w:w="11910" w:h="16840"/>
          <w:pgMar w:header="0" w:footer="959" w:top="1480" w:bottom="1140" w:left="1580" w:right="1580"/>
        </w:sectPr>
      </w:pPr>
    </w:p>
    <w:p>
      <w:pPr>
        <w:pStyle w:val="Heading5"/>
        <w:spacing w:line="240" w:lineRule="auto" w:before="9"/>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695"/>
        <w:jc w:val="right"/>
      </w:pPr>
      <w:r>
        <w:rPr/>
        <w:t>单位：元</w:t>
      </w:r>
    </w:p>
    <w:p>
      <w:pPr>
        <w:spacing w:line="240" w:lineRule="auto" w:before="12"/>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653"/>
        <w:gridCol w:w="1326"/>
        <w:gridCol w:w="1423"/>
        <w:gridCol w:w="1416"/>
        <w:gridCol w:w="2002"/>
        <w:gridCol w:w="1829"/>
      </w:tblGrid>
      <w:tr>
        <w:trPr>
          <w:trHeight w:val="346" w:hRule="exact"/>
        </w:trPr>
        <w:tc>
          <w:tcPr>
            <w:tcW w:w="1653" w:type="dxa"/>
            <w:vMerge w:val="restart"/>
            <w:tcBorders>
              <w:top w:val="single" w:sz="8" w:space="0" w:color="000000"/>
              <w:left w:val="single" w:sz="8" w:space="0" w:color="000000"/>
              <w:right w:val="single" w:sz="8" w:space="0" w:color="000000"/>
            </w:tcBorders>
            <w:shd w:val="clear" w:color="auto" w:fill="C0C0C0"/>
          </w:tcPr>
          <w:p>
            <w:pPr/>
          </w:p>
        </w:tc>
        <w:tc>
          <w:tcPr>
            <w:tcW w:w="2749"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5"/>
              <w:ind w:left="4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419"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29"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658" w:hRule="exact"/>
        </w:trPr>
        <w:tc>
          <w:tcPr>
            <w:tcW w:w="1653" w:type="dxa"/>
            <w:vMerge/>
            <w:tcBorders>
              <w:left w:val="single" w:sz="8" w:space="0" w:color="000000"/>
              <w:bottom w:val="single" w:sz="8" w:space="0" w:color="000000"/>
              <w:right w:val="single" w:sz="8" w:space="0" w:color="000000"/>
            </w:tcBorders>
            <w:shd w:val="clear" w:color="auto" w:fill="C0C0C0"/>
          </w:tcPr>
          <w:p>
            <w:pPr/>
          </w:p>
        </w:tc>
        <w:tc>
          <w:tcPr>
            <w:tcW w:w="132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2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16" w:lineRule="auto" w:before="15"/>
              <w:ind w:left="611" w:right="161" w:hanging="452"/>
              <w:jc w:val="left"/>
              <w:rPr>
                <w:rFonts w:ascii="宋体" w:hAnsi="宋体" w:cs="宋体" w:eastAsia="宋体" w:hint="default"/>
                <w:sz w:val="18"/>
                <w:szCs w:val="18"/>
              </w:rPr>
            </w:pPr>
            <w:r>
              <w:rPr>
                <w:rFonts w:ascii="宋体" w:hAnsi="宋体" w:cs="宋体" w:eastAsia="宋体" w:hint="default"/>
                <w:sz w:val="18"/>
                <w:szCs w:val="18"/>
              </w:rPr>
              <w:t>占营业收入比 重</w:t>
            </w:r>
          </w:p>
        </w:tc>
        <w:tc>
          <w:tcPr>
            <w:tcW w:w="141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200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829" w:type="dxa"/>
            <w:vMerge/>
            <w:tcBorders>
              <w:left w:val="single" w:sz="8" w:space="0" w:color="000000"/>
              <w:bottom w:val="single" w:sz="8" w:space="0" w:color="000000"/>
              <w:right w:val="single" w:sz="8" w:space="0" w:color="000000"/>
            </w:tcBorders>
            <w:shd w:val="clear" w:color="auto" w:fill="C0C0C0"/>
          </w:tcPr>
          <w:p>
            <w:pPr/>
          </w:p>
        </w:tc>
      </w:tr>
      <w:tr>
        <w:trPr>
          <w:trHeight w:val="360" w:hRule="exact"/>
        </w:trPr>
        <w:tc>
          <w:tcPr>
            <w:tcW w:w="165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5"/>
              <w:ind w:left="9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3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544,282,530.17</w:t>
            </w:r>
          </w:p>
        </w:tc>
        <w:tc>
          <w:tcPr>
            <w:tcW w:w="142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7"/>
              <w:ind w:left="885" w:right="0"/>
              <w:jc w:val="left"/>
              <w:rPr>
                <w:rFonts w:ascii="Times New Roman" w:hAnsi="Times New Roman" w:cs="Times New Roman" w:eastAsia="Times New Roman" w:hint="default"/>
                <w:sz w:val="18"/>
                <w:szCs w:val="18"/>
              </w:rPr>
            </w:pPr>
            <w:r>
              <w:rPr>
                <w:rFonts w:ascii="Times New Roman"/>
                <w:sz w:val="18"/>
              </w:rPr>
              <w:t>100%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59" w:right="0"/>
              <w:jc w:val="center"/>
              <w:rPr>
                <w:rFonts w:ascii="Times New Roman" w:hAnsi="Times New Roman" w:cs="Times New Roman" w:eastAsia="Times New Roman" w:hint="default"/>
                <w:sz w:val="18"/>
                <w:szCs w:val="18"/>
              </w:rPr>
            </w:pPr>
            <w:r>
              <w:rPr>
                <w:rFonts w:ascii="Times New Roman"/>
                <w:sz w:val="18"/>
              </w:rPr>
              <w:t>515,755,768.36</w:t>
            </w:r>
          </w:p>
        </w:tc>
        <w:tc>
          <w:tcPr>
            <w:tcW w:w="200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7"/>
              <w:ind w:right="92"/>
              <w:jc w:val="right"/>
              <w:rPr>
                <w:rFonts w:ascii="Times New Roman" w:hAnsi="Times New Roman" w:cs="Times New Roman" w:eastAsia="Times New Roman" w:hint="default"/>
                <w:sz w:val="18"/>
                <w:szCs w:val="18"/>
              </w:rPr>
            </w:pPr>
            <w:r>
              <w:rPr>
                <w:rFonts w:ascii="Times New Roman"/>
                <w:sz w:val="18"/>
              </w:rPr>
              <w:t>100%</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z w:val="18"/>
              </w:rPr>
              <w:t>5.53%</w:t>
            </w:r>
          </w:p>
        </w:tc>
      </w:tr>
      <w:tr>
        <w:trPr>
          <w:trHeight w:val="346" w:hRule="exact"/>
        </w:trPr>
        <w:tc>
          <w:tcPr>
            <w:tcW w:w="9650" w:type="dxa"/>
            <w:gridSpan w:val="6"/>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5"/>
              <w:ind w:right="5"/>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368" w:hRule="exact"/>
        </w:trPr>
        <w:tc>
          <w:tcPr>
            <w:tcW w:w="1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95" w:right="0"/>
              <w:jc w:val="left"/>
              <w:rPr>
                <w:rFonts w:ascii="宋体" w:hAnsi="宋体" w:cs="宋体" w:eastAsia="宋体" w:hint="default"/>
                <w:sz w:val="18"/>
                <w:szCs w:val="18"/>
              </w:rPr>
            </w:pPr>
            <w:r>
              <w:rPr>
                <w:rFonts w:ascii="宋体" w:hAnsi="宋体" w:cs="宋体" w:eastAsia="宋体" w:hint="default"/>
                <w:sz w:val="18"/>
                <w:szCs w:val="18"/>
              </w:rPr>
              <w:t>图书出版发行</w:t>
            </w:r>
          </w:p>
        </w:tc>
        <w:tc>
          <w:tcPr>
            <w:tcW w:w="13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58"/>
              <w:jc w:val="center"/>
              <w:rPr>
                <w:rFonts w:ascii="Times New Roman" w:hAnsi="Times New Roman" w:cs="Times New Roman" w:eastAsia="Times New Roman" w:hint="default"/>
                <w:sz w:val="18"/>
                <w:szCs w:val="18"/>
              </w:rPr>
            </w:pPr>
            <w:r>
              <w:rPr>
                <w:rFonts w:ascii="Times New Roman"/>
                <w:sz w:val="18"/>
              </w:rPr>
              <w:t>293,117,550.87</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424" w:right="0"/>
              <w:jc w:val="left"/>
              <w:rPr>
                <w:rFonts w:ascii="Times New Roman" w:hAnsi="Times New Roman" w:cs="Times New Roman" w:eastAsia="Times New Roman" w:hint="default"/>
                <w:sz w:val="18"/>
                <w:szCs w:val="18"/>
              </w:rPr>
            </w:pPr>
            <w:r>
              <w:rPr>
                <w:rFonts w:ascii="Times New Roman"/>
                <w:sz w:val="18"/>
              </w:rPr>
              <w:t>53.85%</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sz w:val="18"/>
              </w:rPr>
              <w:t>359,062,359.67</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4" w:right="0"/>
              <w:jc w:val="center"/>
              <w:rPr>
                <w:rFonts w:ascii="Times New Roman" w:hAnsi="Times New Roman" w:cs="Times New Roman" w:eastAsia="Times New Roman" w:hint="default"/>
                <w:sz w:val="18"/>
                <w:szCs w:val="18"/>
              </w:rPr>
            </w:pPr>
            <w:r>
              <w:rPr>
                <w:rFonts w:ascii="Times New Roman"/>
                <w:sz w:val="18"/>
              </w:rPr>
              <w:t>69.62%</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97" w:right="0"/>
              <w:jc w:val="left"/>
              <w:rPr>
                <w:rFonts w:ascii="Times New Roman" w:hAnsi="Times New Roman" w:cs="Times New Roman" w:eastAsia="Times New Roman" w:hint="default"/>
                <w:sz w:val="18"/>
                <w:szCs w:val="18"/>
              </w:rPr>
            </w:pPr>
            <w:r>
              <w:rPr>
                <w:rFonts w:ascii="Times New Roman"/>
                <w:sz w:val="18"/>
              </w:rPr>
              <w:t>-18.37%</w:t>
            </w:r>
          </w:p>
        </w:tc>
      </w:tr>
      <w:tr>
        <w:trPr>
          <w:trHeight w:val="367" w:hRule="exact"/>
        </w:trPr>
        <w:tc>
          <w:tcPr>
            <w:tcW w:w="1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sz w:val="18"/>
                <w:szCs w:val="18"/>
              </w:rPr>
              <w:t>移动网络游戏</w:t>
            </w:r>
          </w:p>
        </w:tc>
        <w:tc>
          <w:tcPr>
            <w:tcW w:w="13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4"/>
              <w:jc w:val="center"/>
              <w:rPr>
                <w:rFonts w:ascii="Times New Roman" w:hAnsi="Times New Roman" w:cs="Times New Roman" w:eastAsia="Times New Roman" w:hint="default"/>
                <w:sz w:val="18"/>
                <w:szCs w:val="18"/>
              </w:rPr>
            </w:pPr>
            <w:r>
              <w:rPr>
                <w:rFonts w:ascii="Times New Roman"/>
                <w:sz w:val="18"/>
              </w:rPr>
              <w:t>251,164,979.30</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424" w:right="0"/>
              <w:jc w:val="left"/>
              <w:rPr>
                <w:rFonts w:ascii="Times New Roman" w:hAnsi="Times New Roman" w:cs="Times New Roman" w:eastAsia="Times New Roman" w:hint="default"/>
                <w:sz w:val="18"/>
                <w:szCs w:val="18"/>
              </w:rPr>
            </w:pPr>
            <w:r>
              <w:rPr>
                <w:rFonts w:ascii="Times New Roman"/>
                <w:sz w:val="18"/>
              </w:rPr>
              <w:t>46.15%</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156,693,408.69</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30.38%</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60.29%</w:t>
            </w:r>
          </w:p>
        </w:tc>
      </w:tr>
      <w:tr>
        <w:trPr>
          <w:trHeight w:val="346" w:hRule="exact"/>
        </w:trPr>
        <w:tc>
          <w:tcPr>
            <w:tcW w:w="9650" w:type="dxa"/>
            <w:gridSpan w:val="6"/>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5"/>
              <w:ind w:right="5"/>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367" w:hRule="exact"/>
        </w:trPr>
        <w:tc>
          <w:tcPr>
            <w:tcW w:w="1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95" w:right="0"/>
              <w:jc w:val="left"/>
              <w:rPr>
                <w:rFonts w:ascii="宋体" w:hAnsi="宋体" w:cs="宋体" w:eastAsia="宋体" w:hint="default"/>
                <w:sz w:val="18"/>
                <w:szCs w:val="18"/>
              </w:rPr>
            </w:pPr>
            <w:r>
              <w:rPr>
                <w:rFonts w:ascii="宋体" w:hAnsi="宋体" w:cs="宋体" w:eastAsia="宋体" w:hint="default"/>
                <w:sz w:val="18"/>
                <w:szCs w:val="18"/>
              </w:rPr>
              <w:t>青少年类图书</w:t>
            </w:r>
          </w:p>
        </w:tc>
        <w:tc>
          <w:tcPr>
            <w:tcW w:w="13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209,342,058.43</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424" w:right="0"/>
              <w:jc w:val="left"/>
              <w:rPr>
                <w:rFonts w:ascii="Times New Roman" w:hAnsi="Times New Roman" w:cs="Times New Roman" w:eastAsia="Times New Roman" w:hint="default"/>
                <w:sz w:val="18"/>
                <w:szCs w:val="18"/>
              </w:rPr>
            </w:pPr>
            <w:r>
              <w:rPr>
                <w:rFonts w:ascii="Times New Roman"/>
                <w:sz w:val="18"/>
              </w:rPr>
              <w:t>38.46%</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sz w:val="18"/>
              </w:rPr>
              <w:t>289,746,173.70</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4" w:right="0"/>
              <w:jc w:val="center"/>
              <w:rPr>
                <w:rFonts w:ascii="Times New Roman" w:hAnsi="Times New Roman" w:cs="Times New Roman" w:eastAsia="Times New Roman" w:hint="default"/>
                <w:sz w:val="18"/>
                <w:szCs w:val="18"/>
              </w:rPr>
            </w:pPr>
            <w:r>
              <w:rPr>
                <w:rFonts w:ascii="Times New Roman"/>
                <w:sz w:val="18"/>
              </w:rPr>
              <w:t>56.18%</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97" w:right="0"/>
              <w:jc w:val="left"/>
              <w:rPr>
                <w:rFonts w:ascii="Times New Roman" w:hAnsi="Times New Roman" w:cs="Times New Roman" w:eastAsia="Times New Roman" w:hint="default"/>
                <w:sz w:val="18"/>
                <w:szCs w:val="18"/>
              </w:rPr>
            </w:pPr>
            <w:r>
              <w:rPr>
                <w:rFonts w:ascii="Times New Roman"/>
                <w:sz w:val="18"/>
              </w:rPr>
              <w:t>-27.75%</w:t>
            </w:r>
          </w:p>
        </w:tc>
      </w:tr>
      <w:tr>
        <w:trPr>
          <w:trHeight w:val="360" w:hRule="exact"/>
        </w:trPr>
        <w:tc>
          <w:tcPr>
            <w:tcW w:w="1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sz w:val="18"/>
                <w:szCs w:val="18"/>
              </w:rPr>
              <w:t>社科类图书</w:t>
            </w:r>
          </w:p>
        </w:tc>
        <w:tc>
          <w:tcPr>
            <w:tcW w:w="13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9"/>
              <w:jc w:val="center"/>
              <w:rPr>
                <w:rFonts w:ascii="Times New Roman" w:hAnsi="Times New Roman" w:cs="Times New Roman" w:eastAsia="Times New Roman" w:hint="default"/>
                <w:sz w:val="18"/>
                <w:szCs w:val="18"/>
              </w:rPr>
            </w:pPr>
            <w:r>
              <w:rPr>
                <w:rFonts w:ascii="Times New Roman"/>
                <w:sz w:val="18"/>
              </w:rPr>
              <w:t>81,400,342.47</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424" w:right="0"/>
              <w:jc w:val="left"/>
              <w:rPr>
                <w:rFonts w:ascii="Times New Roman" w:hAnsi="Times New Roman" w:cs="Times New Roman" w:eastAsia="Times New Roman" w:hint="default"/>
                <w:sz w:val="18"/>
                <w:szCs w:val="18"/>
              </w:rPr>
            </w:pPr>
            <w:r>
              <w:rPr>
                <w:rFonts w:ascii="Times New Roman"/>
                <w:sz w:val="18"/>
              </w:rPr>
              <w:t>14.96%</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67,445,181.91</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13.08%</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20.69%</w:t>
            </w:r>
          </w:p>
        </w:tc>
      </w:tr>
      <w:tr>
        <w:trPr>
          <w:trHeight w:val="360" w:hRule="exact"/>
        </w:trPr>
        <w:tc>
          <w:tcPr>
            <w:tcW w:w="1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sz w:val="18"/>
                <w:szCs w:val="18"/>
              </w:rPr>
              <w:t>版税等服务</w:t>
            </w:r>
          </w:p>
        </w:tc>
        <w:tc>
          <w:tcPr>
            <w:tcW w:w="13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7"/>
              <w:jc w:val="center"/>
              <w:rPr>
                <w:rFonts w:ascii="Times New Roman" w:hAnsi="Times New Roman" w:cs="Times New Roman" w:eastAsia="Times New Roman" w:hint="default"/>
                <w:sz w:val="18"/>
                <w:szCs w:val="18"/>
              </w:rPr>
            </w:pPr>
            <w:r>
              <w:rPr>
                <w:rFonts w:ascii="Times New Roman"/>
                <w:sz w:val="18"/>
              </w:rPr>
              <w:t>2,132,290.24</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467" w:right="0"/>
              <w:jc w:val="left"/>
              <w:rPr>
                <w:rFonts w:ascii="Times New Roman" w:hAnsi="Times New Roman" w:cs="Times New Roman" w:eastAsia="Times New Roman" w:hint="default"/>
                <w:sz w:val="18"/>
                <w:szCs w:val="18"/>
              </w:rPr>
            </w:pPr>
            <w:r>
              <w:rPr>
                <w:rFonts w:ascii="Times New Roman"/>
                <w:sz w:val="18"/>
              </w:rPr>
              <w:t>0.39%</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1,654,762.14</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0.32%</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28.86%</w:t>
            </w:r>
          </w:p>
        </w:tc>
      </w:tr>
      <w:tr>
        <w:trPr>
          <w:trHeight w:val="360" w:hRule="exact"/>
        </w:trPr>
        <w:tc>
          <w:tcPr>
            <w:tcW w:w="1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sz w:val="18"/>
                <w:szCs w:val="18"/>
              </w:rPr>
              <w:t>移动网游戏</w:t>
            </w:r>
            <w:r>
              <w:rPr>
                <w:rFonts w:ascii="Times New Roman" w:hAnsi="Times New Roman" w:cs="Times New Roman" w:eastAsia="Times New Roman" w:hint="default"/>
                <w:sz w:val="18"/>
                <w:szCs w:val="18"/>
              </w:rPr>
              <w:t>-</w:t>
            </w:r>
            <w:r>
              <w:rPr>
                <w:rFonts w:ascii="宋体" w:hAnsi="宋体" w:cs="宋体" w:eastAsia="宋体" w:hint="default"/>
                <w:sz w:val="18"/>
                <w:szCs w:val="18"/>
              </w:rPr>
              <w:t>忘仙</w:t>
            </w:r>
          </w:p>
        </w:tc>
        <w:tc>
          <w:tcPr>
            <w:tcW w:w="13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7"/>
              <w:jc w:val="center"/>
              <w:rPr>
                <w:rFonts w:ascii="Times New Roman" w:hAnsi="Times New Roman" w:cs="Times New Roman" w:eastAsia="Times New Roman" w:hint="default"/>
                <w:sz w:val="18"/>
                <w:szCs w:val="18"/>
              </w:rPr>
            </w:pPr>
            <w:r>
              <w:rPr>
                <w:rFonts w:ascii="Times New Roman"/>
                <w:sz w:val="18"/>
              </w:rPr>
              <w:t>117,221,989.44</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424" w:right="0"/>
              <w:jc w:val="left"/>
              <w:rPr>
                <w:rFonts w:ascii="Times New Roman" w:hAnsi="Times New Roman" w:cs="Times New Roman" w:eastAsia="Times New Roman" w:hint="default"/>
                <w:sz w:val="18"/>
                <w:szCs w:val="18"/>
              </w:rPr>
            </w:pPr>
            <w:r>
              <w:rPr>
                <w:rFonts w:ascii="Times New Roman"/>
                <w:sz w:val="18"/>
              </w:rPr>
              <w:t>21.54%</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84,149,739.67</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16.32%</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39.30%</w:t>
            </w:r>
          </w:p>
        </w:tc>
      </w:tr>
      <w:tr>
        <w:trPr>
          <w:trHeight w:val="643" w:hRule="exact"/>
        </w:trPr>
        <w:tc>
          <w:tcPr>
            <w:tcW w:w="1653"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8"/>
              <w:ind w:left="95" w:right="215"/>
              <w:jc w:val="left"/>
              <w:rPr>
                <w:rFonts w:ascii="宋体" w:hAnsi="宋体" w:cs="宋体" w:eastAsia="宋体" w:hint="default"/>
                <w:sz w:val="18"/>
                <w:szCs w:val="18"/>
              </w:rPr>
            </w:pPr>
            <w:r>
              <w:rPr>
                <w:rFonts w:ascii="宋体" w:hAnsi="宋体" w:cs="宋体" w:eastAsia="宋体" w:hint="default"/>
                <w:sz w:val="18"/>
                <w:szCs w:val="18"/>
              </w:rPr>
              <w:t>移动网游戏</w:t>
            </w:r>
            <w:r>
              <w:rPr>
                <w:rFonts w:ascii="Times New Roman" w:hAnsi="Times New Roman" w:cs="Times New Roman" w:eastAsia="Times New Roman" w:hint="default"/>
                <w:sz w:val="18"/>
                <w:szCs w:val="18"/>
              </w:rPr>
              <w:t>-</w:t>
            </w:r>
            <w:r>
              <w:rPr>
                <w:rFonts w:ascii="宋体" w:hAnsi="宋体" w:cs="宋体" w:eastAsia="宋体" w:hint="default"/>
                <w:sz w:val="18"/>
                <w:szCs w:val="18"/>
              </w:rPr>
              <w:t>足球 大逆袭</w:t>
            </w:r>
          </w:p>
        </w:tc>
        <w:tc>
          <w:tcPr>
            <w:tcW w:w="13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center"/>
              <w:rPr>
                <w:rFonts w:ascii="Times New Roman" w:hAnsi="Times New Roman" w:cs="Times New Roman" w:eastAsia="Times New Roman" w:hint="default"/>
                <w:sz w:val="18"/>
                <w:szCs w:val="18"/>
              </w:rPr>
            </w:pPr>
            <w:r>
              <w:rPr>
                <w:rFonts w:ascii="Times New Roman"/>
                <w:sz w:val="18"/>
              </w:rPr>
              <w:t>16,123,928.18</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7" w:right="0"/>
              <w:jc w:val="left"/>
              <w:rPr>
                <w:rFonts w:ascii="Times New Roman" w:hAnsi="Times New Roman" w:cs="Times New Roman" w:eastAsia="Times New Roman" w:hint="default"/>
                <w:sz w:val="18"/>
                <w:szCs w:val="18"/>
              </w:rPr>
            </w:pPr>
            <w:r>
              <w:rPr>
                <w:rFonts w:ascii="Times New Roman"/>
                <w:sz w:val="18"/>
              </w:rPr>
              <w:t>2.96%</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44,317,836.80</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8.59%</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-63.62%</w:t>
            </w:r>
          </w:p>
        </w:tc>
      </w:tr>
      <w:tr>
        <w:trPr>
          <w:trHeight w:val="646" w:hRule="exact"/>
        </w:trPr>
        <w:tc>
          <w:tcPr>
            <w:tcW w:w="1653"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0"/>
              <w:ind w:left="95" w:right="215"/>
              <w:jc w:val="left"/>
              <w:rPr>
                <w:rFonts w:ascii="宋体" w:hAnsi="宋体" w:cs="宋体" w:eastAsia="宋体" w:hint="default"/>
                <w:sz w:val="18"/>
                <w:szCs w:val="18"/>
              </w:rPr>
            </w:pPr>
            <w:r>
              <w:rPr>
                <w:rFonts w:ascii="宋体" w:hAnsi="宋体" w:cs="宋体" w:eastAsia="宋体" w:hint="default"/>
                <w:sz w:val="18"/>
                <w:szCs w:val="18"/>
              </w:rPr>
              <w:t>移动网游戏</w:t>
            </w:r>
            <w:r>
              <w:rPr>
                <w:rFonts w:ascii="Times New Roman" w:hAnsi="Times New Roman" w:cs="Times New Roman" w:eastAsia="Times New Roman" w:hint="default"/>
                <w:sz w:val="18"/>
                <w:szCs w:val="18"/>
              </w:rPr>
              <w:t>-</w:t>
            </w:r>
            <w:r>
              <w:rPr>
                <w:rFonts w:ascii="宋体" w:hAnsi="宋体" w:cs="宋体" w:eastAsia="宋体" w:hint="default"/>
                <w:sz w:val="18"/>
                <w:szCs w:val="18"/>
              </w:rPr>
              <w:t>卧虎 藏龙</w:t>
            </w:r>
          </w:p>
        </w:tc>
        <w:tc>
          <w:tcPr>
            <w:tcW w:w="13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109,638,709.96</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20.14%</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16,608,897.92</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3.22%</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560.12%</w:t>
            </w:r>
          </w:p>
        </w:tc>
      </w:tr>
      <w:tr>
        <w:trPr>
          <w:trHeight w:val="643" w:hRule="exact"/>
        </w:trPr>
        <w:tc>
          <w:tcPr>
            <w:tcW w:w="1653"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8"/>
              <w:ind w:left="95" w:right="215"/>
              <w:jc w:val="left"/>
              <w:rPr>
                <w:rFonts w:ascii="宋体" w:hAnsi="宋体" w:cs="宋体" w:eastAsia="宋体" w:hint="default"/>
                <w:sz w:val="18"/>
                <w:szCs w:val="18"/>
              </w:rPr>
            </w:pPr>
            <w:r>
              <w:rPr>
                <w:rFonts w:ascii="宋体" w:hAnsi="宋体" w:cs="宋体" w:eastAsia="宋体" w:hint="default"/>
                <w:sz w:val="18"/>
                <w:szCs w:val="18"/>
              </w:rPr>
              <w:t>移动网游戏</w:t>
            </w:r>
            <w:r>
              <w:rPr>
                <w:rFonts w:ascii="Times New Roman" w:hAnsi="Times New Roman" w:cs="Times New Roman" w:eastAsia="Times New Roman" w:hint="default"/>
                <w:sz w:val="18"/>
                <w:szCs w:val="18"/>
              </w:rPr>
              <w:t>-</w:t>
            </w:r>
            <w:r>
              <w:rPr>
                <w:rFonts w:ascii="宋体" w:hAnsi="宋体" w:cs="宋体" w:eastAsia="宋体" w:hint="default"/>
                <w:sz w:val="18"/>
                <w:szCs w:val="18"/>
              </w:rPr>
              <w:t>三国 时代</w:t>
            </w:r>
          </w:p>
        </w:tc>
        <w:tc>
          <w:tcPr>
            <w:tcW w:w="13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center"/>
              <w:rPr>
                <w:rFonts w:ascii="Times New Roman" w:hAnsi="Times New Roman" w:cs="Times New Roman" w:eastAsia="Times New Roman" w:hint="default"/>
                <w:sz w:val="18"/>
                <w:szCs w:val="18"/>
              </w:rPr>
            </w:pPr>
            <w:r>
              <w:rPr>
                <w:rFonts w:ascii="Times New Roman"/>
                <w:sz w:val="18"/>
              </w:rPr>
              <w:t>8,128,726.78</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7" w:right="0"/>
              <w:jc w:val="left"/>
              <w:rPr>
                <w:rFonts w:ascii="Times New Roman" w:hAnsi="Times New Roman" w:cs="Times New Roman" w:eastAsia="Times New Roman" w:hint="default"/>
                <w:sz w:val="18"/>
                <w:szCs w:val="18"/>
              </w:rPr>
            </w:pPr>
            <w:r>
              <w:rPr>
                <w:rFonts w:ascii="Times New Roman"/>
                <w:sz w:val="18"/>
              </w:rPr>
              <w:t>1.49%</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11,233,684.88</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2.18%</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-27.64%</w:t>
            </w:r>
          </w:p>
        </w:tc>
      </w:tr>
      <w:tr>
        <w:trPr>
          <w:trHeight w:val="367" w:hRule="exact"/>
        </w:trPr>
        <w:tc>
          <w:tcPr>
            <w:tcW w:w="1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6"/>
              <w:jc w:val="center"/>
              <w:rPr>
                <w:rFonts w:ascii="Times New Roman" w:hAnsi="Times New Roman" w:cs="Times New Roman" w:eastAsia="Times New Roman" w:hint="default"/>
                <w:sz w:val="18"/>
                <w:szCs w:val="18"/>
              </w:rPr>
            </w:pPr>
            <w:r>
              <w:rPr>
                <w:rFonts w:ascii="Times New Roman"/>
                <w:sz w:val="18"/>
              </w:rPr>
              <w:t>294,484.67</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467" w:right="0"/>
              <w:jc w:val="left"/>
              <w:rPr>
                <w:rFonts w:ascii="Times New Roman" w:hAnsi="Times New Roman" w:cs="Times New Roman" w:eastAsia="Times New Roman" w:hint="default"/>
                <w:sz w:val="18"/>
                <w:szCs w:val="18"/>
              </w:rPr>
            </w:pPr>
            <w:r>
              <w:rPr>
                <w:rFonts w:ascii="Times New Roman"/>
                <w:sz w:val="18"/>
              </w:rPr>
              <w:t>0.06%</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599,491.34</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0.11%</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597" w:right="0"/>
              <w:jc w:val="left"/>
              <w:rPr>
                <w:rFonts w:ascii="Times New Roman" w:hAnsi="Times New Roman" w:cs="Times New Roman" w:eastAsia="Times New Roman" w:hint="default"/>
                <w:sz w:val="18"/>
                <w:szCs w:val="18"/>
              </w:rPr>
            </w:pPr>
            <w:r>
              <w:rPr>
                <w:rFonts w:ascii="Times New Roman"/>
                <w:sz w:val="18"/>
              </w:rPr>
              <w:t>-50.88%</w:t>
            </w:r>
          </w:p>
        </w:tc>
      </w:tr>
      <w:tr>
        <w:trPr>
          <w:trHeight w:val="346" w:hRule="exact"/>
        </w:trPr>
        <w:tc>
          <w:tcPr>
            <w:tcW w:w="9650" w:type="dxa"/>
            <w:gridSpan w:val="6"/>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5"/>
              <w:ind w:right="5"/>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367" w:hRule="exact"/>
        </w:trPr>
        <w:tc>
          <w:tcPr>
            <w:tcW w:w="1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95"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475,740,590.76</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424" w:right="0"/>
              <w:jc w:val="left"/>
              <w:rPr>
                <w:rFonts w:ascii="Times New Roman" w:hAnsi="Times New Roman" w:cs="Times New Roman" w:eastAsia="Times New Roman" w:hint="default"/>
                <w:sz w:val="18"/>
                <w:szCs w:val="18"/>
              </w:rPr>
            </w:pPr>
            <w:r>
              <w:rPr>
                <w:rFonts w:ascii="Times New Roman"/>
                <w:sz w:val="18"/>
              </w:rPr>
              <w:t>87.41%</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sz w:val="18"/>
              </w:rPr>
              <w:t>458,442,698.73</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4" w:right="0"/>
              <w:jc w:val="center"/>
              <w:rPr>
                <w:rFonts w:ascii="Times New Roman" w:hAnsi="Times New Roman" w:cs="Times New Roman" w:eastAsia="Times New Roman" w:hint="default"/>
                <w:sz w:val="18"/>
                <w:szCs w:val="18"/>
              </w:rPr>
            </w:pPr>
            <w:r>
              <w:rPr>
                <w:rFonts w:ascii="Times New Roman"/>
                <w:sz w:val="18"/>
              </w:rPr>
              <w:t>88.89%</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3.77%</w:t>
            </w:r>
          </w:p>
        </w:tc>
      </w:tr>
      <w:tr>
        <w:trPr>
          <w:trHeight w:val="360" w:hRule="exact"/>
        </w:trPr>
        <w:tc>
          <w:tcPr>
            <w:tcW w:w="1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3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4"/>
              <w:jc w:val="center"/>
              <w:rPr>
                <w:rFonts w:ascii="Times New Roman" w:hAnsi="Times New Roman" w:cs="Times New Roman" w:eastAsia="Times New Roman" w:hint="default"/>
                <w:sz w:val="18"/>
                <w:szCs w:val="18"/>
              </w:rPr>
            </w:pPr>
            <w:r>
              <w:rPr>
                <w:rFonts w:ascii="Times New Roman"/>
                <w:sz w:val="18"/>
              </w:rPr>
              <w:t>68,541,939.41</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424" w:right="0"/>
              <w:jc w:val="left"/>
              <w:rPr>
                <w:rFonts w:ascii="Times New Roman" w:hAnsi="Times New Roman" w:cs="Times New Roman" w:eastAsia="Times New Roman" w:hint="default"/>
                <w:sz w:val="18"/>
                <w:szCs w:val="18"/>
              </w:rPr>
            </w:pPr>
            <w:r>
              <w:rPr>
                <w:rFonts w:ascii="Times New Roman"/>
                <w:sz w:val="18"/>
              </w:rPr>
              <w:t>12.59%</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57,313,069.63</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11.11%</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19.59%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695"/>
        <w:jc w:val="right"/>
      </w:pPr>
      <w:r>
        <w:rPr/>
        <w:t>单位：元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66"/>
        <w:gridCol w:w="1366"/>
        <w:gridCol w:w="1368"/>
        <w:gridCol w:w="1366"/>
        <w:gridCol w:w="1368"/>
        <w:gridCol w:w="1366"/>
        <w:gridCol w:w="1373"/>
      </w:tblGrid>
      <w:tr>
        <w:trPr>
          <w:trHeight w:val="67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16"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10" w:right="50"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36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6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7"/>
              <w:jc w:val="right"/>
              <w:rPr>
                <w:rFonts w:ascii="宋体" w:hAnsi="宋体" w:cs="宋体" w:eastAsia="宋体" w:hint="default"/>
                <w:sz w:val="18"/>
                <w:szCs w:val="18"/>
              </w:rPr>
            </w:pPr>
            <w:r>
              <w:rPr>
                <w:rFonts w:ascii="宋体" w:hAnsi="宋体" w:cs="宋体" w:eastAsia="宋体" w:hint="default"/>
                <w:sz w:val="18"/>
                <w:szCs w:val="18"/>
              </w:rPr>
              <w:t>图书出版发行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293,117,550.87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211,803,676.09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8" w:right="0"/>
              <w:jc w:val="left"/>
              <w:rPr>
                <w:rFonts w:ascii="Times New Roman" w:hAnsi="Times New Roman" w:cs="Times New Roman" w:eastAsia="Times New Roman" w:hint="default"/>
                <w:sz w:val="18"/>
                <w:szCs w:val="18"/>
              </w:rPr>
            </w:pPr>
            <w:r>
              <w:rPr>
                <w:rFonts w:ascii="Times New Roman"/>
                <w:sz w:val="18"/>
              </w:rPr>
              <w:t>27.74%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1" w:right="0"/>
              <w:jc w:val="left"/>
              <w:rPr>
                <w:rFonts w:ascii="Times New Roman" w:hAnsi="Times New Roman" w:cs="Times New Roman" w:eastAsia="Times New Roman" w:hint="default"/>
                <w:sz w:val="18"/>
                <w:szCs w:val="18"/>
              </w:rPr>
            </w:pPr>
            <w:r>
              <w:rPr>
                <w:rFonts w:ascii="Times New Roman"/>
                <w:sz w:val="18"/>
              </w:rPr>
              <w:t>-18.37%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8" w:right="0"/>
              <w:jc w:val="left"/>
              <w:rPr>
                <w:rFonts w:ascii="Times New Roman" w:hAnsi="Times New Roman" w:cs="Times New Roman" w:eastAsia="Times New Roman" w:hint="default"/>
                <w:sz w:val="18"/>
                <w:szCs w:val="18"/>
              </w:rPr>
            </w:pPr>
            <w:r>
              <w:rPr>
                <w:rFonts w:ascii="Times New Roman"/>
                <w:sz w:val="18"/>
              </w:rPr>
              <w:t>1.50%</w:t>
            </w:r>
          </w:p>
        </w:tc>
      </w:tr>
      <w:tr>
        <w:trPr>
          <w:trHeight w:val="36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7"/>
              <w:jc w:val="right"/>
              <w:rPr>
                <w:rFonts w:ascii="宋体" w:hAnsi="宋体" w:cs="宋体" w:eastAsia="宋体" w:hint="default"/>
                <w:sz w:val="18"/>
                <w:szCs w:val="18"/>
              </w:rPr>
            </w:pPr>
            <w:r>
              <w:rPr>
                <w:rFonts w:ascii="宋体" w:hAnsi="宋体" w:cs="宋体" w:eastAsia="宋体" w:hint="default"/>
                <w:sz w:val="18"/>
                <w:szCs w:val="18"/>
              </w:rPr>
              <w:t>移动网络游戏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251,164,979.30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23,966,990.95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8" w:right="0"/>
              <w:jc w:val="left"/>
              <w:rPr>
                <w:rFonts w:ascii="Times New Roman" w:hAnsi="Times New Roman" w:cs="Times New Roman" w:eastAsia="Times New Roman" w:hint="default"/>
                <w:sz w:val="18"/>
                <w:szCs w:val="18"/>
              </w:rPr>
            </w:pPr>
            <w:r>
              <w:rPr>
                <w:rFonts w:ascii="Times New Roman"/>
                <w:sz w:val="18"/>
              </w:rPr>
              <w:t>90.46%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0" w:right="0"/>
              <w:jc w:val="left"/>
              <w:rPr>
                <w:rFonts w:ascii="Times New Roman" w:hAnsi="Times New Roman" w:cs="Times New Roman" w:eastAsia="Times New Roman" w:hint="default"/>
                <w:sz w:val="18"/>
                <w:szCs w:val="18"/>
              </w:rPr>
            </w:pPr>
            <w:r>
              <w:rPr>
                <w:rFonts w:ascii="Times New Roman"/>
                <w:sz w:val="18"/>
              </w:rPr>
              <w:t>60.29%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44.41%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8" w:right="0"/>
              <w:jc w:val="left"/>
              <w:rPr>
                <w:rFonts w:ascii="Times New Roman" w:hAnsi="Times New Roman" w:cs="Times New Roman" w:eastAsia="Times New Roman" w:hint="default"/>
                <w:sz w:val="18"/>
                <w:szCs w:val="18"/>
              </w:rPr>
            </w:pPr>
            <w:r>
              <w:rPr>
                <w:rFonts w:ascii="Times New Roman"/>
                <w:sz w:val="18"/>
              </w:rPr>
              <w:t>1.05%</w:t>
            </w:r>
          </w:p>
        </w:tc>
      </w:tr>
      <w:tr>
        <w:trPr>
          <w:trHeight w:val="36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6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青少年类图书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209,342,058.43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155,202,992.25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8" w:right="0"/>
              <w:jc w:val="left"/>
              <w:rPr>
                <w:rFonts w:ascii="Times New Roman" w:hAnsi="Times New Roman" w:cs="Times New Roman" w:eastAsia="Times New Roman" w:hint="default"/>
                <w:sz w:val="18"/>
                <w:szCs w:val="18"/>
              </w:rPr>
            </w:pPr>
            <w:r>
              <w:rPr>
                <w:rFonts w:ascii="Times New Roman"/>
                <w:sz w:val="18"/>
              </w:rPr>
              <w:t>25.86%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1" w:right="0"/>
              <w:jc w:val="left"/>
              <w:rPr>
                <w:rFonts w:ascii="Times New Roman" w:hAnsi="Times New Roman" w:cs="Times New Roman" w:eastAsia="Times New Roman" w:hint="default"/>
                <w:sz w:val="18"/>
                <w:szCs w:val="18"/>
              </w:rPr>
            </w:pPr>
            <w:r>
              <w:rPr>
                <w:rFonts w:ascii="Times New Roman"/>
                <w:sz w:val="18"/>
              </w:rPr>
              <w:t>-27.75%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-26.48%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7" w:right="0"/>
              <w:jc w:val="left"/>
              <w:rPr>
                <w:rFonts w:ascii="Times New Roman" w:hAnsi="Times New Roman" w:cs="Times New Roman" w:eastAsia="Times New Roman" w:hint="default"/>
                <w:sz w:val="18"/>
                <w:szCs w:val="18"/>
              </w:rPr>
            </w:pPr>
            <w:r>
              <w:rPr>
                <w:rFonts w:ascii="Times New Roman"/>
                <w:sz w:val="18"/>
              </w:rPr>
              <w:t>-1.29%</w:t>
            </w:r>
          </w:p>
        </w:tc>
      </w:tr>
      <w:tr>
        <w:trPr>
          <w:trHeight w:val="36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社科类图书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81,400,342.47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55,385,923.48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8" w:right="0"/>
              <w:jc w:val="left"/>
              <w:rPr>
                <w:rFonts w:ascii="Times New Roman" w:hAnsi="Times New Roman" w:cs="Times New Roman" w:eastAsia="Times New Roman" w:hint="default"/>
                <w:sz w:val="18"/>
                <w:szCs w:val="18"/>
              </w:rPr>
            </w:pPr>
            <w:r>
              <w:rPr>
                <w:rFonts w:ascii="Times New Roman"/>
                <w:sz w:val="18"/>
              </w:rPr>
              <w:t>31.96%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0" w:right="0"/>
              <w:jc w:val="left"/>
              <w:rPr>
                <w:rFonts w:ascii="Times New Roman" w:hAnsi="Times New Roman" w:cs="Times New Roman" w:eastAsia="Times New Roman" w:hint="default"/>
                <w:sz w:val="18"/>
                <w:szCs w:val="18"/>
              </w:rPr>
            </w:pPr>
            <w:r>
              <w:rPr>
                <w:rFonts w:ascii="Times New Roman"/>
                <w:sz w:val="18"/>
              </w:rPr>
              <w:t>20.69%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3.61%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8" w:right="0"/>
              <w:jc w:val="left"/>
              <w:rPr>
                <w:rFonts w:ascii="Times New Roman" w:hAnsi="Times New Roman" w:cs="Times New Roman" w:eastAsia="Times New Roman" w:hint="default"/>
                <w:sz w:val="18"/>
                <w:szCs w:val="18"/>
              </w:rPr>
            </w:pPr>
            <w:r>
              <w:rPr>
                <w:rFonts w:ascii="Times New Roman"/>
                <w:sz w:val="18"/>
              </w:rPr>
              <w:t>11.22%</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59" w:top="1400" w:bottom="1140" w:left="1020" w:right="1000"/>
        </w:sectPr>
      </w:pPr>
    </w:p>
    <w:p>
      <w:pPr>
        <w:spacing w:line="240" w:lineRule="auto" w:before="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366"/>
        <w:gridCol w:w="1366"/>
        <w:gridCol w:w="1368"/>
        <w:gridCol w:w="1366"/>
        <w:gridCol w:w="1368"/>
        <w:gridCol w:w="1366"/>
        <w:gridCol w:w="1373"/>
      </w:tblGrid>
      <w:tr>
        <w:trPr>
          <w:trHeight w:val="67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1" w:right="192"/>
              <w:jc w:val="left"/>
              <w:rPr>
                <w:rFonts w:ascii="宋体" w:hAnsi="宋体" w:cs="宋体" w:eastAsia="宋体" w:hint="default"/>
                <w:sz w:val="18"/>
                <w:szCs w:val="18"/>
              </w:rPr>
            </w:pPr>
            <w:r>
              <w:rPr>
                <w:rFonts w:ascii="宋体" w:hAnsi="宋体" w:cs="宋体" w:eastAsia="宋体" w:hint="default"/>
                <w:sz w:val="18"/>
                <w:szCs w:val="18"/>
              </w:rPr>
              <w:t>移动网游戏</w:t>
            </w:r>
            <w:r>
              <w:rPr>
                <w:rFonts w:ascii="Times New Roman" w:hAnsi="Times New Roman" w:cs="Times New Roman" w:eastAsia="Times New Roman" w:hint="default"/>
                <w:sz w:val="18"/>
                <w:szCs w:val="18"/>
              </w:rPr>
              <w:t>-</w:t>
            </w:r>
            <w:r>
              <w:rPr>
                <w:rFonts w:ascii="宋体" w:hAnsi="宋体" w:cs="宋体" w:eastAsia="宋体" w:hint="default"/>
                <w:sz w:val="18"/>
                <w:szCs w:val="18"/>
              </w:rPr>
              <w:t>忘 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117,221,989.44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6,217,761.09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94.70%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98"/>
              <w:jc w:val="right"/>
              <w:rPr>
                <w:rFonts w:ascii="Times New Roman" w:hAnsi="Times New Roman" w:cs="Times New Roman" w:eastAsia="Times New Roman" w:hint="default"/>
                <w:sz w:val="18"/>
                <w:szCs w:val="18"/>
              </w:rPr>
            </w:pPr>
            <w:r>
              <w:rPr>
                <w:rFonts w:ascii="Times New Roman"/>
                <w:sz w:val="18"/>
              </w:rPr>
              <w:t>39.30%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12.59%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1.26%</w:t>
            </w:r>
          </w:p>
        </w:tc>
      </w:tr>
      <w:tr>
        <w:trPr>
          <w:trHeight w:val="67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1" w:right="192"/>
              <w:jc w:val="left"/>
              <w:rPr>
                <w:rFonts w:ascii="宋体" w:hAnsi="宋体" w:cs="宋体" w:eastAsia="宋体" w:hint="default"/>
                <w:sz w:val="18"/>
                <w:szCs w:val="18"/>
              </w:rPr>
            </w:pPr>
            <w:r>
              <w:rPr>
                <w:rFonts w:ascii="宋体" w:hAnsi="宋体" w:cs="宋体" w:eastAsia="宋体" w:hint="default"/>
                <w:sz w:val="18"/>
                <w:szCs w:val="18"/>
              </w:rPr>
              <w:t>移动网游戏</w:t>
            </w:r>
            <w:r>
              <w:rPr>
                <w:rFonts w:ascii="Times New Roman" w:hAnsi="Times New Roman" w:cs="Times New Roman" w:eastAsia="Times New Roman" w:hint="default"/>
                <w:sz w:val="18"/>
                <w:szCs w:val="18"/>
              </w:rPr>
              <w:t>-</w:t>
            </w:r>
            <w:r>
              <w:rPr>
                <w:rFonts w:ascii="宋体" w:hAnsi="宋体" w:cs="宋体" w:eastAsia="宋体" w:hint="default"/>
                <w:sz w:val="18"/>
                <w:szCs w:val="18"/>
              </w:rPr>
              <w:t>卧 虎藏龙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109,638,709.96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12,690,354.46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88.43%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55"/>
              <w:jc w:val="right"/>
              <w:rPr>
                <w:rFonts w:ascii="Times New Roman" w:hAnsi="Times New Roman" w:cs="Times New Roman" w:eastAsia="Times New Roman" w:hint="default"/>
                <w:sz w:val="18"/>
                <w:szCs w:val="18"/>
              </w:rPr>
            </w:pPr>
            <w:r>
              <w:rPr>
                <w:rFonts w:ascii="Times New Roman"/>
                <w:spacing w:val="-1"/>
                <w:sz w:val="18"/>
              </w:rPr>
              <w:t>560.12%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763.35%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-2.72%</w:t>
            </w:r>
          </w:p>
        </w:tc>
      </w:tr>
      <w:tr>
        <w:trPr>
          <w:trHeight w:val="360"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36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475,740,590.76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235,770,667.04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8" w:right="0"/>
              <w:jc w:val="left"/>
              <w:rPr>
                <w:rFonts w:ascii="Times New Roman" w:hAnsi="Times New Roman" w:cs="Times New Roman" w:eastAsia="Times New Roman" w:hint="default"/>
                <w:sz w:val="18"/>
                <w:szCs w:val="18"/>
              </w:rPr>
            </w:pPr>
            <w:r>
              <w:rPr>
                <w:rFonts w:ascii="Times New Roman"/>
                <w:sz w:val="18"/>
              </w:rPr>
              <w:t>50.44%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6" w:right="0"/>
              <w:jc w:val="left"/>
              <w:rPr>
                <w:rFonts w:ascii="Times New Roman" w:hAnsi="Times New Roman" w:cs="Times New Roman" w:eastAsia="Times New Roman" w:hint="default"/>
                <w:sz w:val="18"/>
                <w:szCs w:val="18"/>
              </w:rPr>
            </w:pPr>
            <w:r>
              <w:rPr>
                <w:rFonts w:ascii="Times New Roman"/>
                <w:sz w:val="18"/>
              </w:rPr>
              <w:t>3.77%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9" w:right="0"/>
              <w:jc w:val="left"/>
              <w:rPr>
                <w:rFonts w:ascii="Times New Roman" w:hAnsi="Times New Roman" w:cs="Times New Roman" w:eastAsia="Times New Roman" w:hint="default"/>
                <w:sz w:val="18"/>
                <w:szCs w:val="18"/>
              </w:rPr>
            </w:pPr>
            <w:r>
              <w:rPr>
                <w:rFonts w:ascii="Times New Roman"/>
                <w:sz w:val="18"/>
              </w:rPr>
              <w:t>-14.37%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03" w:right="0"/>
              <w:jc w:val="left"/>
              <w:rPr>
                <w:rFonts w:ascii="Times New Roman" w:hAnsi="Times New Roman" w:cs="Times New Roman" w:eastAsia="Times New Roman" w:hint="default"/>
                <w:sz w:val="18"/>
                <w:szCs w:val="18"/>
              </w:rPr>
            </w:pPr>
            <w:r>
              <w:rPr>
                <w:rFonts w:ascii="Times New Roman"/>
                <w:sz w:val="18"/>
              </w:rPr>
              <w:t>10.50%</w:t>
            </w:r>
          </w:p>
        </w:tc>
      </w:tr>
      <w:tr>
        <w:trPr>
          <w:trHeight w:val="36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68,541,939.41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2" w:right="0"/>
              <w:jc w:val="lef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98"/>
              <w:jc w:val="right"/>
              <w:rPr>
                <w:rFonts w:ascii="Times New Roman" w:hAnsi="Times New Roman" w:cs="Times New Roman" w:eastAsia="Times New Roman" w:hint="default"/>
                <w:sz w:val="18"/>
                <w:szCs w:val="18"/>
              </w:rPr>
            </w:pPr>
            <w:r>
              <w:rPr>
                <w:rFonts w:ascii="Times New Roman"/>
                <w:sz w:val="18"/>
              </w:rPr>
              <w:t>19.59%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3" w:right="0"/>
              <w:jc w:val="left"/>
              <w:rPr>
                <w:rFonts w:ascii="Times New Roman" w:hAnsi="Times New Roman" w:cs="Times New Roman" w:eastAsia="Times New Roman" w:hint="default"/>
                <w:sz w:val="18"/>
                <w:szCs w:val="18"/>
              </w:rPr>
            </w:pPr>
            <w:r>
              <w:rPr>
                <w:rFonts w:ascii="Times New Roman"/>
                <w:sz w:val="18"/>
              </w:rPr>
              <w:t>10.66%</w:t>
            </w:r>
          </w:p>
        </w:tc>
      </w:tr>
    </w:tbl>
    <w:p>
      <w:pPr>
        <w:spacing w:line="240" w:lineRule="auto" w:before="1"/>
        <w:rPr>
          <w:rFonts w:ascii="宋体" w:hAnsi="宋体" w:cs="宋体" w:eastAsia="宋体" w:hint="default"/>
          <w:sz w:val="29"/>
          <w:szCs w:val="29"/>
        </w:rPr>
      </w:pPr>
    </w:p>
    <w:p>
      <w:pPr>
        <w:pStyle w:val="Heading6"/>
        <w:spacing w:line="386" w:lineRule="auto" w:before="36"/>
        <w:ind w:left="823" w:right="598"/>
        <w:jc w:val="left"/>
      </w:pPr>
      <w:r>
        <w:rPr>
          <w:spacing w:val="-3"/>
        </w:rPr>
        <w:t>公司主营业务数据统计口径在报告期发生调整的情况下，公司最近</w:t>
      </w:r>
      <w:r>
        <w:rPr>
          <w:spacing w:val="-33"/>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年按报告期末口径调整</w:t>
      </w:r>
      <w:r>
        <w:rPr>
          <w:spacing w:val="-98"/>
        </w:rPr>
        <w:t> </w:t>
      </w:r>
      <w:r>
        <w:rPr>
          <w:spacing w:val="-98"/>
        </w:rPr>
      </w:r>
      <w:r>
        <w:rPr/>
        <w:t>后的主营业务数据</w:t>
      </w:r>
    </w:p>
    <w:p>
      <w:pPr>
        <w:pStyle w:val="Heading6"/>
        <w:spacing w:line="240" w:lineRule="auto" w:before="65"/>
        <w:ind w:left="823" w:right="598"/>
        <w:jc w:val="left"/>
      </w:pPr>
      <w:r>
        <w:rPr/>
        <w:t>□适用√不适用</w:t>
      </w:r>
    </w:p>
    <w:p>
      <w:pPr>
        <w:spacing w:line="240" w:lineRule="auto" w:before="10"/>
        <w:rPr>
          <w:rFonts w:ascii="宋体" w:hAnsi="宋体" w:cs="宋体" w:eastAsia="宋体" w:hint="default"/>
          <w:sz w:val="14"/>
          <w:szCs w:val="14"/>
        </w:rPr>
      </w:pPr>
    </w:p>
    <w:p>
      <w:pPr>
        <w:pStyle w:val="Heading5"/>
        <w:spacing w:line="240" w:lineRule="auto"/>
        <w:ind w:right="598"/>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pStyle w:val="Heading6"/>
        <w:spacing w:line="240" w:lineRule="auto" w:before="177"/>
        <w:ind w:left="823" w:right="598"/>
        <w:jc w:val="left"/>
      </w:pPr>
      <w:r>
        <w:rPr/>
        <w:t>□适用√不适用</w:t>
      </w:r>
    </w:p>
    <w:p>
      <w:pPr>
        <w:spacing w:line="240" w:lineRule="auto" w:before="10"/>
        <w:rPr>
          <w:rFonts w:ascii="宋体" w:hAnsi="宋体" w:cs="宋体" w:eastAsia="宋体" w:hint="default"/>
          <w:sz w:val="14"/>
          <w:szCs w:val="14"/>
        </w:rPr>
      </w:pPr>
    </w:p>
    <w:p>
      <w:pPr>
        <w:pStyle w:val="Heading5"/>
        <w:spacing w:line="240" w:lineRule="auto"/>
        <w:ind w:right="598"/>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pStyle w:val="Heading6"/>
        <w:spacing w:line="240" w:lineRule="auto" w:before="177"/>
        <w:ind w:left="823" w:right="598"/>
        <w:jc w:val="left"/>
      </w:pPr>
      <w:r>
        <w:rPr/>
        <w:t>□适用√不适用</w:t>
      </w:r>
    </w:p>
    <w:p>
      <w:pPr>
        <w:spacing w:line="240" w:lineRule="auto" w:before="10"/>
        <w:rPr>
          <w:rFonts w:ascii="宋体" w:hAnsi="宋体" w:cs="宋体" w:eastAsia="宋体" w:hint="default"/>
          <w:sz w:val="14"/>
          <w:szCs w:val="14"/>
        </w:rPr>
      </w:pPr>
    </w:p>
    <w:p>
      <w:pPr>
        <w:spacing w:line="386" w:lineRule="auto" w:before="0"/>
        <w:ind w:left="823" w:right="717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b/>
          <w:bCs/>
          <w:spacing w:val="-104"/>
          <w:sz w:val="21"/>
          <w:szCs w:val="21"/>
        </w:rPr>
        <w:t> </w:t>
      </w:r>
      <w:r>
        <w:rPr>
          <w:rFonts w:ascii="宋体" w:hAnsi="宋体" w:cs="宋体" w:eastAsia="宋体" w:hint="default"/>
          <w:sz w:val="21"/>
          <w:szCs w:val="21"/>
        </w:rPr>
        <w:t>行业分类</w:t>
      </w:r>
    </w:p>
    <w:p>
      <w:pPr>
        <w:pStyle w:val="BodyText"/>
        <w:spacing w:line="240" w:lineRule="auto" w:before="9"/>
        <w:ind w:left="0" w:right="615"/>
        <w:jc w:val="right"/>
      </w:pPr>
      <w:r>
        <w:rPr/>
        <w:t>单位：元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68"/>
        <w:gridCol w:w="1369"/>
        <w:gridCol w:w="1366"/>
        <w:gridCol w:w="1368"/>
        <w:gridCol w:w="1366"/>
        <w:gridCol w:w="1369"/>
        <w:gridCol w:w="1368"/>
      </w:tblGrid>
      <w:tr>
        <w:trPr>
          <w:trHeight w:val="36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1" w:right="0"/>
              <w:jc w:val="left"/>
              <w:rPr>
                <w:rFonts w:ascii="宋体" w:hAnsi="宋体" w:cs="宋体" w:eastAsia="宋体" w:hint="default"/>
                <w:sz w:val="20"/>
                <w:szCs w:val="20"/>
              </w:rPr>
            </w:pPr>
            <w:r>
              <w:rPr>
                <w:rFonts w:ascii="宋体" w:hAnsi="宋体" w:cs="宋体" w:eastAsia="宋体" w:hint="default"/>
                <w:sz w:val="20"/>
                <w:szCs w:val="20"/>
              </w:rPr>
              <w:t>图书出版发行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11"/>
              <w:jc w:val="center"/>
              <w:rPr>
                <w:rFonts w:ascii="宋体" w:hAnsi="宋体" w:cs="宋体" w:eastAsia="宋体" w:hint="default"/>
                <w:sz w:val="20"/>
                <w:szCs w:val="20"/>
              </w:rPr>
            </w:pPr>
            <w:r>
              <w:rPr>
                <w:rFonts w:ascii="宋体" w:hAnsi="宋体" w:cs="宋体" w:eastAsia="宋体" w:hint="default"/>
                <w:sz w:val="20"/>
                <w:szCs w:val="20"/>
              </w:rPr>
              <w:t>主营业务成本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Times New Roman" w:hAnsi="Times New Roman" w:cs="Times New Roman" w:eastAsia="Times New Roman" w:hint="default"/>
                <w:sz w:val="20"/>
                <w:szCs w:val="20"/>
              </w:rPr>
            </w:pPr>
            <w:r>
              <w:rPr>
                <w:rFonts w:ascii="Times New Roman"/>
                <w:sz w:val="20"/>
              </w:rPr>
              <w:t>211,803,676.09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sz w:val="20"/>
              </w:rPr>
              <w:t>89.83%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Times New Roman" w:hAnsi="Times New Roman" w:cs="Times New Roman" w:eastAsia="Times New Roman" w:hint="default"/>
                <w:sz w:val="20"/>
                <w:szCs w:val="20"/>
              </w:rPr>
            </w:pPr>
            <w:r>
              <w:rPr>
                <w:rFonts w:ascii="Times New Roman"/>
                <w:sz w:val="20"/>
              </w:rPr>
              <w:t>264,842,860.28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sz w:val="20"/>
              </w:rPr>
              <w:t>94.10%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9" w:right="0"/>
              <w:jc w:val="left"/>
              <w:rPr>
                <w:rFonts w:ascii="Times New Roman" w:hAnsi="Times New Roman" w:cs="Times New Roman" w:eastAsia="Times New Roman" w:hint="default"/>
                <w:sz w:val="18"/>
                <w:szCs w:val="18"/>
              </w:rPr>
            </w:pPr>
            <w:r>
              <w:rPr>
                <w:rFonts w:ascii="Times New Roman"/>
                <w:sz w:val="18"/>
              </w:rPr>
              <w:t>-20.03%</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1" w:right="0"/>
              <w:jc w:val="left"/>
              <w:rPr>
                <w:rFonts w:ascii="宋体" w:hAnsi="宋体" w:cs="宋体" w:eastAsia="宋体" w:hint="default"/>
                <w:sz w:val="20"/>
                <w:szCs w:val="20"/>
              </w:rPr>
            </w:pPr>
            <w:r>
              <w:rPr>
                <w:rFonts w:ascii="宋体" w:hAnsi="宋体" w:cs="宋体" w:eastAsia="宋体" w:hint="default"/>
                <w:sz w:val="20"/>
                <w:szCs w:val="20"/>
              </w:rPr>
              <w:t>移动网游戏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11"/>
              <w:jc w:val="center"/>
              <w:rPr>
                <w:rFonts w:ascii="宋体" w:hAnsi="宋体" w:cs="宋体" w:eastAsia="宋体" w:hint="default"/>
                <w:sz w:val="20"/>
                <w:szCs w:val="20"/>
              </w:rPr>
            </w:pPr>
            <w:r>
              <w:rPr>
                <w:rFonts w:ascii="宋体" w:hAnsi="宋体" w:cs="宋体" w:eastAsia="宋体" w:hint="default"/>
                <w:sz w:val="20"/>
                <w:szCs w:val="20"/>
              </w:rPr>
              <w:t>主营业务成本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Times New Roman" w:hAnsi="Times New Roman" w:cs="Times New Roman" w:eastAsia="Times New Roman" w:hint="default"/>
                <w:sz w:val="20"/>
                <w:szCs w:val="20"/>
              </w:rPr>
            </w:pPr>
            <w:r>
              <w:rPr>
                <w:rFonts w:ascii="Times New Roman"/>
                <w:sz w:val="20"/>
              </w:rPr>
              <w:t>23,966,990.95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sz w:val="20"/>
              </w:rPr>
              <w:t>10.17%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Times New Roman" w:hAnsi="Times New Roman" w:cs="Times New Roman" w:eastAsia="Times New Roman" w:hint="default"/>
                <w:sz w:val="20"/>
                <w:szCs w:val="20"/>
              </w:rPr>
            </w:pPr>
            <w:r>
              <w:rPr>
                <w:rFonts w:ascii="Times New Roman"/>
                <w:sz w:val="20"/>
              </w:rPr>
              <w:t>16,596,947.27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sz w:val="20"/>
              </w:rPr>
              <w:t>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8" w:right="0"/>
              <w:jc w:val="left"/>
              <w:rPr>
                <w:rFonts w:ascii="Times New Roman" w:hAnsi="Times New Roman" w:cs="Times New Roman" w:eastAsia="Times New Roman" w:hint="default"/>
                <w:sz w:val="18"/>
                <w:szCs w:val="18"/>
              </w:rPr>
            </w:pPr>
            <w:r>
              <w:rPr>
                <w:rFonts w:ascii="Times New Roman"/>
                <w:sz w:val="18"/>
              </w:rPr>
              <w:t>44.41%</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
              <w:jc w:val="center"/>
              <w:rPr>
                <w:rFonts w:ascii="宋体" w:hAnsi="宋体" w:cs="宋体" w:eastAsia="宋体" w:hint="default"/>
                <w:sz w:val="20"/>
                <w:szCs w:val="20"/>
              </w:rPr>
            </w:pPr>
            <w:r>
              <w:rPr>
                <w:rFonts w:ascii="宋体" w:hAnsi="宋体" w:cs="宋体" w:eastAsia="宋体" w:hint="default"/>
                <w:sz w:val="20"/>
                <w:szCs w:val="20"/>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Times New Roman" w:hAnsi="Times New Roman" w:cs="Times New Roman" w:eastAsia="Times New Roman" w:hint="default"/>
                <w:sz w:val="20"/>
                <w:szCs w:val="20"/>
              </w:rPr>
            </w:pPr>
            <w:r>
              <w:rPr>
                <w:rFonts w:ascii="Times New Roman"/>
                <w:sz w:val="20"/>
              </w:rPr>
              <w:t>235,770,667.04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sz w:val="20"/>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Times New Roman" w:hAnsi="Times New Roman" w:cs="Times New Roman" w:eastAsia="Times New Roman" w:hint="default"/>
                <w:sz w:val="20"/>
                <w:szCs w:val="20"/>
              </w:rPr>
            </w:pPr>
            <w:r>
              <w:rPr>
                <w:rFonts w:ascii="Times New Roman"/>
                <w:sz w:val="20"/>
              </w:rPr>
              <w:t>281,439,807.55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sz w:val="20"/>
              </w:rPr>
              <w:t>100.00%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9"/>
          <w:szCs w:val="29"/>
        </w:rPr>
      </w:pPr>
    </w:p>
    <w:p>
      <w:pPr>
        <w:pStyle w:val="Heading5"/>
        <w:spacing w:line="240" w:lineRule="auto" w:before="36"/>
        <w:ind w:right="598"/>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pStyle w:val="Heading6"/>
        <w:spacing w:line="240" w:lineRule="auto" w:before="178"/>
        <w:ind w:left="823" w:right="598"/>
        <w:jc w:val="left"/>
      </w:pPr>
      <w:r>
        <w:rPr/>
        <w:t>□是√否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7"/>
        <w:ind w:right="598"/>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pStyle w:val="Heading6"/>
        <w:spacing w:line="240" w:lineRule="auto" w:before="177"/>
        <w:ind w:left="823" w:right="598"/>
        <w:jc w:val="left"/>
      </w:pPr>
      <w:r>
        <w:rPr/>
        <w:t>□适用√不适用</w:t>
      </w:r>
    </w:p>
    <w:p>
      <w:pPr>
        <w:spacing w:line="240" w:lineRule="auto" w:before="10"/>
        <w:rPr>
          <w:rFonts w:ascii="宋体" w:hAnsi="宋体" w:cs="宋体" w:eastAsia="宋体" w:hint="default"/>
          <w:sz w:val="14"/>
          <w:szCs w:val="14"/>
        </w:rPr>
      </w:pPr>
    </w:p>
    <w:p>
      <w:pPr>
        <w:spacing w:line="386" w:lineRule="auto" w:before="0"/>
        <w:ind w:left="823" w:right="441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8</w:t>
      </w:r>
      <w:r>
        <w:rPr>
          <w:rFonts w:ascii="宋体" w:hAnsi="宋体" w:cs="宋体" w:eastAsia="宋体" w:hint="default"/>
          <w:b/>
          <w:bCs/>
          <w:spacing w:val="-1"/>
          <w:sz w:val="21"/>
          <w:szCs w:val="21"/>
        </w:rPr>
        <w:t>）主要销售客户和主要供应商情况</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公司主要销售客户情况</w:t>
      </w:r>
    </w:p>
    <w:tbl>
      <w:tblPr>
        <w:tblW w:w="0" w:type="auto"/>
        <w:jc w:val="left"/>
        <w:tblInd w:w="110" w:type="dxa"/>
        <w:tblLayout w:type="fixed"/>
        <w:tblCellMar>
          <w:top w:w="0" w:type="dxa"/>
          <w:left w:w="0" w:type="dxa"/>
          <w:bottom w:w="0" w:type="dxa"/>
          <w:right w:w="0" w:type="dxa"/>
        </w:tblCellMar>
        <w:tblLook w:val="01E0"/>
      </w:tblPr>
      <w:tblGrid>
        <w:gridCol w:w="4256"/>
        <w:gridCol w:w="5312"/>
      </w:tblGrid>
      <w:tr>
        <w:trPr>
          <w:trHeight w:val="361" w:hRule="exact"/>
        </w:trPr>
        <w:tc>
          <w:tcPr>
            <w:tcW w:w="4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327,438,214.60</w:t>
            </w:r>
          </w:p>
        </w:tc>
      </w:tr>
      <w:tr>
        <w:trPr>
          <w:trHeight w:val="362" w:hRule="exact"/>
        </w:trPr>
        <w:tc>
          <w:tcPr>
            <w:tcW w:w="4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60.15%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9" w:top="1340" w:bottom="1140" w:left="1020" w:right="1080"/>
        </w:sectPr>
      </w:pPr>
    </w:p>
    <w:p>
      <w:pPr>
        <w:pStyle w:val="Heading6"/>
        <w:spacing w:line="240" w:lineRule="auto" w:before="9"/>
        <w:ind w:left="823" w:right="598"/>
        <w:jc w:val="left"/>
      </w:pPr>
      <w:r>
        <w:rPr/>
        <w:t>公司前</w:t>
      </w:r>
      <w:r>
        <w:rPr>
          <w:spacing w:val="-53"/>
        </w:rPr>
        <w:t> </w:t>
      </w:r>
      <w:r>
        <w:rPr>
          <w:rFonts w:ascii="Times New Roman" w:hAnsi="Times New Roman" w:cs="Times New Roman" w:eastAsia="Times New Roman" w:hint="default"/>
        </w:rPr>
        <w:t>5 </w:t>
      </w:r>
      <w:r>
        <w:rPr/>
        <w:t>大客户资料</w:t>
      </w:r>
    </w:p>
    <w:p>
      <w:pPr>
        <w:spacing w:line="240" w:lineRule="auto" w:before="9"/>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779"/>
        <w:gridCol w:w="3313"/>
        <w:gridCol w:w="2324"/>
        <w:gridCol w:w="3142"/>
      </w:tblGrid>
      <w:tr>
        <w:trPr>
          <w:trHeight w:val="360"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53"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36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安徽新华教育图书发行有限公司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120,903,447.52</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22.21%</w:t>
            </w:r>
          </w:p>
        </w:tc>
      </w:tr>
      <w:tr>
        <w:trPr>
          <w:trHeight w:val="36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湖南省新华书店有限责任公司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67,677,254.49</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12.43%</w:t>
            </w:r>
          </w:p>
        </w:tc>
      </w:tr>
      <w:tr>
        <w:trPr>
          <w:trHeight w:val="36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天津百度紫桐科技有限公司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53,363,660.11</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9.80%</w:t>
            </w:r>
          </w:p>
        </w:tc>
      </w:tr>
      <w:tr>
        <w:trPr>
          <w:trHeight w:val="36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苹果在线商店</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45,586,855.11</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8.38%</w:t>
            </w:r>
          </w:p>
        </w:tc>
      </w:tr>
      <w:tr>
        <w:trPr>
          <w:trHeight w:val="36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广州爱九游信息技术有限公司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39,906,997.37</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7.33%</w:t>
            </w:r>
          </w:p>
        </w:tc>
      </w:tr>
      <w:tr>
        <w:trPr>
          <w:trHeight w:val="36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327,438,214.60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60.15%</w:t>
            </w:r>
          </w:p>
        </w:tc>
      </w:tr>
    </w:tbl>
    <w:p>
      <w:pPr>
        <w:spacing w:line="240" w:lineRule="auto" w:before="1"/>
        <w:rPr>
          <w:rFonts w:ascii="宋体" w:hAnsi="宋体" w:cs="宋体" w:eastAsia="宋体" w:hint="default"/>
          <w:sz w:val="23"/>
          <w:szCs w:val="23"/>
        </w:rPr>
      </w:pPr>
    </w:p>
    <w:p>
      <w:pPr>
        <w:pStyle w:val="Heading6"/>
        <w:spacing w:line="240" w:lineRule="auto" w:before="36"/>
        <w:ind w:left="823" w:right="598"/>
        <w:jc w:val="left"/>
      </w:pPr>
      <w:r>
        <w:rPr/>
        <w:t>公司主要供应商情况</w:t>
      </w:r>
    </w:p>
    <w:p>
      <w:pPr>
        <w:spacing w:line="240" w:lineRule="auto" w:before="12"/>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4256"/>
        <w:gridCol w:w="5312"/>
      </w:tblGrid>
      <w:tr>
        <w:trPr>
          <w:trHeight w:val="362" w:hRule="exact"/>
        </w:trPr>
        <w:tc>
          <w:tcPr>
            <w:tcW w:w="4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83,247,423.10</w:t>
            </w:r>
          </w:p>
        </w:tc>
      </w:tr>
      <w:tr>
        <w:trPr>
          <w:trHeight w:val="362" w:hRule="exact"/>
        </w:trPr>
        <w:tc>
          <w:tcPr>
            <w:tcW w:w="4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35.31%</w:t>
            </w:r>
          </w:p>
        </w:tc>
      </w:tr>
    </w:tbl>
    <w:p>
      <w:pPr>
        <w:pStyle w:val="Heading6"/>
        <w:spacing w:line="278" w:lineRule="exact"/>
        <w:ind w:left="823" w:right="598"/>
        <w:jc w:val="left"/>
      </w:pPr>
      <w:r>
        <w:rPr/>
        <w:t>公司前</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7"/>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911"/>
        <w:gridCol w:w="3181"/>
        <w:gridCol w:w="2324"/>
        <w:gridCol w:w="3142"/>
      </w:tblGrid>
      <w:tr>
        <w:trPr>
          <w:trHeight w:val="362"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53"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362"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人教教材中心有限责任公司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51,671,144.70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21.92%</w:t>
            </w:r>
          </w:p>
        </w:tc>
      </w:tr>
      <w:tr>
        <w:trPr>
          <w:trHeight w:val="362"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湖南教育出版社</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9,385,012.59</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3.98%</w:t>
            </w:r>
          </w:p>
        </w:tc>
      </w:tr>
      <w:tr>
        <w:trPr>
          <w:trHeight w:val="362"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怀化新华书店</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8,620,584.99</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3.66%</w:t>
            </w:r>
          </w:p>
        </w:tc>
      </w:tr>
      <w:tr>
        <w:trPr>
          <w:trHeight w:val="362"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安徽振乾文化传媒有限公司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7,529,391.60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3.19%</w:t>
            </w:r>
          </w:p>
        </w:tc>
      </w:tr>
      <w:tr>
        <w:trPr>
          <w:trHeight w:val="360"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山东创新书业有限公司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6,041,289.22</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2.56%</w:t>
            </w:r>
          </w:p>
        </w:tc>
      </w:tr>
      <w:tr>
        <w:trPr>
          <w:trHeight w:val="362"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83,247,423.10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35.31%</w:t>
            </w:r>
          </w:p>
        </w:tc>
      </w:tr>
    </w:tbl>
    <w:p>
      <w:pPr>
        <w:spacing w:line="240" w:lineRule="auto" w:before="3"/>
        <w:rPr>
          <w:rFonts w:ascii="宋体" w:hAnsi="宋体" w:cs="宋体" w:eastAsia="宋体" w:hint="default"/>
          <w:sz w:val="19"/>
          <w:szCs w:val="19"/>
        </w:rPr>
      </w:pPr>
    </w:p>
    <w:p>
      <w:pPr>
        <w:pStyle w:val="Heading5"/>
        <w:spacing w:line="240" w:lineRule="auto" w:before="36"/>
        <w:ind w:right="598"/>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615"/>
        <w:jc w:val="right"/>
      </w:pPr>
      <w:r>
        <w:rPr/>
        <w:t>单位：元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6"/>
        <w:gridCol w:w="1637"/>
        <w:gridCol w:w="1637"/>
        <w:gridCol w:w="1460"/>
        <w:gridCol w:w="2919"/>
      </w:tblGrid>
      <w:tr>
        <w:trPr>
          <w:trHeight w:val="362" w:hRule="exact"/>
        </w:trPr>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0" w:hRule="exact"/>
        </w:trPr>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0"/>
              <w:ind w:right="13"/>
              <w:jc w:val="center"/>
              <w:rPr>
                <w:rFonts w:ascii="Times New Roman" w:hAnsi="Times New Roman" w:cs="Times New Roman" w:eastAsia="Times New Roman" w:hint="default"/>
                <w:sz w:val="18"/>
                <w:szCs w:val="18"/>
              </w:rPr>
            </w:pPr>
            <w:r>
              <w:rPr>
                <w:rFonts w:ascii="Times New Roman"/>
                <w:sz w:val="18"/>
              </w:rPr>
              <w:t>41,984,008.82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43,722,560.16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0"/>
                <w:szCs w:val="20"/>
              </w:rPr>
            </w:pPr>
            <w:r>
              <w:rPr>
                <w:rFonts w:ascii="Times New Roman"/>
                <w:sz w:val="20"/>
              </w:rPr>
              <w:t>-3.98%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916" w:type="dxa"/>
            <w:tcBorders>
              <w:top w:val="single" w:sz="4" w:space="0" w:color="000000"/>
              <w:left w:val="single" w:sz="4" w:space="0" w:color="000000"/>
              <w:bottom w:val="nil" w:sz="6" w:space="0" w:color="auto"/>
              <w:right w:val="single" w:sz="4" w:space="0" w:color="000000"/>
            </w:tcBorders>
            <w:shd w:val="clear" w:color="auto" w:fill="D9D9D9"/>
          </w:tcPr>
          <w:p>
            <w:pPr/>
          </w:p>
        </w:tc>
        <w:tc>
          <w:tcPr>
            <w:tcW w:w="1637" w:type="dxa"/>
            <w:vMerge w:val="restart"/>
            <w:tcBorders>
              <w:top w:val="single" w:sz="4" w:space="0" w:color="000000"/>
              <w:left w:val="single" w:sz="9" w:space="0" w:color="D9D9D9"/>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9" w:right="0"/>
              <w:jc w:val="left"/>
              <w:rPr>
                <w:rFonts w:ascii="Times New Roman" w:hAnsi="Times New Roman" w:cs="Times New Roman" w:eastAsia="Times New Roman" w:hint="default"/>
                <w:sz w:val="18"/>
                <w:szCs w:val="18"/>
              </w:rPr>
            </w:pPr>
            <w:r>
              <w:rPr>
                <w:rFonts w:ascii="Times New Roman"/>
                <w:sz w:val="18"/>
              </w:rPr>
              <w:t>74,437,731.93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95" w:right="0"/>
              <w:jc w:val="left"/>
              <w:rPr>
                <w:rFonts w:ascii="Times New Roman" w:hAnsi="Times New Roman" w:cs="Times New Roman" w:eastAsia="Times New Roman" w:hint="default"/>
                <w:sz w:val="18"/>
                <w:szCs w:val="18"/>
              </w:rPr>
            </w:pPr>
            <w:r>
              <w:rPr>
                <w:rFonts w:ascii="Times New Roman"/>
                <w:sz w:val="18"/>
              </w:rPr>
              <w:t>52,620,702.28</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415" w:right="0"/>
              <w:jc w:val="left"/>
              <w:rPr>
                <w:rFonts w:ascii="Times New Roman" w:hAnsi="Times New Roman" w:cs="Times New Roman" w:eastAsia="Times New Roman" w:hint="default"/>
                <w:sz w:val="20"/>
                <w:szCs w:val="20"/>
              </w:rPr>
            </w:pPr>
            <w:r>
              <w:rPr>
                <w:rFonts w:ascii="Times New Roman"/>
                <w:sz w:val="20"/>
              </w:rPr>
              <w:t>41.46%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10"/>
              <w:ind w:left="38" w:right="33" w:hanging="1"/>
              <w:jc w:val="center"/>
              <w:rPr>
                <w:rFonts w:ascii="宋体" w:hAnsi="宋体" w:cs="宋体" w:eastAsia="宋体" w:hint="default"/>
                <w:sz w:val="18"/>
                <w:szCs w:val="18"/>
              </w:rPr>
            </w:pPr>
            <w:r>
              <w:rPr>
                <w:rFonts w:ascii="宋体" w:hAnsi="宋体" w:cs="宋体" w:eastAsia="宋体" w:hint="default"/>
                <w:sz w:val="18"/>
                <w:szCs w:val="18"/>
              </w:rPr>
              <w:t>主要为子公司神奇时代合并期管理 费用增加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1476.50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万元；天舟文化总</w:t>
            </w:r>
          </w:p>
          <w:p>
            <w:pPr>
              <w:pStyle w:val="TableParagraph"/>
              <w:spacing w:line="249" w:lineRule="exact"/>
              <w:ind w:left="2" w:right="0"/>
              <w:jc w:val="center"/>
              <w:rPr>
                <w:rFonts w:ascii="宋体" w:hAnsi="宋体" w:cs="宋体" w:eastAsia="宋体" w:hint="default"/>
                <w:sz w:val="18"/>
                <w:szCs w:val="18"/>
              </w:rPr>
            </w:pPr>
            <w:r>
              <w:rPr>
                <w:rFonts w:ascii="宋体" w:hAnsi="宋体" w:cs="宋体" w:eastAsia="宋体" w:hint="default"/>
                <w:sz w:val="18"/>
                <w:szCs w:val="18"/>
              </w:rPr>
              <w:t>部管理费用增加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822.69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50" w:hRule="exact"/>
        </w:trPr>
        <w:tc>
          <w:tcPr>
            <w:tcW w:w="191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9D9D9"/>
              <w:right w:val="single" w:sz="4" w:space="0" w:color="000000"/>
            </w:tcBorders>
          </w:tcPr>
          <w:p>
            <w:pPr/>
          </w:p>
        </w:tc>
        <w:tc>
          <w:tcPr>
            <w:tcW w:w="1637"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16" w:type="dxa"/>
            <w:tcBorders>
              <w:top w:val="nil" w:sz="6" w:space="0" w:color="auto"/>
              <w:left w:val="single" w:sz="4" w:space="0" w:color="000000"/>
              <w:bottom w:val="single" w:sz="4" w:space="0" w:color="000000"/>
              <w:right w:val="single" w:sz="4" w:space="0" w:color="000000"/>
            </w:tcBorders>
            <w:shd w:val="clear" w:color="auto" w:fill="D9D9D9"/>
          </w:tcPr>
          <w:p>
            <w:pPr/>
          </w:p>
        </w:tc>
        <w:tc>
          <w:tcPr>
            <w:tcW w:w="1637" w:type="dxa"/>
            <w:vMerge/>
            <w:tcBorders>
              <w:left w:val="single" w:sz="9" w:space="0" w:color="D9D9D9"/>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9D9D9"/>
          </w:tcPr>
          <w:p>
            <w:pPr/>
          </w:p>
        </w:tc>
        <w:tc>
          <w:tcPr>
            <w:tcW w:w="1637" w:type="dxa"/>
            <w:vMerge w:val="restart"/>
            <w:tcBorders>
              <w:top w:val="single" w:sz="4" w:space="0" w:color="000000"/>
              <w:left w:val="single" w:sz="9" w:space="0" w:color="D9D9D9"/>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-7,596,636.28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-5,333,461.85</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81" w:right="0"/>
              <w:jc w:val="left"/>
              <w:rPr>
                <w:rFonts w:ascii="Times New Roman" w:hAnsi="Times New Roman" w:cs="Times New Roman" w:eastAsia="Times New Roman" w:hint="default"/>
                <w:sz w:val="20"/>
                <w:szCs w:val="20"/>
              </w:rPr>
            </w:pPr>
            <w:r>
              <w:rPr>
                <w:rFonts w:ascii="Times New Roman"/>
                <w:sz w:val="20"/>
              </w:rPr>
              <w:t>-42.43%</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8"/>
              <w:ind w:left="554" w:right="101" w:hanging="449"/>
              <w:jc w:val="left"/>
              <w:rPr>
                <w:rFonts w:ascii="宋体" w:hAnsi="宋体" w:cs="宋体" w:eastAsia="宋体" w:hint="default"/>
                <w:sz w:val="18"/>
                <w:szCs w:val="18"/>
              </w:rPr>
            </w:pPr>
            <w:r>
              <w:rPr>
                <w:rFonts w:ascii="宋体" w:hAnsi="宋体" w:cs="宋体" w:eastAsia="宋体" w:hint="default"/>
                <w:sz w:val="18"/>
                <w:szCs w:val="18"/>
              </w:rPr>
              <w:t>主要为子公司神奇时代本报告期定 期存款利息收入增加。</w:t>
            </w:r>
          </w:p>
        </w:tc>
      </w:tr>
      <w:tr>
        <w:trPr>
          <w:trHeight w:val="353" w:hRule="exact"/>
        </w:trPr>
        <w:tc>
          <w:tcPr>
            <w:tcW w:w="191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9D9D9"/>
              <w:right w:val="single" w:sz="4" w:space="0" w:color="000000"/>
            </w:tcBorders>
          </w:tcPr>
          <w:p>
            <w:pPr/>
          </w:p>
        </w:tc>
        <w:tc>
          <w:tcPr>
            <w:tcW w:w="1637"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9D9D9"/>
          </w:tcPr>
          <w:p>
            <w:pPr/>
          </w:p>
        </w:tc>
        <w:tc>
          <w:tcPr>
            <w:tcW w:w="1637" w:type="dxa"/>
            <w:vMerge/>
            <w:tcBorders>
              <w:left w:val="single" w:sz="9" w:space="0" w:color="D9D9D9"/>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9D9D9"/>
          </w:tcPr>
          <w:p>
            <w:pPr/>
          </w:p>
        </w:tc>
        <w:tc>
          <w:tcPr>
            <w:tcW w:w="1637" w:type="dxa"/>
            <w:vMerge w:val="restart"/>
            <w:tcBorders>
              <w:top w:val="single" w:sz="4" w:space="0" w:color="000000"/>
              <w:left w:val="single" w:sz="9" w:space="0" w:color="D9D9D9"/>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44,332,072.42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24,516,691.61</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20"/>
                <w:szCs w:val="20"/>
              </w:rPr>
            </w:pPr>
            <w:r>
              <w:rPr>
                <w:rFonts w:ascii="Times New Roman"/>
                <w:sz w:val="20"/>
              </w:rPr>
              <w:t>80.82%</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8"/>
              <w:ind w:left="239" w:right="101" w:hanging="135"/>
              <w:jc w:val="left"/>
              <w:rPr>
                <w:rFonts w:ascii="宋体" w:hAnsi="宋体" w:cs="宋体" w:eastAsia="宋体" w:hint="default"/>
                <w:sz w:val="18"/>
                <w:szCs w:val="18"/>
              </w:rPr>
            </w:pPr>
            <w:r>
              <w:rPr>
                <w:rFonts w:ascii="宋体" w:hAnsi="宋体" w:cs="宋体" w:eastAsia="宋体" w:hint="default"/>
                <w:sz w:val="18"/>
                <w:szCs w:val="18"/>
              </w:rPr>
              <w:t>主要为报告期子公司神奇时代合并 期所得税费用增加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53" w:hRule="exact"/>
        </w:trPr>
        <w:tc>
          <w:tcPr>
            <w:tcW w:w="191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vMerge/>
            <w:tcBorders>
              <w:left w:val="single" w:sz="9" w:space="0" w:color="D9D9D9"/>
              <w:right w:val="single" w:sz="4" w:space="0" w:color="000000"/>
            </w:tcBorders>
          </w:tcPr>
          <w:p>
            <w:pPr/>
          </w:p>
        </w:tc>
        <w:tc>
          <w:tcPr>
            <w:tcW w:w="1637"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9D9D9"/>
          </w:tcPr>
          <w:p>
            <w:pPr/>
          </w:p>
        </w:tc>
        <w:tc>
          <w:tcPr>
            <w:tcW w:w="1637" w:type="dxa"/>
            <w:vMerge/>
            <w:tcBorders>
              <w:left w:val="single" w:sz="9" w:space="0" w:color="D9D9D9"/>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598"/>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30"/>
          <w:szCs w:val="30"/>
        </w:rPr>
      </w:pPr>
    </w:p>
    <w:p>
      <w:pPr>
        <w:pStyle w:val="Heading6"/>
        <w:spacing w:line="408" w:lineRule="auto"/>
        <w:ind w:left="823" w:right="598" w:firstLine="419"/>
        <w:jc w:val="left"/>
      </w:pPr>
      <w:r>
        <w:rPr>
          <w:spacing w:val="-3"/>
        </w:rPr>
        <w:t>公司持续加大研发力度，逐年增加研发投入。报告期内，公司有两款移动网游戏产品立</w:t>
      </w:r>
      <w:r>
        <w:rPr>
          <w:w w:val="100"/>
        </w:rPr>
        <w:t> </w:t>
      </w:r>
      <w:r>
        <w:rPr/>
        <w:t>项筹划并投入研发，在研游戏按计划稳步推进。</w:t>
      </w:r>
    </w:p>
    <w:p>
      <w:pPr>
        <w:spacing w:after="0" w:line="408" w:lineRule="auto"/>
        <w:jc w:val="left"/>
        <w:sectPr>
          <w:pgSz w:w="11910" w:h="16840"/>
          <w:pgMar w:header="0" w:footer="959" w:top="1400" w:bottom="1140" w:left="1020" w:right="1080"/>
        </w:sectPr>
      </w:pPr>
    </w:p>
    <w:p>
      <w:pPr>
        <w:pStyle w:val="Heading6"/>
        <w:spacing w:line="240" w:lineRule="auto" w:before="9"/>
        <w:ind w:left="803" w:right="0"/>
        <w:jc w:val="left"/>
      </w:pPr>
      <w:r>
        <w:rPr/>
        <w:t>近三年公司研发投入金额及占营业收入的比例</w:t>
      </w:r>
    </w:p>
    <w:p>
      <w:pPr>
        <w:spacing w:line="240" w:lineRule="auto" w:before="12"/>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368"/>
        <w:gridCol w:w="2405"/>
        <w:gridCol w:w="2393"/>
        <w:gridCol w:w="2391"/>
      </w:tblGrid>
      <w:tr>
        <w:trPr>
          <w:trHeight w:val="360"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62"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191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215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50</w:t>
            </w:r>
          </w:p>
        </w:tc>
      </w:tr>
      <w:tr>
        <w:trPr>
          <w:trHeight w:val="362"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21%</w:t>
            </w:r>
          </w:p>
        </w:tc>
      </w:tr>
      <w:tr>
        <w:trPr>
          <w:trHeight w:val="362"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38,426,415.63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22,943,498.07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11,686,130.85</w:t>
            </w:r>
          </w:p>
        </w:tc>
      </w:tr>
      <w:tr>
        <w:trPr>
          <w:trHeight w:val="362"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4.45%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3.56%</w:t>
            </w:r>
          </w:p>
        </w:tc>
      </w:tr>
    </w:tbl>
    <w:p>
      <w:pPr>
        <w:spacing w:line="240" w:lineRule="auto" w:before="1"/>
        <w:rPr>
          <w:rFonts w:ascii="宋体" w:hAnsi="宋体" w:cs="宋体" w:eastAsia="宋体" w:hint="default"/>
          <w:sz w:val="29"/>
          <w:szCs w:val="29"/>
        </w:rPr>
      </w:pPr>
    </w:p>
    <w:p>
      <w:pPr>
        <w:pStyle w:val="Heading6"/>
        <w:spacing w:line="240" w:lineRule="auto" w:before="36"/>
        <w:ind w:left="803" w:right="0"/>
        <w:jc w:val="left"/>
      </w:pPr>
      <w:r>
        <w:rPr/>
        <w:t>研发投入总额占营业收入的比重较上年发生显著变化的原因</w:t>
      </w:r>
    </w:p>
    <w:p>
      <w:pPr>
        <w:spacing w:line="240" w:lineRule="auto" w:before="10"/>
        <w:rPr>
          <w:rFonts w:ascii="宋体" w:hAnsi="宋体" w:cs="宋体" w:eastAsia="宋体" w:hint="default"/>
          <w:sz w:val="14"/>
          <w:szCs w:val="14"/>
        </w:rPr>
      </w:pPr>
    </w:p>
    <w:p>
      <w:pPr>
        <w:pStyle w:val="Heading6"/>
        <w:spacing w:line="410" w:lineRule="auto"/>
        <w:ind w:left="803" w:right="2957"/>
        <w:jc w:val="left"/>
      </w:pPr>
      <w:r>
        <w:rPr/>
        <w:t>□适用√不适用</w:t>
      </w:r>
      <w:r>
        <w:rPr>
          <w:spacing w:val="-103"/>
        </w:rPr>
        <w:t> </w:t>
      </w:r>
      <w:r>
        <w:rPr>
          <w:spacing w:val="-103"/>
        </w:rPr>
      </w:r>
      <w:r>
        <w:rPr>
          <w:spacing w:val="-2"/>
        </w:rPr>
        <w:t>研发投入资本化率大幅变动的原因及其合理性说明</w:t>
      </w:r>
    </w:p>
    <w:p>
      <w:pPr>
        <w:pStyle w:val="Heading6"/>
        <w:spacing w:line="408" w:lineRule="auto" w:before="44"/>
        <w:ind w:left="803" w:right="5869"/>
        <w:jc w:val="left"/>
      </w:pPr>
      <w:r>
        <w:rPr/>
        <w:t>□适用√不适用</w:t>
      </w:r>
      <w:r>
        <w:rPr>
          <w:spacing w:val="-103"/>
        </w:rPr>
        <w:t> </w:t>
      </w:r>
      <w:r>
        <w:rPr>
          <w:spacing w:val="-103"/>
        </w:rPr>
      </w:r>
      <w:r>
        <w:rPr>
          <w:spacing w:val="-2"/>
        </w:rPr>
        <w:t>近两年专利数情况</w:t>
      </w:r>
    </w:p>
    <w:p>
      <w:pPr>
        <w:pStyle w:val="Heading6"/>
        <w:spacing w:line="240" w:lineRule="auto" w:before="46"/>
        <w:ind w:left="803" w:right="0"/>
        <w:jc w:val="left"/>
      </w:pPr>
      <w:r>
        <w:rPr/>
        <w:t>□适用√不适用</w:t>
      </w:r>
    </w:p>
    <w:p>
      <w:pPr>
        <w:spacing w:line="240" w:lineRule="auto" w:before="0"/>
        <w:rPr>
          <w:rFonts w:ascii="宋体" w:hAnsi="宋体" w:cs="宋体" w:eastAsia="宋体" w:hint="default"/>
          <w:sz w:val="20"/>
          <w:szCs w:val="20"/>
        </w:rPr>
      </w:pPr>
    </w:p>
    <w:p>
      <w:pPr>
        <w:pStyle w:val="Heading5"/>
        <w:spacing w:line="240" w:lineRule="auto" w:before="154"/>
        <w:ind w:left="803"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615"/>
        <w:jc w:val="right"/>
      </w:pPr>
      <w:r>
        <w:rPr/>
        <w:t>单位：元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529"/>
        <w:gridCol w:w="2245"/>
        <w:gridCol w:w="2393"/>
        <w:gridCol w:w="2391"/>
      </w:tblGrid>
      <w:tr>
        <w:trPr>
          <w:trHeight w:val="36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6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583,865,517.67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526,987,701.17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10.79%</w:t>
            </w:r>
          </w:p>
        </w:tc>
      </w:tr>
      <w:tr>
        <w:trPr>
          <w:trHeight w:val="360"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369,187,935.74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352,258,570.19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4.81%</w:t>
            </w:r>
          </w:p>
        </w:tc>
      </w:tr>
      <w:tr>
        <w:trPr>
          <w:trHeight w:val="36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214,677,581.93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174,729,130.98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22.86%</w:t>
            </w:r>
          </w:p>
        </w:tc>
      </w:tr>
      <w:tr>
        <w:trPr>
          <w:trHeight w:val="36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186,298,494.46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184,719,208.44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0.85%</w:t>
            </w:r>
          </w:p>
        </w:tc>
      </w:tr>
      <w:tr>
        <w:trPr>
          <w:trHeight w:val="36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290,958,143.91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381,582,228.66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-23.75%</w:t>
            </w:r>
          </w:p>
        </w:tc>
      </w:tr>
      <w:tr>
        <w:trPr>
          <w:trHeight w:val="36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-104,659,649.45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-196,863,020.22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46.84%</w:t>
            </w:r>
          </w:p>
        </w:tc>
      </w:tr>
      <w:tr>
        <w:trPr>
          <w:trHeight w:val="36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225,781,992.52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12,318,585.68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7,965,000.00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54.66%</w:t>
            </w:r>
          </w:p>
        </w:tc>
      </w:tr>
      <w:tr>
        <w:trPr>
          <w:trHeight w:val="36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-12,318,585.68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Times New Roman" w:hAnsi="Times New Roman" w:cs="Times New Roman" w:eastAsia="Times New Roman" w:hint="default"/>
                <w:sz w:val="18"/>
                <w:szCs w:val="18"/>
              </w:rPr>
            </w:pPr>
            <w:r>
              <w:rPr>
                <w:rFonts w:ascii="Times New Roman"/>
                <w:sz w:val="18"/>
              </w:rPr>
              <w:t>217,816,992.52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-105.66%</w:t>
            </w:r>
          </w:p>
        </w:tc>
      </w:tr>
      <w:tr>
        <w:trPr>
          <w:trHeight w:val="36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97,699,346.80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195,683,103.28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-50.07%</w:t>
            </w:r>
          </w:p>
        </w:tc>
      </w:tr>
    </w:tbl>
    <w:p>
      <w:pPr>
        <w:pStyle w:val="BodyText"/>
        <w:spacing w:line="300" w:lineRule="auto" w:before="8"/>
        <w:ind w:left="803" w:right="615" w:firstLine="359"/>
        <w:jc w:val="both"/>
      </w:pPr>
      <w:r>
        <w:rPr>
          <w:rFonts w:ascii="Times New Roman" w:hAnsi="Times New Roman" w:cs="Times New Roman" w:eastAsia="Times New Roman" w:hint="default"/>
        </w:rPr>
        <w:t>(1)</w:t>
      </w:r>
      <w:r>
        <w:rPr/>
        <w:t>经营活动现金流入本报告期较上年同期增长</w:t>
      </w:r>
      <w:r>
        <w:rPr>
          <w:spacing w:val="-52"/>
        </w:rPr>
        <w:t> </w:t>
      </w:r>
      <w:r>
        <w:rPr>
          <w:rFonts w:ascii="Times New Roman" w:hAnsi="Times New Roman" w:cs="Times New Roman" w:eastAsia="Times New Roman" w:hint="default"/>
        </w:rPr>
        <w:t>10.79%</w:t>
      </w:r>
      <w:r>
        <w:rPr/>
        <w:t>，经营活动产生的现金流量净额本报告期较上年</w:t>
      </w:r>
      <w:r>
        <w:rPr>
          <w:w w:val="99"/>
        </w:rPr>
        <w:t> </w:t>
      </w:r>
      <w:r>
        <w:rPr/>
        <w:t>同期增长</w:t>
      </w:r>
      <w:r>
        <w:rPr>
          <w:spacing w:val="-44"/>
        </w:rPr>
        <w:t> </w:t>
      </w:r>
      <w:r>
        <w:rPr>
          <w:rFonts w:ascii="Times New Roman" w:hAnsi="Times New Roman" w:cs="Times New Roman" w:eastAsia="Times New Roman" w:hint="default"/>
        </w:rPr>
        <w:t>22.86%</w:t>
      </w:r>
      <w:r>
        <w:rPr/>
        <w:t>。</w:t>
      </w:r>
    </w:p>
    <w:p>
      <w:pPr>
        <w:pStyle w:val="BodyText"/>
        <w:spacing w:line="300" w:lineRule="auto" w:before="53"/>
        <w:ind w:left="803" w:right="615" w:firstLine="359"/>
        <w:jc w:val="both"/>
      </w:pPr>
      <w:r>
        <w:rPr>
          <w:rFonts w:ascii="Times New Roman" w:hAnsi="Times New Roman" w:cs="Times New Roman" w:eastAsia="Times New Roman" w:hint="default"/>
        </w:rPr>
        <w:t>(2)</w:t>
      </w:r>
      <w:r>
        <w:rPr/>
        <w:t>投资活动现金流出本报告期较上年同期下降</w:t>
      </w:r>
      <w:r>
        <w:rPr>
          <w:spacing w:val="-52"/>
        </w:rPr>
        <w:t> </w:t>
      </w:r>
      <w:r>
        <w:rPr>
          <w:rFonts w:ascii="Times New Roman" w:hAnsi="Times New Roman" w:cs="Times New Roman" w:eastAsia="Times New Roman" w:hint="default"/>
        </w:rPr>
        <w:t>23.75%</w:t>
      </w:r>
      <w:r>
        <w:rPr/>
        <w:t>，投资活动产生的现金流量净额本报告期较上年</w:t>
      </w:r>
      <w:r>
        <w:rPr>
          <w:w w:val="99"/>
        </w:rPr>
        <w:t> </w:t>
      </w:r>
      <w:r>
        <w:rPr/>
        <w:t>同期增长</w:t>
      </w:r>
      <w:r>
        <w:rPr>
          <w:spacing w:val="-48"/>
        </w:rPr>
        <w:t> </w:t>
      </w:r>
      <w:r>
        <w:rPr>
          <w:rFonts w:ascii="Times New Roman" w:hAnsi="Times New Roman" w:cs="Times New Roman" w:eastAsia="Times New Roman" w:hint="default"/>
        </w:rPr>
        <w:t>46.84%</w:t>
      </w:r>
      <w:r>
        <w:rPr/>
        <w:t>。主要是本报告期公司累计银行理财支出较上年同期减少。</w:t>
      </w:r>
    </w:p>
    <w:p>
      <w:pPr>
        <w:pStyle w:val="BodyText"/>
        <w:spacing w:line="300" w:lineRule="auto" w:before="51"/>
        <w:ind w:left="803" w:right="613" w:firstLine="359"/>
        <w:jc w:val="both"/>
      </w:pPr>
      <w:r>
        <w:rPr>
          <w:rFonts w:ascii="Times New Roman" w:hAnsi="Times New Roman" w:cs="Times New Roman" w:eastAsia="Times New Roman" w:hint="default"/>
        </w:rPr>
        <w:t>(3)</w:t>
      </w:r>
      <w:r>
        <w:rPr/>
        <w:t>筹资活动现金流入本报告期较上年同期净减少</w:t>
      </w:r>
      <w:r>
        <w:rPr>
          <w:spacing w:val="-38"/>
        </w:rPr>
        <w:t> </w:t>
      </w:r>
      <w:r>
        <w:rPr>
          <w:rFonts w:ascii="Times New Roman" w:hAnsi="Times New Roman" w:cs="Times New Roman" w:eastAsia="Times New Roman" w:hint="default"/>
        </w:rPr>
        <w:t>22,578.20</w:t>
      </w:r>
      <w:r>
        <w:rPr>
          <w:rFonts w:ascii="Times New Roman" w:hAnsi="Times New Roman" w:cs="Times New Roman" w:eastAsia="Times New Roman" w:hint="default"/>
          <w:spacing w:val="10"/>
        </w:rPr>
        <w:t> </w:t>
      </w:r>
      <w:r>
        <w:rPr>
          <w:spacing w:val="-3"/>
        </w:rPr>
        <w:t>万元，主要是上年度定向增发股份募集了配</w:t>
      </w:r>
      <w:r>
        <w:rPr>
          <w:w w:val="99"/>
        </w:rPr>
        <w:t> </w:t>
      </w:r>
      <w:r>
        <w:rPr/>
        <w:t>套资金净额</w:t>
      </w:r>
      <w:r>
        <w:rPr>
          <w:spacing w:val="-67"/>
        </w:rPr>
        <w:t> </w:t>
      </w:r>
      <w:r>
        <w:rPr>
          <w:rFonts w:ascii="Times New Roman" w:hAnsi="Times New Roman" w:cs="Times New Roman" w:eastAsia="Times New Roman" w:hint="default"/>
        </w:rPr>
        <w:t>22,578.20</w:t>
      </w:r>
      <w:r>
        <w:rPr>
          <w:rFonts w:ascii="Times New Roman" w:hAnsi="Times New Roman" w:cs="Times New Roman" w:eastAsia="Times New Roman" w:hint="default"/>
          <w:spacing w:val="-22"/>
        </w:rPr>
        <w:t> </w:t>
      </w:r>
      <w:r>
        <w:rPr/>
        <w:t>万元；筹资活动现金流出本报告期较上年同期增加</w:t>
      </w:r>
      <w:r>
        <w:rPr>
          <w:spacing w:val="-67"/>
        </w:rPr>
        <w:t> </w:t>
      </w:r>
      <w:r>
        <w:rPr>
          <w:rFonts w:ascii="Times New Roman" w:hAnsi="Times New Roman" w:cs="Times New Roman" w:eastAsia="Times New Roman" w:hint="default"/>
        </w:rPr>
        <w:t>54.66%</w:t>
      </w:r>
      <w:r>
        <w:rPr/>
        <w:t>，主要是本报告期公司现金</w:t>
      </w:r>
      <w:r>
        <w:rPr>
          <w:w w:val="99"/>
        </w:rPr>
        <w:t> </w:t>
      </w:r>
      <w:r>
        <w:rPr/>
        <w:t>股利分配增加。</w:t>
      </w:r>
    </w:p>
    <w:p>
      <w:pPr>
        <w:spacing w:after="0" w:line="300" w:lineRule="auto"/>
        <w:jc w:val="both"/>
        <w:sectPr>
          <w:pgSz w:w="11910" w:h="16840"/>
          <w:pgMar w:header="0" w:footer="959" w:top="1400" w:bottom="1140" w:left="1040" w:right="1080"/>
        </w:sectPr>
      </w:pPr>
    </w:p>
    <w:p>
      <w:pPr>
        <w:pStyle w:val="Heading6"/>
        <w:spacing w:line="240" w:lineRule="auto" w:before="6"/>
        <w:ind w:left="803" w:right="0"/>
        <w:jc w:val="left"/>
      </w:pPr>
      <w:r>
        <w:rPr/>
        <w:t>报告期内公司经营活动产生的现金净流量与本年度净利润存在重大差异的原因说明</w:t>
      </w:r>
    </w:p>
    <w:p>
      <w:pPr>
        <w:spacing w:line="240" w:lineRule="auto" w:before="10"/>
        <w:rPr>
          <w:rFonts w:ascii="宋体" w:hAnsi="宋体" w:cs="宋体" w:eastAsia="宋体" w:hint="default"/>
          <w:sz w:val="14"/>
          <w:szCs w:val="14"/>
        </w:rPr>
      </w:pPr>
    </w:p>
    <w:p>
      <w:pPr>
        <w:pStyle w:val="Heading6"/>
        <w:spacing w:line="240" w:lineRule="auto"/>
        <w:ind w:left="803" w:right="0"/>
        <w:jc w:val="left"/>
      </w:pPr>
      <w:r>
        <w:rPr/>
        <w:t>□适用√不适用</w:t>
      </w:r>
    </w:p>
    <w:p>
      <w:pPr>
        <w:spacing w:line="240" w:lineRule="auto" w:before="11"/>
        <w:rPr>
          <w:rFonts w:ascii="宋体" w:hAnsi="宋体" w:cs="宋体" w:eastAsia="宋体" w:hint="default"/>
          <w:sz w:val="29"/>
          <w:szCs w:val="29"/>
        </w:rPr>
      </w:pPr>
    </w:p>
    <w:p>
      <w:pPr>
        <w:pStyle w:val="Heading3"/>
        <w:spacing w:line="240" w:lineRule="auto"/>
        <w:ind w:left="803" w:right="0"/>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975"/>
        <w:jc w:val="right"/>
      </w:pPr>
      <w:r>
        <w:rPr/>
        <w:t>单位：元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511"/>
        <w:gridCol w:w="1918"/>
        <w:gridCol w:w="1622"/>
        <w:gridCol w:w="2254"/>
        <w:gridCol w:w="2254"/>
      </w:tblGrid>
      <w:tr>
        <w:trPr>
          <w:trHeight w:val="362" w:hRule="exact"/>
        </w:trPr>
        <w:tc>
          <w:tcPr>
            <w:tcW w:w="15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5"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7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00"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29" w:right="0"/>
              <w:jc w:val="left"/>
              <w:rPr>
                <w:rFonts w:ascii="Times New Roman" w:hAnsi="Times New Roman" w:cs="Times New Roman" w:eastAsia="Times New Roman" w:hint="default"/>
                <w:sz w:val="18"/>
                <w:szCs w:val="18"/>
              </w:rPr>
            </w:pPr>
            <w:r>
              <w:rPr>
                <w:rFonts w:ascii="Times New Roman"/>
                <w:sz w:val="18"/>
              </w:rPr>
              <w:t>26,185,339.75</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30" w:right="0"/>
              <w:jc w:val="left"/>
              <w:rPr>
                <w:rFonts w:ascii="Times New Roman" w:hAnsi="Times New Roman" w:cs="Times New Roman" w:eastAsia="Times New Roman" w:hint="default"/>
                <w:sz w:val="18"/>
                <w:szCs w:val="18"/>
              </w:rPr>
            </w:pPr>
            <w:r>
              <w:rPr>
                <w:rFonts w:ascii="Times New Roman"/>
                <w:sz w:val="18"/>
              </w:rPr>
              <w:t>11.83%</w:t>
            </w:r>
          </w:p>
        </w:tc>
        <w:tc>
          <w:tcPr>
            <w:tcW w:w="2254" w:type="dxa"/>
            <w:vMerge w:val="restart"/>
            <w:tcBorders>
              <w:top w:val="single" w:sz="4" w:space="0" w:color="000000"/>
              <w:left w:val="single" w:sz="4" w:space="0" w:color="000000"/>
              <w:right w:val="single" w:sz="4" w:space="0" w:color="000000"/>
            </w:tcBorders>
          </w:tcPr>
          <w:p>
            <w:pPr>
              <w:pStyle w:val="TableParagraph"/>
              <w:spacing w:line="309" w:lineRule="auto" w:before="8"/>
              <w:ind w:left="38" w:right="45"/>
              <w:jc w:val="center"/>
              <w:rPr>
                <w:rFonts w:ascii="宋体" w:hAnsi="宋体" w:cs="宋体" w:eastAsia="宋体" w:hint="default"/>
                <w:sz w:val="18"/>
                <w:szCs w:val="18"/>
              </w:rPr>
            </w:pPr>
            <w:r>
              <w:rPr>
                <w:rFonts w:ascii="宋体" w:hAnsi="宋体" w:cs="宋体" w:eastAsia="宋体" w:hint="default"/>
                <w:sz w:val="18"/>
                <w:szCs w:val="18"/>
              </w:rPr>
              <w:t>主要是本报告期确认了北洋 传媒股权处置收益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2396.78 </w:t>
            </w:r>
            <w:r>
              <w:rPr>
                <w:rFonts w:ascii="宋体" w:hAnsi="宋体" w:cs="宋体" w:eastAsia="宋体" w:hint="default"/>
                <w:sz w:val="18"/>
                <w:szCs w:val="18"/>
              </w:rPr>
              <w:t>万元及银行理财收益。</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5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8"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8"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8" w:type="dxa"/>
            <w:vMerge w:val="restart"/>
            <w:tcBorders>
              <w:top w:val="single" w:sz="4" w:space="0" w:color="000000"/>
              <w:left w:val="single" w:sz="10"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14,768,500.36</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6.67%</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8"/>
              <w:ind w:left="310" w:right="45" w:hanging="272"/>
              <w:jc w:val="left"/>
              <w:rPr>
                <w:rFonts w:ascii="宋体" w:hAnsi="宋体" w:cs="宋体" w:eastAsia="宋体" w:hint="default"/>
                <w:sz w:val="18"/>
                <w:szCs w:val="18"/>
              </w:rPr>
            </w:pPr>
            <w:r>
              <w:rPr>
                <w:rFonts w:ascii="宋体" w:hAnsi="宋体" w:cs="宋体" w:eastAsia="宋体" w:hint="default"/>
                <w:sz w:val="18"/>
                <w:szCs w:val="18"/>
              </w:rPr>
              <w:t>主要是本报告期确认的政府 补助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1,468.62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5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8"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8"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317" w:hRule="exact"/>
        </w:trPr>
        <w:tc>
          <w:tcPr>
            <w:tcW w:w="15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40" w:right="0"/>
              <w:jc w:val="left"/>
              <w:rPr>
                <w:rFonts w:ascii="Times New Roman" w:hAnsi="Times New Roman" w:cs="Times New Roman" w:eastAsia="Times New Roman" w:hint="default"/>
                <w:sz w:val="18"/>
                <w:szCs w:val="18"/>
              </w:rPr>
            </w:pPr>
            <w:r>
              <w:rPr>
                <w:rFonts w:ascii="Times New Roman"/>
                <w:sz w:val="18"/>
              </w:rPr>
              <w:t>171,950.49</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0.08%</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8"/>
              <w:ind w:left="38" w:right="45"/>
              <w:jc w:val="center"/>
              <w:rPr>
                <w:rFonts w:ascii="宋体" w:hAnsi="宋体" w:cs="宋体" w:eastAsia="宋体" w:hint="default"/>
                <w:sz w:val="18"/>
                <w:szCs w:val="18"/>
              </w:rPr>
            </w:pPr>
            <w:r>
              <w:rPr>
                <w:rFonts w:ascii="宋体" w:hAnsi="宋体" w:cs="宋体" w:eastAsia="宋体" w:hint="default"/>
                <w:sz w:val="18"/>
                <w:szCs w:val="18"/>
              </w:rPr>
              <w:t>主要是本报告期确认的非流 动资产处置损失、公益性捐 赠支出等。</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5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8"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8"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left="803" w:right="0"/>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803"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975"/>
        <w:jc w:val="right"/>
      </w:pPr>
      <w:r>
        <w:rPr/>
        <w:t>单位：元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406"/>
        <w:gridCol w:w="1277"/>
        <w:gridCol w:w="850"/>
        <w:gridCol w:w="1277"/>
        <w:gridCol w:w="852"/>
        <w:gridCol w:w="850"/>
        <w:gridCol w:w="3401"/>
      </w:tblGrid>
      <w:tr>
        <w:trPr>
          <w:trHeight w:val="355" w:hRule="exact"/>
        </w:trPr>
        <w:tc>
          <w:tcPr>
            <w:tcW w:w="140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8" w:hRule="exact"/>
        </w:trPr>
        <w:tc>
          <w:tcPr>
            <w:tcW w:w="1406" w:type="dxa"/>
            <w:vMerge w:val="restart"/>
            <w:tcBorders>
              <w:top w:val="nil" w:sz="6" w:space="0" w:color="auto"/>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237" w:right="6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ind w:left="57"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401"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73" w:hRule="exact"/>
        </w:trPr>
        <w:tc>
          <w:tcPr>
            <w:tcW w:w="1406"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3401"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406"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340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0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3401"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2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1"/>
              <w:jc w:val="center"/>
              <w:rPr>
                <w:rFonts w:ascii="Times New Roman" w:hAnsi="Times New Roman" w:cs="Times New Roman" w:eastAsia="Times New Roman" w:hint="default"/>
                <w:sz w:val="18"/>
                <w:szCs w:val="18"/>
              </w:rPr>
            </w:pPr>
            <w:r>
              <w:rPr>
                <w:rFonts w:ascii="Times New Roman"/>
                <w:sz w:val="18"/>
              </w:rPr>
              <w:t>497,692,570.51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23.86%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495,993,223.71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24.44%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6" w:right="0"/>
              <w:jc w:val="left"/>
              <w:rPr>
                <w:rFonts w:ascii="Times New Roman" w:hAnsi="Times New Roman" w:cs="Times New Roman" w:eastAsia="Times New Roman" w:hint="default"/>
                <w:sz w:val="18"/>
                <w:szCs w:val="18"/>
              </w:rPr>
            </w:pPr>
            <w:r>
              <w:rPr>
                <w:rFonts w:ascii="Times New Roman"/>
                <w:sz w:val="18"/>
              </w:rPr>
              <w:t>-0.58%</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27,561,189.42</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1.32%</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12,617,529.17</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0.62%</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0.70%</w:t>
            </w:r>
          </w:p>
        </w:tc>
        <w:tc>
          <w:tcPr>
            <w:tcW w:w="3401" w:type="dxa"/>
            <w:vMerge w:val="restart"/>
            <w:tcBorders>
              <w:top w:val="single" w:sz="4" w:space="0" w:color="000000"/>
              <w:left w:val="single" w:sz="4" w:space="0" w:color="000000"/>
              <w:right w:val="single" w:sz="4" w:space="0" w:color="000000"/>
            </w:tcBorders>
          </w:tcPr>
          <w:p>
            <w:pPr>
              <w:pStyle w:val="TableParagraph"/>
              <w:spacing w:line="316" w:lineRule="auto" w:before="8"/>
              <w:ind w:left="1108" w:right="75" w:hanging="1035"/>
              <w:jc w:val="left"/>
              <w:rPr>
                <w:rFonts w:ascii="宋体" w:hAnsi="宋体" w:cs="宋体" w:eastAsia="宋体" w:hint="default"/>
                <w:sz w:val="18"/>
                <w:szCs w:val="18"/>
              </w:rPr>
            </w:pPr>
            <w:r>
              <w:rPr>
                <w:rFonts w:ascii="宋体" w:hAnsi="宋体" w:cs="宋体" w:eastAsia="宋体" w:hint="default"/>
                <w:sz w:val="18"/>
                <w:szCs w:val="18"/>
              </w:rPr>
              <w:t>主要是报告期增加人民东方业务合作预付 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53" w:hRule="exact"/>
        </w:trPr>
        <w:tc>
          <w:tcPr>
            <w:tcW w:w="14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预付款项</w:t>
            </w:r>
          </w:p>
        </w:tc>
        <w:tc>
          <w:tcPr>
            <w:tcW w:w="1277"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401" w:type="dxa"/>
            <w:vMerge/>
            <w:tcBorders>
              <w:left w:val="single" w:sz="4" w:space="0" w:color="000000"/>
              <w:right w:val="single" w:sz="4" w:space="0" w:color="000000"/>
            </w:tcBorders>
          </w:tcPr>
          <w:p>
            <w:pPr/>
          </w:p>
        </w:tc>
      </w:tr>
      <w:tr>
        <w:trPr>
          <w:trHeight w:val="161" w:hRule="exact"/>
        </w:trPr>
        <w:tc>
          <w:tcPr>
            <w:tcW w:w="14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401" w:type="dxa"/>
            <w:vMerge/>
            <w:tcBorders>
              <w:left w:val="single" w:sz="4" w:space="0" w:color="000000"/>
              <w:bottom w:val="single" w:sz="4" w:space="0" w:color="000000"/>
              <w:right w:val="single" w:sz="4" w:space="0" w:color="000000"/>
            </w:tcBorders>
          </w:tcPr>
          <w:p>
            <w:pPr/>
          </w:p>
        </w:tc>
      </w:tr>
      <w:tr>
        <w:trPr>
          <w:trHeight w:val="161" w:hRule="exact"/>
        </w:trPr>
        <w:tc>
          <w:tcPr>
            <w:tcW w:w="14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54,150,583.95</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2.60%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63,798,728.94</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3.14%</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-0.54%</w:t>
            </w:r>
          </w:p>
        </w:tc>
        <w:tc>
          <w:tcPr>
            <w:tcW w:w="3401" w:type="dxa"/>
            <w:vMerge w:val="restart"/>
            <w:tcBorders>
              <w:top w:val="single" w:sz="4" w:space="0" w:color="000000"/>
              <w:left w:val="single" w:sz="4" w:space="0" w:color="000000"/>
              <w:right w:val="single" w:sz="4" w:space="0" w:color="000000"/>
            </w:tcBorders>
          </w:tcPr>
          <w:p>
            <w:pPr>
              <w:pStyle w:val="TableParagraph"/>
              <w:spacing w:line="316" w:lineRule="auto" w:before="8"/>
              <w:ind w:left="1243" w:right="75" w:hanging="1170"/>
              <w:jc w:val="left"/>
              <w:rPr>
                <w:rFonts w:ascii="宋体" w:hAnsi="宋体" w:cs="宋体" w:eastAsia="宋体" w:hint="default"/>
                <w:sz w:val="18"/>
                <w:szCs w:val="18"/>
              </w:rPr>
            </w:pPr>
            <w:r>
              <w:rPr>
                <w:rFonts w:ascii="宋体" w:hAnsi="宋体" w:cs="宋体" w:eastAsia="宋体" w:hint="default"/>
                <w:sz w:val="18"/>
                <w:szCs w:val="18"/>
              </w:rPr>
              <w:t>主要是报告期子公司华文俪制清理了部分 应收账款。</w:t>
            </w:r>
          </w:p>
        </w:tc>
      </w:tr>
      <w:tr>
        <w:trPr>
          <w:trHeight w:val="353" w:hRule="exact"/>
        </w:trPr>
        <w:tc>
          <w:tcPr>
            <w:tcW w:w="14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277"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401" w:type="dxa"/>
            <w:vMerge/>
            <w:tcBorders>
              <w:left w:val="single" w:sz="4" w:space="0" w:color="000000"/>
              <w:right w:val="single" w:sz="4" w:space="0" w:color="000000"/>
            </w:tcBorders>
          </w:tcPr>
          <w:p>
            <w:pPr/>
          </w:p>
        </w:tc>
      </w:tr>
      <w:tr>
        <w:trPr>
          <w:trHeight w:val="161" w:hRule="exact"/>
        </w:trPr>
        <w:tc>
          <w:tcPr>
            <w:tcW w:w="14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401" w:type="dxa"/>
            <w:vMerge/>
            <w:tcBorders>
              <w:left w:val="single" w:sz="4" w:space="0" w:color="000000"/>
              <w:bottom w:val="single" w:sz="4" w:space="0" w:color="000000"/>
              <w:right w:val="single" w:sz="4" w:space="0" w:color="000000"/>
            </w:tcBorders>
          </w:tcPr>
          <w:p>
            <w:pPr/>
          </w:p>
        </w:tc>
      </w:tr>
      <w:tr>
        <w:trPr>
          <w:trHeight w:val="361" w:hRule="exact"/>
        </w:trPr>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存货</w:t>
            </w:r>
          </w:p>
        </w:tc>
        <w:tc>
          <w:tcPr>
            <w:tcW w:w="12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1"/>
              <w:jc w:val="center"/>
              <w:rPr>
                <w:rFonts w:ascii="Times New Roman" w:hAnsi="Times New Roman" w:cs="Times New Roman" w:eastAsia="Times New Roman" w:hint="default"/>
                <w:sz w:val="18"/>
                <w:szCs w:val="18"/>
              </w:rPr>
            </w:pPr>
            <w:r>
              <w:rPr>
                <w:rFonts w:ascii="Times New Roman"/>
                <w:sz w:val="18"/>
              </w:rPr>
              <w:t>21,315,231.94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40,230,312.89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
              <w:jc w:val="center"/>
              <w:rPr>
                <w:rFonts w:ascii="Times New Roman" w:hAnsi="Times New Roman" w:cs="Times New Roman" w:eastAsia="Times New Roman" w:hint="default"/>
                <w:sz w:val="18"/>
                <w:szCs w:val="18"/>
              </w:rPr>
            </w:pPr>
            <w:r>
              <w:rPr>
                <w:rFonts w:ascii="Times New Roman"/>
                <w:sz w:val="18"/>
              </w:rPr>
              <w:t>1.98%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6" w:right="0"/>
              <w:jc w:val="left"/>
              <w:rPr>
                <w:rFonts w:ascii="Times New Roman" w:hAnsi="Times New Roman" w:cs="Times New Roman" w:eastAsia="Times New Roman" w:hint="default"/>
                <w:sz w:val="18"/>
                <w:szCs w:val="18"/>
              </w:rPr>
            </w:pPr>
            <w:r>
              <w:rPr>
                <w:rFonts w:ascii="Times New Roman"/>
                <w:sz w:val="18"/>
              </w:rPr>
              <w:t>-0.96%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主要是报告期处置了部分过期图书。</w:t>
            </w:r>
          </w:p>
        </w:tc>
      </w:tr>
      <w:tr>
        <w:trPr>
          <w:trHeight w:val="674" w:hRule="exact"/>
        </w:trPr>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421" w:right="72" w:hanging="361"/>
              <w:jc w:val="left"/>
              <w:rPr>
                <w:rFonts w:ascii="宋体" w:hAnsi="宋体" w:cs="宋体" w:eastAsia="宋体" w:hint="default"/>
                <w:sz w:val="18"/>
                <w:szCs w:val="18"/>
              </w:rPr>
            </w:pPr>
            <w:r>
              <w:rPr>
                <w:rFonts w:ascii="宋体" w:hAnsi="宋体" w:cs="宋体" w:eastAsia="宋体" w:hint="default"/>
                <w:sz w:val="18"/>
                <w:szCs w:val="18"/>
              </w:rPr>
              <w:t>划分为持有待售 的资产</w:t>
            </w:r>
          </w:p>
        </w:tc>
        <w:tc>
          <w:tcPr>
            <w:tcW w:w="12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104,122,673.75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5.13%</w:t>
            </w:r>
          </w:p>
        </w:tc>
        <w:tc>
          <w:tcPr>
            <w:tcW w:w="85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主要是报告期处置了北洋传媒股权。</w:t>
            </w:r>
          </w:p>
        </w:tc>
      </w:tr>
      <w:tr>
        <w:trPr>
          <w:trHeight w:val="161" w:hRule="exact"/>
        </w:trPr>
        <w:tc>
          <w:tcPr>
            <w:tcW w:w="14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16,488,413.96</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0.79%</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104,245,457.61</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5.14%</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-4.35%</w:t>
            </w:r>
          </w:p>
        </w:tc>
        <w:tc>
          <w:tcPr>
            <w:tcW w:w="3401" w:type="dxa"/>
            <w:vMerge w:val="restart"/>
            <w:tcBorders>
              <w:top w:val="single" w:sz="4" w:space="0" w:color="000000"/>
              <w:left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主要是报告期子公司神奇时代理财产品</w:t>
            </w:r>
          </w:p>
          <w:p>
            <w:pPr>
              <w:pStyle w:val="TableParagraph"/>
              <w:spacing w:line="240" w:lineRule="auto" w:before="7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9900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万元到期。</w:t>
            </w:r>
          </w:p>
        </w:tc>
      </w:tr>
      <w:tr>
        <w:trPr>
          <w:trHeight w:val="353" w:hRule="exact"/>
        </w:trPr>
        <w:tc>
          <w:tcPr>
            <w:tcW w:w="14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1277"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401" w:type="dxa"/>
            <w:vMerge/>
            <w:tcBorders>
              <w:left w:val="single" w:sz="4" w:space="0" w:color="000000"/>
              <w:right w:val="single" w:sz="4" w:space="0" w:color="000000"/>
            </w:tcBorders>
          </w:tcPr>
          <w:p>
            <w:pPr/>
          </w:p>
        </w:tc>
      </w:tr>
      <w:tr>
        <w:trPr>
          <w:trHeight w:val="161" w:hRule="exact"/>
        </w:trPr>
        <w:tc>
          <w:tcPr>
            <w:tcW w:w="14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401" w:type="dxa"/>
            <w:vMerge/>
            <w:tcBorders>
              <w:left w:val="single" w:sz="4" w:space="0" w:color="000000"/>
              <w:bottom w:val="single" w:sz="4" w:space="0" w:color="000000"/>
              <w:right w:val="single" w:sz="4" w:space="0" w:color="000000"/>
            </w:tcBorders>
          </w:tcPr>
          <w:p>
            <w:pPr/>
          </w:p>
        </w:tc>
      </w:tr>
      <w:tr>
        <w:trPr>
          <w:trHeight w:val="674" w:hRule="exact"/>
        </w:trPr>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01" w:right="72" w:hanging="541"/>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2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77,347,000.00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27,347,000.00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1.35%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2.36%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主要是报告期追加德天基金投资款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117" w:right="0"/>
              <w:jc w:val="left"/>
              <w:rPr>
                <w:rFonts w:ascii="宋体" w:hAnsi="宋体" w:cs="宋体" w:eastAsia="宋体" w:hint="default"/>
                <w:sz w:val="18"/>
                <w:szCs w:val="18"/>
              </w:rPr>
            </w:pPr>
            <w:r>
              <w:rPr>
                <w:rFonts w:ascii="宋体" w:hAnsi="宋体" w:cs="宋体" w:eastAsia="宋体" w:hint="default"/>
                <w:sz w:val="18"/>
                <w:szCs w:val="18"/>
              </w:rPr>
              <w:t>元，及新增初见科技投资款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161" w:hRule="exact"/>
        </w:trPr>
        <w:tc>
          <w:tcPr>
            <w:tcW w:w="14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172,875,151.17</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8.29%</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vMerge w:val="restart"/>
            <w:tcBorders>
              <w:top w:val="single" w:sz="4" w:space="0" w:color="000000"/>
              <w:left w:val="single" w:sz="4" w:space="0" w:color="000000"/>
              <w:right w:val="single" w:sz="4" w:space="0" w:color="000000"/>
            </w:tcBorders>
          </w:tcPr>
          <w:p>
            <w:pPr/>
          </w:p>
        </w:tc>
        <w:tc>
          <w:tcPr>
            <w:tcW w:w="340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主要是报告期新增对决胜网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w:t>
            </w:r>
          </w:p>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海德拉科技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万元的股权投资。</w:t>
            </w:r>
          </w:p>
        </w:tc>
      </w:tr>
      <w:tr>
        <w:trPr>
          <w:trHeight w:val="353" w:hRule="exact"/>
        </w:trPr>
        <w:tc>
          <w:tcPr>
            <w:tcW w:w="14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277"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401" w:type="dxa"/>
            <w:vMerge/>
            <w:tcBorders>
              <w:left w:val="single" w:sz="4" w:space="0" w:color="000000"/>
              <w:right w:val="single" w:sz="4" w:space="0" w:color="000000"/>
            </w:tcBorders>
          </w:tcPr>
          <w:p>
            <w:pPr/>
          </w:p>
        </w:tc>
      </w:tr>
      <w:tr>
        <w:trPr>
          <w:trHeight w:val="161" w:hRule="exact"/>
        </w:trPr>
        <w:tc>
          <w:tcPr>
            <w:tcW w:w="14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401" w:type="dxa"/>
            <w:vMerge/>
            <w:tcBorders>
              <w:left w:val="single" w:sz="4" w:space="0" w:color="000000"/>
              <w:bottom w:val="single" w:sz="4" w:space="0" w:color="000000"/>
              <w:right w:val="single" w:sz="4" w:space="0" w:color="000000"/>
            </w:tcBorders>
          </w:tcPr>
          <w:p>
            <w:pPr/>
          </w:p>
        </w:tc>
      </w:tr>
      <w:tr>
        <w:trPr>
          <w:trHeight w:val="161" w:hRule="exact"/>
        </w:trPr>
        <w:tc>
          <w:tcPr>
            <w:tcW w:w="14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60,748,691.27</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2.91%</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43,507,899.81</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2.14%</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0.77%</w:t>
            </w:r>
          </w:p>
        </w:tc>
        <w:tc>
          <w:tcPr>
            <w:tcW w:w="3401" w:type="dxa"/>
            <w:vMerge w:val="restart"/>
            <w:tcBorders>
              <w:top w:val="single" w:sz="4" w:space="0" w:color="000000"/>
              <w:left w:val="single" w:sz="4" w:space="0" w:color="000000"/>
              <w:right w:val="single" w:sz="4" w:space="0" w:color="000000"/>
            </w:tcBorders>
          </w:tcPr>
          <w:p>
            <w:pPr>
              <w:pStyle w:val="TableParagraph"/>
              <w:spacing w:line="319" w:lineRule="auto" w:before="8"/>
              <w:ind w:left="1154" w:right="75" w:hanging="1080"/>
              <w:jc w:val="left"/>
              <w:rPr>
                <w:rFonts w:ascii="宋体" w:hAnsi="宋体" w:cs="宋体" w:eastAsia="宋体" w:hint="default"/>
                <w:sz w:val="18"/>
                <w:szCs w:val="18"/>
              </w:rPr>
            </w:pPr>
            <w:r>
              <w:rPr>
                <w:rFonts w:ascii="宋体" w:hAnsi="宋体" w:cs="宋体" w:eastAsia="宋体" w:hint="default"/>
                <w:sz w:val="18"/>
                <w:szCs w:val="18"/>
              </w:rPr>
              <w:t>主要是报告期购置长沙市岳麓区绿地中央 广场办公楼。</w:t>
            </w:r>
          </w:p>
        </w:tc>
      </w:tr>
      <w:tr>
        <w:trPr>
          <w:trHeight w:val="353" w:hRule="exact"/>
        </w:trPr>
        <w:tc>
          <w:tcPr>
            <w:tcW w:w="14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277"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401" w:type="dxa"/>
            <w:vMerge/>
            <w:tcBorders>
              <w:left w:val="single" w:sz="4" w:space="0" w:color="000000"/>
              <w:right w:val="single" w:sz="4" w:space="0" w:color="000000"/>
            </w:tcBorders>
          </w:tcPr>
          <w:p>
            <w:pPr/>
          </w:p>
        </w:tc>
      </w:tr>
      <w:tr>
        <w:trPr>
          <w:trHeight w:val="161" w:hRule="exact"/>
        </w:trPr>
        <w:tc>
          <w:tcPr>
            <w:tcW w:w="14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401" w:type="dxa"/>
            <w:vMerge/>
            <w:tcBorders>
              <w:left w:val="single" w:sz="4" w:space="0" w:color="000000"/>
              <w:bottom w:val="single" w:sz="4" w:space="0" w:color="000000"/>
              <w:right w:val="single" w:sz="4" w:space="0" w:color="000000"/>
            </w:tcBorders>
          </w:tcPr>
          <w:p>
            <w:pPr/>
          </w:p>
        </w:tc>
      </w:tr>
      <w:tr>
        <w:trPr>
          <w:trHeight w:val="362" w:hRule="exact"/>
        </w:trPr>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其他非流动资产</w:t>
            </w:r>
          </w:p>
        </w:tc>
        <w:tc>
          <w:tcPr>
            <w:tcW w:w="12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11"/>
              <w:jc w:val="center"/>
              <w:rPr>
                <w:rFonts w:ascii="Times New Roman" w:hAnsi="Times New Roman" w:cs="Times New Roman" w:eastAsia="Times New Roman" w:hint="default"/>
                <w:sz w:val="18"/>
                <w:szCs w:val="18"/>
              </w:rPr>
            </w:pPr>
            <w:r>
              <w:rPr>
                <w:rFonts w:ascii="Times New Roman"/>
                <w:sz w:val="18"/>
              </w:rPr>
              <w:t>25,000,000.00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sz w:val="18"/>
              </w:rPr>
              <w:t>0.05%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4" w:right="0"/>
              <w:jc w:val="left"/>
              <w:rPr>
                <w:rFonts w:ascii="Times New Roman" w:hAnsi="Times New Roman" w:cs="Times New Roman" w:eastAsia="Times New Roman" w:hint="default"/>
                <w:sz w:val="18"/>
                <w:szCs w:val="18"/>
              </w:rPr>
            </w:pPr>
            <w:r>
              <w:rPr>
                <w:rFonts w:ascii="Times New Roman"/>
                <w:sz w:val="18"/>
              </w:rPr>
              <w:t>1.15%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主要是报告期增加了派娱科技投资预付款</w:t>
            </w:r>
          </w:p>
        </w:tc>
      </w:tr>
    </w:tbl>
    <w:p>
      <w:pPr>
        <w:spacing w:after="0" w:line="240" w:lineRule="auto"/>
        <w:jc w:val="center"/>
        <w:rPr>
          <w:rFonts w:ascii="宋体" w:hAnsi="宋体" w:cs="宋体" w:eastAsia="宋体" w:hint="default"/>
          <w:sz w:val="18"/>
          <w:szCs w:val="18"/>
        </w:rPr>
        <w:sectPr>
          <w:pgSz w:w="11910" w:h="16840"/>
          <w:pgMar w:header="0" w:footer="959" w:top="1480" w:bottom="1140" w:left="1040" w:right="720"/>
        </w:sectPr>
      </w:pPr>
    </w:p>
    <w:p>
      <w:pPr>
        <w:spacing w:line="240" w:lineRule="auto" w:before="3"/>
        <w:rPr>
          <w:rFonts w:ascii="宋体" w:hAnsi="宋体" w:cs="宋体" w:eastAsia="宋体" w:hint="default"/>
          <w:sz w:val="6"/>
          <w:szCs w:val="6"/>
        </w:rPr>
      </w:pPr>
      <w:r>
        <w:rPr/>
        <w:pict>
          <v:group style="position:absolute;margin-left:326.350006pt;margin-top:708.575989pt;width:27.85pt;height:45.75pt;mso-position-horizontal-relative:page;mso-position-vertical-relative:page;z-index:-1039072" coordorigin="6527,14172" coordsize="557,915">
            <v:shape style="position:absolute;left:6527;top:14172;width:557;height:915" coordorigin="6527,14172" coordsize="557,915" path="m6527,15086l7084,15086,7084,14172,6527,14172,6527,15086xe" filled="true" fillcolor="#ffffff" stroked="false">
              <v:path arrowok="t"/>
              <v:fill type="solid"/>
            </v:shape>
            <w10:wrap type="none"/>
          </v:group>
        </w:pict>
      </w:r>
      <w:r>
        <w:rPr/>
        <w:pict>
          <v:group style="position:absolute;margin-left:412.869995pt;margin-top:690.399963pt;width:33.65pt;height:63.95pt;mso-position-horizontal-relative:page;mso-position-vertical-relative:page;z-index:-1039048" coordorigin="8257,13808" coordsize="673,1279">
            <v:group style="position:absolute;left:8268;top:13819;width:2;height:353" coordorigin="8268,13819" coordsize="2,353">
              <v:shape style="position:absolute;left:8268;top:13819;width:2;height:353" coordorigin="8268,13819" coordsize="0,353" path="m8268,13819l8268,14172e" filled="false" stroked="true" strokeweight="1.08pt" strokecolor="#ffffff">
                <v:path arrowok="t"/>
              </v:shape>
            </v:group>
            <v:group style="position:absolute;left:8257;top:14172;width:673;height:915" coordorigin="8257,14172" coordsize="673,915">
              <v:shape style="position:absolute;left:8257;top:14172;width:673;height:915" coordorigin="8257,14172" coordsize="673,915" path="m8257,15086l8930,15086,8930,14172,8257,14172,8257,15086xe" filled="true" fillcolor="#ffffff" stroked="false">
                <v:path arrowok="t"/>
                <v:fill type="solid"/>
              </v:shape>
            </v:group>
            <v:group style="position:absolute;left:8279;top:13819;width:627;height:353" coordorigin="8279,13819" coordsize="627,353">
              <v:shape style="position:absolute;left:8279;top:13819;width:627;height:353" coordorigin="8279,13819" coordsize="627,353" path="m8279,14172l8906,14172,8906,13819,8279,13819,8279,14172xe" filled="true" fillcolor="#ffffff" stroked="false">
                <v:path arrowok="t"/>
                <v:fill type="solid"/>
              </v:shape>
            </v:group>
            <w10:wrap type="none"/>
          </v:group>
        </w:pict>
      </w:r>
    </w:p>
    <w:tbl>
      <w:tblPr>
        <w:tblW w:w="0" w:type="auto"/>
        <w:jc w:val="left"/>
        <w:tblInd w:w="250" w:type="dxa"/>
        <w:tblLayout w:type="fixed"/>
        <w:tblCellMar>
          <w:top w:w="0" w:type="dxa"/>
          <w:left w:w="0" w:type="dxa"/>
          <w:bottom w:w="0" w:type="dxa"/>
          <w:right w:w="0" w:type="dxa"/>
        </w:tblCellMar>
        <w:tblLook w:val="01E0"/>
      </w:tblPr>
      <w:tblGrid>
        <w:gridCol w:w="1416"/>
        <w:gridCol w:w="1277"/>
        <w:gridCol w:w="850"/>
        <w:gridCol w:w="1277"/>
        <w:gridCol w:w="852"/>
        <w:gridCol w:w="850"/>
        <w:gridCol w:w="3401"/>
      </w:tblGrid>
      <w:tr>
        <w:trPr>
          <w:trHeight w:val="675"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514" w:right="95" w:hanging="1419"/>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万元及银河数娱投资预付款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r>
      <w:tr>
        <w:trPr>
          <w:trHeight w:val="362"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108,236,508.86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95,795,411.64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4.72%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4" w:right="0"/>
              <w:jc w:val="left"/>
              <w:rPr>
                <w:rFonts w:ascii="Times New Roman" w:hAnsi="Times New Roman" w:cs="Times New Roman" w:eastAsia="Times New Roman" w:hint="default"/>
                <w:sz w:val="18"/>
                <w:szCs w:val="18"/>
              </w:rPr>
            </w:pPr>
            <w:r>
              <w:rPr>
                <w:rFonts w:ascii="Times New Roman"/>
                <w:sz w:val="18"/>
              </w:rPr>
              <w:t>0.47%</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4,662,043.17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5,131,837.33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9"/>
              <w:jc w:val="right"/>
              <w:rPr>
                <w:rFonts w:ascii="Times New Roman" w:hAnsi="Times New Roman" w:cs="Times New Roman" w:eastAsia="Times New Roman" w:hint="default"/>
                <w:sz w:val="18"/>
                <w:szCs w:val="18"/>
              </w:rPr>
            </w:pPr>
            <w:r>
              <w:rPr>
                <w:rFonts w:ascii="Times New Roman"/>
                <w:sz w:val="18"/>
              </w:rPr>
              <w:t>0.25%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6" w:right="0"/>
              <w:jc w:val="left"/>
              <w:rPr>
                <w:rFonts w:ascii="Times New Roman" w:hAnsi="Times New Roman" w:cs="Times New Roman" w:eastAsia="Times New Roman" w:hint="default"/>
                <w:sz w:val="18"/>
                <w:szCs w:val="18"/>
              </w:rPr>
            </w:pPr>
            <w:r>
              <w:rPr>
                <w:rFonts w:ascii="Times New Roman"/>
                <w:sz w:val="18"/>
              </w:rPr>
              <w:t>-0.03%</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18,026,438.37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10,187,388.67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0.50%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0.36%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974" w:right="75" w:hanging="900"/>
              <w:jc w:val="left"/>
              <w:rPr>
                <w:rFonts w:ascii="宋体" w:hAnsi="宋体" w:cs="宋体" w:eastAsia="宋体" w:hint="default"/>
                <w:sz w:val="18"/>
                <w:szCs w:val="18"/>
              </w:rPr>
            </w:pPr>
            <w:r>
              <w:rPr>
                <w:rFonts w:ascii="宋体" w:hAnsi="宋体" w:cs="宋体" w:eastAsia="宋体" w:hint="default"/>
                <w:sz w:val="18"/>
                <w:szCs w:val="18"/>
              </w:rPr>
              <w:t>主要是报告期子公司神奇时代预提未付的 企业所得税增加。</w:t>
            </w:r>
          </w:p>
        </w:tc>
      </w:tr>
      <w:tr>
        <w:trPr>
          <w:trHeight w:val="674"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8,775,874.01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135,878,885.85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6.70%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-6.28%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83" w:right="75" w:hanging="809"/>
              <w:jc w:val="left"/>
              <w:rPr>
                <w:rFonts w:ascii="宋体" w:hAnsi="宋体" w:cs="宋体" w:eastAsia="宋体" w:hint="default"/>
                <w:sz w:val="18"/>
                <w:szCs w:val="18"/>
              </w:rPr>
            </w:pPr>
            <w:r>
              <w:rPr>
                <w:rFonts w:ascii="宋体" w:hAnsi="宋体" w:cs="宋体" w:eastAsia="宋体" w:hint="default"/>
                <w:sz w:val="18"/>
                <w:szCs w:val="18"/>
              </w:rPr>
              <w:t>主要是上年预收的北洋传媒股权款于本报 告期确认处置收益。</w:t>
            </w:r>
          </w:p>
        </w:tc>
      </w:tr>
      <w:tr>
        <w:trPr>
          <w:trHeight w:val="674"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12" w:right="72" w:hanging="541"/>
              <w:jc w:val="left"/>
              <w:rPr>
                <w:rFonts w:ascii="宋体" w:hAnsi="宋体" w:cs="宋体" w:eastAsia="宋体" w:hint="default"/>
                <w:sz w:val="18"/>
                <w:szCs w:val="18"/>
              </w:rPr>
            </w:pPr>
            <w:r>
              <w:rPr>
                <w:rFonts w:ascii="宋体" w:hAnsi="宋体" w:cs="宋体" w:eastAsia="宋体" w:hint="default"/>
                <w:sz w:val="18"/>
                <w:szCs w:val="18"/>
              </w:rPr>
              <w:t>长期应付职工薪 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217,897.87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775,517.54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0.04%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-0.03%</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1,666,666.67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0.08%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-0.06%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243" w:right="43" w:hanging="1223"/>
              <w:jc w:val="left"/>
              <w:rPr>
                <w:rFonts w:ascii="宋体" w:hAnsi="宋体" w:cs="宋体" w:eastAsia="宋体" w:hint="default"/>
                <w:sz w:val="18"/>
                <w:szCs w:val="18"/>
              </w:rPr>
            </w:pPr>
            <w:r>
              <w:rPr>
                <w:rFonts w:ascii="宋体" w:hAnsi="宋体" w:cs="宋体" w:eastAsia="宋体" w:hint="default"/>
                <w:spacing w:val="-5"/>
                <w:sz w:val="18"/>
                <w:szCs w:val="18"/>
              </w:rPr>
              <w:t>详见第十节财务报告报表附注（六、</w:t>
            </w:r>
            <w:r>
              <w:rPr>
                <w:rFonts w:ascii="Times New Roman" w:hAnsi="Times New Roman" w:cs="Times New Roman" w:eastAsia="Times New Roman" w:hint="default"/>
                <w:spacing w:val="-5"/>
                <w:sz w:val="18"/>
                <w:szCs w:val="18"/>
              </w:rPr>
              <w:t>23</w:t>
            </w:r>
            <w:r>
              <w:rPr>
                <w:rFonts w:ascii="宋体" w:hAnsi="宋体" w:cs="宋体" w:eastAsia="宋体" w:hint="default"/>
                <w:spacing w:val="-5"/>
                <w:sz w:val="18"/>
                <w:szCs w:val="18"/>
              </w:rPr>
              <w:t>）递</w:t>
            </w:r>
            <w:r>
              <w:rPr>
                <w:rFonts w:ascii="宋体" w:hAnsi="宋体" w:cs="宋体" w:eastAsia="宋体" w:hint="default"/>
                <w:spacing w:val="-88"/>
                <w:sz w:val="18"/>
                <w:szCs w:val="18"/>
              </w:rPr>
              <w:t> </w:t>
            </w:r>
            <w:r>
              <w:rPr>
                <w:rFonts w:ascii="宋体" w:hAnsi="宋体" w:cs="宋体" w:eastAsia="宋体" w:hint="default"/>
                <w:sz w:val="18"/>
                <w:szCs w:val="18"/>
              </w:rPr>
              <w:t>延收益明细</w:t>
            </w:r>
          </w:p>
        </w:tc>
      </w:tr>
    </w:tbl>
    <w:p>
      <w:pPr>
        <w:spacing w:line="240" w:lineRule="auto" w:before="3"/>
        <w:rPr>
          <w:rFonts w:ascii="宋体" w:hAnsi="宋体" w:cs="宋体" w:eastAsia="宋体" w:hint="default"/>
          <w:sz w:val="19"/>
          <w:szCs w:val="19"/>
        </w:rPr>
      </w:pPr>
    </w:p>
    <w:p>
      <w:pPr>
        <w:pStyle w:val="Heading5"/>
        <w:spacing w:line="240" w:lineRule="auto" w:before="36"/>
        <w:ind w:left="963"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0"/>
        <w:rPr>
          <w:rFonts w:ascii="宋体" w:hAnsi="宋体" w:cs="宋体" w:eastAsia="宋体" w:hint="default"/>
          <w:b/>
          <w:bCs/>
          <w:sz w:val="24"/>
          <w:szCs w:val="24"/>
        </w:rPr>
      </w:pPr>
    </w:p>
    <w:p>
      <w:pPr>
        <w:spacing w:line="499" w:lineRule="auto" w:before="0"/>
        <w:ind w:left="963" w:right="7395"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4"/>
          <w:szCs w:val="24"/>
        </w:rPr>
        <w:t>五、投资状况分析</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392" w:type="dxa"/>
        <w:tblLayout w:type="fixed"/>
        <w:tblCellMar>
          <w:top w:w="0" w:type="dxa"/>
          <w:left w:w="0" w:type="dxa"/>
          <w:bottom w:w="0" w:type="dxa"/>
          <w:right w:w="0" w:type="dxa"/>
        </w:tblCellMar>
        <w:tblLook w:val="01E0"/>
      </w:tblPr>
      <w:tblGrid>
        <w:gridCol w:w="3046"/>
        <w:gridCol w:w="3190"/>
        <w:gridCol w:w="3193"/>
      </w:tblGrid>
      <w:tr>
        <w:trPr>
          <w:trHeight w:val="360" w:hRule="exact"/>
        </w:trPr>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229"/>
              <w:jc w:val="right"/>
              <w:rPr>
                <w:rFonts w:ascii="宋体" w:hAnsi="宋体" w:cs="宋体" w:eastAsia="宋体" w:hint="default"/>
                <w:sz w:val="18"/>
                <w:szCs w:val="18"/>
              </w:rPr>
            </w:pPr>
            <w:r>
              <w:rPr>
                <w:rFonts w:ascii="宋体" w:hAnsi="宋体" w:cs="宋体" w:eastAsia="宋体" w:hint="default"/>
                <w:sz w:val="18"/>
                <w:szCs w:val="18"/>
              </w:rPr>
              <w:t>变动幅度</w:t>
            </w:r>
          </w:p>
        </w:tc>
      </w:tr>
      <w:tr>
        <w:trPr>
          <w:trHeight w:val="362"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223,000,000.00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1,281,347,000.00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79"/>
              <w:jc w:val="right"/>
              <w:rPr>
                <w:rFonts w:ascii="Times New Roman" w:hAnsi="Times New Roman" w:cs="Times New Roman" w:eastAsia="Times New Roman" w:hint="default"/>
                <w:sz w:val="18"/>
                <w:szCs w:val="18"/>
              </w:rPr>
            </w:pPr>
            <w:r>
              <w:rPr>
                <w:rFonts w:ascii="Times New Roman"/>
                <w:sz w:val="18"/>
              </w:rPr>
              <w:t>-82.60%</w:t>
            </w:r>
          </w:p>
        </w:tc>
      </w:tr>
    </w:tbl>
    <w:p>
      <w:pPr>
        <w:spacing w:line="240" w:lineRule="auto" w:before="3"/>
        <w:rPr>
          <w:rFonts w:ascii="宋体" w:hAnsi="宋体" w:cs="宋体" w:eastAsia="宋体" w:hint="default"/>
          <w:b/>
          <w:bCs/>
          <w:sz w:val="19"/>
          <w:szCs w:val="19"/>
        </w:rPr>
      </w:pPr>
    </w:p>
    <w:p>
      <w:pPr>
        <w:pStyle w:val="Heading5"/>
        <w:spacing w:line="240" w:lineRule="auto" w:before="36"/>
        <w:ind w:left="963"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975"/>
        <w:jc w:val="right"/>
      </w:pPr>
      <w:r>
        <w:rPr/>
        <w:t>单位：元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852"/>
        <w:gridCol w:w="852"/>
        <w:gridCol w:w="566"/>
        <w:gridCol w:w="709"/>
        <w:gridCol w:w="569"/>
        <w:gridCol w:w="566"/>
        <w:gridCol w:w="1416"/>
        <w:gridCol w:w="566"/>
        <w:gridCol w:w="480"/>
        <w:gridCol w:w="684"/>
        <w:gridCol w:w="682"/>
        <w:gridCol w:w="684"/>
        <w:gridCol w:w="682"/>
        <w:gridCol w:w="684"/>
      </w:tblGrid>
      <w:tr>
        <w:trPr>
          <w:trHeight w:val="984"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51" w:right="58" w:hanging="89"/>
              <w:jc w:val="left"/>
              <w:rPr>
                <w:rFonts w:ascii="宋体" w:hAnsi="宋体" w:cs="宋体" w:eastAsia="宋体" w:hint="default"/>
                <w:sz w:val="18"/>
                <w:szCs w:val="18"/>
              </w:rPr>
            </w:pPr>
            <w:r>
              <w:rPr>
                <w:rFonts w:ascii="宋体" w:hAnsi="宋体" w:cs="宋体" w:eastAsia="宋体" w:hint="default"/>
                <w:sz w:val="18"/>
                <w:szCs w:val="18"/>
              </w:rPr>
              <w:t>被投资公 司名称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6" w:right="98"/>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56" w:right="80"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8" w:right="9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5" w:right="98"/>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55" w:right="53"/>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64" w:right="65"/>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4" w:right="65"/>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7" w:right="6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1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62" w:right="58"/>
              <w:jc w:val="both"/>
              <w:rPr>
                <w:rFonts w:ascii="宋体" w:hAnsi="宋体" w:cs="宋体" w:eastAsia="宋体" w:hint="default"/>
                <w:sz w:val="18"/>
                <w:szCs w:val="18"/>
              </w:rPr>
            </w:pPr>
            <w:r>
              <w:rPr>
                <w:rFonts w:ascii="宋体" w:hAnsi="宋体" w:cs="宋体" w:eastAsia="宋体" w:hint="default"/>
                <w:sz w:val="18"/>
                <w:szCs w:val="18"/>
              </w:rPr>
              <w:t>上海德天 股权投资 基金中心</w:t>
            </w:r>
          </w:p>
          <w:p>
            <w:pPr>
              <w:pStyle w:val="TableParagraph"/>
              <w:spacing w:line="316" w:lineRule="auto" w:before="19"/>
              <w:ind w:left="242" w:right="58" w:hanging="180"/>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151" w:right="60" w:hanging="92"/>
              <w:jc w:val="left"/>
              <w:rPr>
                <w:rFonts w:ascii="宋体" w:hAnsi="宋体" w:cs="宋体" w:eastAsia="宋体" w:hint="default"/>
                <w:sz w:val="18"/>
                <w:szCs w:val="18"/>
              </w:rPr>
            </w:pPr>
            <w:r>
              <w:rPr>
                <w:rFonts w:ascii="宋体" w:hAnsi="宋体" w:cs="宋体" w:eastAsia="宋体" w:hint="default"/>
                <w:sz w:val="18"/>
                <w:szCs w:val="18"/>
              </w:rPr>
              <w:t>投资与咨 询业务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20"/>
                <w:szCs w:val="20"/>
              </w:rPr>
            </w:pPr>
            <w:r>
              <w:rPr>
                <w:rFonts w:ascii="Times New Roman"/>
                <w:sz w:val="20"/>
              </w:rPr>
              <w:t>20,000,</w:t>
            </w:r>
          </w:p>
          <w:p>
            <w:pPr>
              <w:pStyle w:val="TableParagraph"/>
              <w:spacing w:line="240" w:lineRule="auto" w:before="82"/>
              <w:ind w:left="71" w:right="0"/>
              <w:jc w:val="left"/>
              <w:rPr>
                <w:rFonts w:ascii="Times New Roman" w:hAnsi="Times New Roman" w:cs="Times New Roman" w:eastAsia="Times New Roman" w:hint="default"/>
                <w:sz w:val="20"/>
                <w:szCs w:val="20"/>
              </w:rPr>
            </w:pPr>
            <w:r>
              <w:rPr>
                <w:rFonts w:ascii="Times New Roman"/>
                <w:sz w:val="20"/>
              </w:rPr>
              <w:t>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95" w:right="9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1" w:right="19"/>
              <w:jc w:val="center"/>
              <w:rPr>
                <w:rFonts w:ascii="宋体" w:hAnsi="宋体" w:cs="宋体" w:eastAsia="宋体" w:hint="default"/>
                <w:sz w:val="18"/>
                <w:szCs w:val="18"/>
              </w:rPr>
            </w:pPr>
            <w:r>
              <w:rPr>
                <w:rFonts w:ascii="宋体" w:hAnsi="宋体" w:cs="宋体" w:eastAsia="宋体" w:hint="default"/>
                <w:spacing w:val="-10"/>
                <w:sz w:val="18"/>
                <w:szCs w:val="18"/>
              </w:rPr>
              <w:t>德同（北京）投资</w:t>
            </w:r>
            <w:r>
              <w:rPr>
                <w:rFonts w:ascii="宋体" w:hAnsi="宋体" w:cs="宋体" w:eastAsia="宋体" w:hint="default"/>
                <w:sz w:val="18"/>
                <w:szCs w:val="18"/>
              </w:rPr>
              <w:t> </w:t>
            </w:r>
            <w:r>
              <w:rPr>
                <w:rFonts w:ascii="宋体" w:hAnsi="宋体" w:cs="宋体" w:eastAsia="宋体" w:hint="default"/>
                <w:spacing w:val="-10"/>
                <w:sz w:val="18"/>
                <w:szCs w:val="18"/>
              </w:rPr>
              <w:t>管理有限公司、上</w:t>
            </w:r>
            <w:r>
              <w:rPr>
                <w:rFonts w:ascii="宋体" w:hAnsi="宋体" w:cs="宋体" w:eastAsia="宋体" w:hint="default"/>
                <w:sz w:val="18"/>
                <w:szCs w:val="18"/>
              </w:rPr>
              <w:t> 海德同共盈股权 </w:t>
            </w:r>
            <w:r>
              <w:rPr>
                <w:rFonts w:ascii="宋体" w:hAnsi="宋体" w:cs="宋体" w:eastAsia="宋体" w:hint="default"/>
                <w:spacing w:val="-10"/>
                <w:sz w:val="18"/>
                <w:szCs w:val="18"/>
              </w:rPr>
              <w:t>投资基金中心（有</w:t>
            </w:r>
            <w:r>
              <w:rPr>
                <w:rFonts w:ascii="宋体" w:hAnsi="宋体" w:cs="宋体" w:eastAsia="宋体" w:hint="default"/>
                <w:sz w:val="18"/>
                <w:szCs w:val="18"/>
              </w:rPr>
              <w:t> 限合伙）</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55" w:right="53"/>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231,992</w:t>
            </w:r>
          </w:p>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sz w:val="18"/>
              </w:rPr>
              <w:t>.94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2014-4-</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62" w:lineRule="auto"/>
              <w:ind w:left="36" w:right="33" w:firstLine="1"/>
              <w:jc w:val="center"/>
              <w:rPr>
                <w:rFonts w:ascii="Times New Roman" w:hAnsi="Times New Roman" w:cs="Times New Roman" w:eastAsia="Times New Roman" w:hint="default"/>
                <w:sz w:val="18"/>
                <w:szCs w:val="18"/>
              </w:rPr>
            </w:pPr>
            <w:hyperlink r:id="rId20">
              <w:r>
                <w:rPr>
                  <w:rFonts w:ascii="Times New Roman"/>
                  <w:sz w:val="18"/>
                </w:rPr>
                <w:t>http://w</w:t>
              </w:r>
            </w:hyperlink>
            <w:r>
              <w:rPr>
                <w:rFonts w:ascii="Times New Roman"/>
                <w:w w:val="99"/>
                <w:sz w:val="18"/>
              </w:rPr>
              <w:t> </w:t>
            </w:r>
            <w:r>
              <w:rPr>
                <w:rFonts w:ascii="Times New Roman"/>
                <w:spacing w:val="-2"/>
                <w:sz w:val="18"/>
              </w:rPr>
              <w:t>ww.cnin</w:t>
            </w:r>
            <w:r>
              <w:rPr>
                <w:rFonts w:ascii="Times New Roman"/>
                <w:sz w:val="18"/>
              </w:rPr>
              <w:t> fo.com. cn</w:t>
            </w:r>
          </w:p>
        </w:tc>
      </w:tr>
      <w:tr>
        <w:trPr>
          <w:trHeight w:val="219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2"/>
              <w:ind w:left="62" w:right="58"/>
              <w:jc w:val="center"/>
              <w:rPr>
                <w:rFonts w:ascii="宋体" w:hAnsi="宋体" w:cs="宋体" w:eastAsia="宋体" w:hint="default"/>
                <w:sz w:val="18"/>
                <w:szCs w:val="18"/>
              </w:rPr>
            </w:pPr>
            <w:r>
              <w:rPr>
                <w:rFonts w:ascii="宋体" w:hAnsi="宋体" w:cs="宋体" w:eastAsia="宋体" w:hint="default"/>
                <w:sz w:val="18"/>
                <w:szCs w:val="18"/>
              </w:rPr>
              <w:t>北京初见 科技有限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游戏发行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96" w:right="98"/>
              <w:jc w:val="left"/>
              <w:rPr>
                <w:rFonts w:ascii="宋体" w:hAnsi="宋体" w:cs="宋体" w:eastAsia="宋体" w:hint="default"/>
                <w:sz w:val="18"/>
                <w:szCs w:val="18"/>
              </w:rPr>
            </w:pPr>
            <w:r>
              <w:rPr>
                <w:rFonts w:ascii="宋体" w:hAnsi="宋体" w:cs="宋体" w:eastAsia="宋体" w:hint="default"/>
                <w:sz w:val="18"/>
                <w:szCs w:val="18"/>
              </w:rPr>
              <w:t>投资 参股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7" w:right="0"/>
              <w:jc w:val="left"/>
              <w:rPr>
                <w:rFonts w:ascii="Times New Roman" w:hAnsi="Times New Roman" w:cs="Times New Roman" w:eastAsia="Times New Roman" w:hint="default"/>
                <w:sz w:val="20"/>
                <w:szCs w:val="20"/>
              </w:rPr>
            </w:pPr>
            <w:r>
              <w:rPr>
                <w:rFonts w:ascii="Times New Roman"/>
                <w:sz w:val="20"/>
              </w:rPr>
              <w:t>30,000,</w:t>
            </w:r>
          </w:p>
          <w:p>
            <w:pPr>
              <w:pStyle w:val="TableParagraph"/>
              <w:spacing w:line="240" w:lineRule="auto" w:before="82"/>
              <w:ind w:left="71" w:right="0"/>
              <w:jc w:val="left"/>
              <w:rPr>
                <w:rFonts w:ascii="Times New Roman" w:hAnsi="Times New Roman" w:cs="Times New Roman" w:eastAsia="Times New Roman" w:hint="default"/>
                <w:sz w:val="20"/>
                <w:szCs w:val="20"/>
              </w:rPr>
            </w:pPr>
            <w:r>
              <w:rPr>
                <w:rFonts w:ascii="Times New Roman"/>
                <w:sz w:val="20"/>
              </w:rPr>
              <w:t>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95" w:right="9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22"/>
              <w:jc w:val="center"/>
              <w:rPr>
                <w:rFonts w:ascii="宋体" w:hAnsi="宋体" w:cs="宋体" w:eastAsia="宋体" w:hint="default"/>
                <w:sz w:val="18"/>
                <w:szCs w:val="18"/>
              </w:rPr>
            </w:pPr>
            <w:r>
              <w:rPr>
                <w:rFonts w:ascii="宋体" w:hAnsi="宋体" w:cs="宋体" w:eastAsia="宋体" w:hint="default"/>
                <w:spacing w:val="-10"/>
                <w:sz w:val="18"/>
                <w:szCs w:val="18"/>
              </w:rPr>
              <w:t>方小奇、游族网络</w:t>
            </w:r>
            <w:r>
              <w:rPr>
                <w:rFonts w:ascii="宋体" w:hAnsi="宋体" w:cs="宋体" w:eastAsia="宋体" w:hint="default"/>
                <w:sz w:val="18"/>
                <w:szCs w:val="18"/>
              </w:rPr>
              <w:t> </w:t>
            </w:r>
            <w:r>
              <w:rPr>
                <w:rFonts w:ascii="宋体" w:hAnsi="宋体" w:cs="宋体" w:eastAsia="宋体" w:hint="default"/>
                <w:spacing w:val="-10"/>
                <w:sz w:val="18"/>
                <w:szCs w:val="18"/>
              </w:rPr>
              <w:t>股份有限公司、创</w:t>
            </w:r>
            <w:r>
              <w:rPr>
                <w:rFonts w:ascii="宋体" w:hAnsi="宋体" w:cs="宋体" w:eastAsia="宋体" w:hint="default"/>
                <w:sz w:val="18"/>
                <w:szCs w:val="18"/>
              </w:rPr>
              <w:t> 想力量（北京） 网络科技有限公 </w:t>
            </w:r>
            <w:r>
              <w:rPr>
                <w:rFonts w:ascii="宋体" w:hAnsi="宋体" w:cs="宋体" w:eastAsia="宋体" w:hint="default"/>
                <w:spacing w:val="-10"/>
                <w:sz w:val="18"/>
                <w:szCs w:val="18"/>
              </w:rPr>
              <w:t>司、杭州恒华投资</w:t>
            </w:r>
            <w:r>
              <w:rPr>
                <w:rFonts w:ascii="宋体" w:hAnsi="宋体" w:cs="宋体" w:eastAsia="宋体" w:hint="default"/>
                <w:sz w:val="18"/>
                <w:szCs w:val="18"/>
              </w:rPr>
              <w:t> 有限公司、李涛 </w:t>
            </w:r>
            <w:r>
              <w:rPr>
                <w:rFonts w:ascii="宋体" w:hAnsi="宋体" w:cs="宋体" w:eastAsia="宋体" w:hint="default"/>
                <w:spacing w:val="-10"/>
                <w:sz w:val="18"/>
                <w:szCs w:val="18"/>
              </w:rPr>
              <w:t>滕伟华、深圳墨麟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55" w:right="53"/>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4" w:right="0"/>
              <w:jc w:val="both"/>
              <w:rPr>
                <w:rFonts w:ascii="宋体" w:hAnsi="宋体" w:cs="宋体" w:eastAsia="宋体" w:hint="default"/>
                <w:sz w:val="18"/>
                <w:szCs w:val="18"/>
              </w:rPr>
            </w:pPr>
            <w:r>
              <w:rPr>
                <w:rFonts w:ascii="宋体" w:hAnsi="宋体" w:cs="宋体" w:eastAsia="宋体" w:hint="default"/>
                <w:spacing w:val="28"/>
                <w:sz w:val="18"/>
                <w:szCs w:val="18"/>
              </w:rPr>
              <w:t>请详见</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316" w:lineRule="auto" w:before="76"/>
              <w:ind w:left="24" w:right="-20"/>
              <w:jc w:val="both"/>
              <w:rPr>
                <w:rFonts w:ascii="宋体" w:hAnsi="宋体" w:cs="宋体" w:eastAsia="宋体" w:hint="default"/>
                <w:sz w:val="18"/>
                <w:szCs w:val="18"/>
              </w:rPr>
            </w:pPr>
            <w:r>
              <w:rPr>
                <w:rFonts w:ascii="宋体" w:hAnsi="宋体" w:cs="宋体" w:eastAsia="宋体" w:hint="default"/>
                <w:spacing w:val="28"/>
                <w:sz w:val="18"/>
                <w:szCs w:val="18"/>
              </w:rPr>
              <w:t>《对外</w:t>
            </w:r>
            <w:r>
              <w:rPr>
                <w:rFonts w:ascii="宋体" w:hAnsi="宋体" w:cs="宋体" w:eastAsia="宋体" w:hint="default"/>
                <w:spacing w:val="-47"/>
                <w:sz w:val="18"/>
                <w:szCs w:val="18"/>
              </w:rPr>
              <w:t> </w:t>
            </w:r>
            <w:r>
              <w:rPr>
                <w:rFonts w:ascii="宋体" w:hAnsi="宋体" w:cs="宋体" w:eastAsia="宋体" w:hint="default"/>
                <w:spacing w:val="28"/>
                <w:sz w:val="18"/>
                <w:szCs w:val="18"/>
              </w:rPr>
              <w:t>投资的</w:t>
            </w:r>
            <w:r>
              <w:rPr>
                <w:rFonts w:ascii="宋体" w:hAnsi="宋体" w:cs="宋体" w:eastAsia="宋体" w:hint="default"/>
                <w:spacing w:val="-47"/>
                <w:sz w:val="18"/>
                <w:szCs w:val="18"/>
              </w:rPr>
              <w:t> </w:t>
            </w:r>
            <w:r>
              <w:rPr>
                <w:rFonts w:ascii="宋体" w:hAnsi="宋体" w:cs="宋体" w:eastAsia="宋体" w:hint="default"/>
                <w:spacing w:val="44"/>
                <w:sz w:val="18"/>
                <w:szCs w:val="18"/>
              </w:rPr>
              <w:t>公告</w:t>
            </w:r>
            <w:r>
              <w:rPr>
                <w:rFonts w:ascii="宋体" w:hAnsi="宋体" w:cs="宋体" w:eastAsia="宋体" w:hint="default"/>
                <w:spacing w:val="-2"/>
                <w:sz w:val="18"/>
                <w:szCs w:val="18"/>
              </w:rPr>
              <w:t> </w:t>
            </w:r>
            <w:r>
              <w:rPr>
                <w:rFonts w:ascii="宋体" w:hAnsi="宋体" w:cs="宋体" w:eastAsia="宋体" w:hint="default"/>
                <w:sz w:val="18"/>
                <w:szCs w:val="18"/>
              </w:rPr>
            </w:r>
          </w:p>
          <w:p>
            <w:pPr>
              <w:pStyle w:val="TableParagraph"/>
              <w:spacing w:line="300" w:lineRule="auto" w:before="19"/>
              <w:ind w:left="24" w:right="19"/>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2015- 101</w:t>
            </w:r>
            <w:r>
              <w:rPr>
                <w:rFonts w:ascii="宋体" w:hAnsi="宋体" w:cs="宋体" w:eastAsia="宋体"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196" w:lineRule="exact"/>
              <w:ind w:left="64"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2015-12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62" w:lineRule="auto"/>
              <w:ind w:left="36" w:right="33" w:firstLine="1"/>
              <w:jc w:val="center"/>
              <w:rPr>
                <w:rFonts w:ascii="Times New Roman" w:hAnsi="Times New Roman" w:cs="Times New Roman" w:eastAsia="Times New Roman" w:hint="default"/>
                <w:sz w:val="18"/>
                <w:szCs w:val="18"/>
              </w:rPr>
            </w:pPr>
            <w:hyperlink r:id="rId20">
              <w:r>
                <w:rPr>
                  <w:rFonts w:ascii="Times New Roman"/>
                  <w:sz w:val="18"/>
                </w:rPr>
                <w:t>http://w</w:t>
              </w:r>
            </w:hyperlink>
            <w:r>
              <w:rPr>
                <w:rFonts w:ascii="Times New Roman"/>
                <w:w w:val="99"/>
                <w:sz w:val="18"/>
              </w:rPr>
              <w:t> </w:t>
            </w:r>
            <w:r>
              <w:rPr>
                <w:rFonts w:ascii="Times New Roman"/>
                <w:spacing w:val="-2"/>
                <w:sz w:val="18"/>
              </w:rPr>
              <w:t>ww.cnin</w:t>
            </w:r>
            <w:r>
              <w:rPr>
                <w:rFonts w:ascii="Times New Roman"/>
                <w:sz w:val="18"/>
              </w:rPr>
              <w:t> fo.com. cn</w:t>
            </w:r>
          </w:p>
        </w:tc>
      </w:tr>
    </w:tbl>
    <w:p>
      <w:pPr>
        <w:spacing w:after="0" w:line="362" w:lineRule="auto"/>
        <w:jc w:val="center"/>
        <w:rPr>
          <w:rFonts w:ascii="Times New Roman" w:hAnsi="Times New Roman" w:cs="Times New Roman" w:eastAsia="Times New Roman" w:hint="default"/>
          <w:sz w:val="18"/>
          <w:szCs w:val="18"/>
        </w:rPr>
        <w:sectPr>
          <w:pgSz w:w="11910" w:h="16840"/>
          <w:pgMar w:header="0" w:footer="959" w:top="1340" w:bottom="1140" w:left="880" w:right="720"/>
        </w:sectPr>
      </w:pPr>
    </w:p>
    <w:p>
      <w:pPr>
        <w:spacing w:line="240" w:lineRule="auto" w:before="3"/>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852"/>
        <w:gridCol w:w="852"/>
        <w:gridCol w:w="566"/>
        <w:gridCol w:w="709"/>
        <w:gridCol w:w="569"/>
        <w:gridCol w:w="566"/>
        <w:gridCol w:w="1416"/>
        <w:gridCol w:w="566"/>
        <w:gridCol w:w="480"/>
        <w:gridCol w:w="684"/>
        <w:gridCol w:w="682"/>
        <w:gridCol w:w="684"/>
        <w:gridCol w:w="682"/>
        <w:gridCol w:w="684"/>
      </w:tblGrid>
      <w:tr>
        <w:trPr>
          <w:trHeight w:val="675"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20" w:right="72" w:hanging="449"/>
              <w:jc w:val="left"/>
              <w:rPr>
                <w:rFonts w:ascii="宋体" w:hAnsi="宋体" w:cs="宋体" w:eastAsia="宋体" w:hint="default"/>
                <w:sz w:val="18"/>
                <w:szCs w:val="18"/>
              </w:rPr>
            </w:pPr>
            <w:r>
              <w:rPr>
                <w:rFonts w:ascii="宋体" w:hAnsi="宋体" w:cs="宋体" w:eastAsia="宋体" w:hint="default"/>
                <w:sz w:val="18"/>
                <w:szCs w:val="18"/>
              </w:rPr>
              <w:t>科技股份有限公 司等</w:t>
            </w:r>
          </w:p>
        </w:tc>
        <w:tc>
          <w:tcPr>
            <w:tcW w:w="56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2" w:right="58"/>
              <w:jc w:val="both"/>
              <w:rPr>
                <w:rFonts w:ascii="宋体" w:hAnsi="宋体" w:cs="宋体" w:eastAsia="宋体" w:hint="default"/>
                <w:sz w:val="18"/>
                <w:szCs w:val="18"/>
              </w:rPr>
            </w:pPr>
            <w:r>
              <w:rPr>
                <w:rFonts w:ascii="宋体" w:hAnsi="宋体" w:cs="宋体" w:eastAsia="宋体" w:hint="default"/>
                <w:sz w:val="18"/>
                <w:szCs w:val="18"/>
              </w:rPr>
              <w:t>北京决胜 网教育科 技股份有 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331" w:right="60" w:hanging="272"/>
              <w:jc w:val="left"/>
              <w:rPr>
                <w:rFonts w:ascii="宋体" w:hAnsi="宋体" w:cs="宋体" w:eastAsia="宋体" w:hint="default"/>
                <w:sz w:val="18"/>
                <w:szCs w:val="18"/>
              </w:rPr>
            </w:pPr>
            <w:r>
              <w:rPr>
                <w:rFonts w:ascii="宋体" w:hAnsi="宋体" w:cs="宋体" w:eastAsia="宋体" w:hint="default"/>
                <w:sz w:val="18"/>
                <w:szCs w:val="18"/>
              </w:rPr>
              <w:t>互联网教 育</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96" w:right="98"/>
              <w:jc w:val="left"/>
              <w:rPr>
                <w:rFonts w:ascii="宋体" w:hAnsi="宋体" w:cs="宋体" w:eastAsia="宋体" w:hint="default"/>
                <w:sz w:val="18"/>
                <w:szCs w:val="18"/>
              </w:rPr>
            </w:pPr>
            <w:r>
              <w:rPr>
                <w:rFonts w:ascii="宋体" w:hAnsi="宋体" w:cs="宋体" w:eastAsia="宋体" w:hint="default"/>
                <w:sz w:val="18"/>
                <w:szCs w:val="18"/>
              </w:rPr>
              <w:t>投资 参股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1" w:right="0"/>
              <w:jc w:val="left"/>
              <w:rPr>
                <w:rFonts w:ascii="Times New Roman" w:hAnsi="Times New Roman" w:cs="Times New Roman" w:eastAsia="Times New Roman" w:hint="default"/>
                <w:sz w:val="20"/>
                <w:szCs w:val="20"/>
              </w:rPr>
            </w:pPr>
            <w:r>
              <w:rPr>
                <w:rFonts w:ascii="Times New Roman"/>
                <w:sz w:val="20"/>
              </w:rPr>
              <w:t>170,000</w:t>
            </w:r>
          </w:p>
          <w:p>
            <w:pPr>
              <w:pStyle w:val="TableParagraph"/>
              <w:spacing w:line="240" w:lineRule="auto" w:before="82"/>
              <w:ind w:left="45" w:right="0"/>
              <w:jc w:val="left"/>
              <w:rPr>
                <w:rFonts w:ascii="Times New Roman" w:hAnsi="Times New Roman" w:cs="Times New Roman" w:eastAsia="Times New Roman" w:hint="default"/>
                <w:sz w:val="20"/>
                <w:szCs w:val="20"/>
              </w:rPr>
            </w:pPr>
            <w:r>
              <w:rPr>
                <w:rFonts w:ascii="Times New Roman"/>
                <w:sz w:val="20"/>
              </w:rPr>
              <w:t>,000.00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18.889</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95" w:right="9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阙登峰、戴政等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55" w:right="53"/>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7"/>
              <w:jc w:val="center"/>
              <w:rPr>
                <w:rFonts w:ascii="Times New Roman" w:hAnsi="Times New Roman" w:cs="Times New Roman" w:eastAsia="Times New Roman" w:hint="default"/>
                <w:sz w:val="18"/>
                <w:szCs w:val="18"/>
              </w:rPr>
            </w:pPr>
            <w:r>
              <w:rPr>
                <w:rFonts w:ascii="Times New Roman"/>
                <w:spacing w:val="-3"/>
                <w:sz w:val="18"/>
              </w:rPr>
              <w:t>2015-11</w:t>
            </w:r>
            <w:r>
              <w:rPr>
                <w:rFonts w:ascii="Times New Roman"/>
                <w:sz w:val="18"/>
              </w:rPr>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36" w:right="33" w:firstLine="1"/>
              <w:jc w:val="center"/>
              <w:rPr>
                <w:rFonts w:ascii="Times New Roman" w:hAnsi="Times New Roman" w:cs="Times New Roman" w:eastAsia="Times New Roman" w:hint="default"/>
                <w:sz w:val="18"/>
                <w:szCs w:val="18"/>
              </w:rPr>
            </w:pPr>
            <w:hyperlink r:id="rId20">
              <w:r>
                <w:rPr>
                  <w:rFonts w:ascii="Times New Roman"/>
                  <w:sz w:val="18"/>
                </w:rPr>
                <w:t>http://w</w:t>
              </w:r>
            </w:hyperlink>
            <w:r>
              <w:rPr>
                <w:rFonts w:ascii="Times New Roman"/>
                <w:w w:val="99"/>
                <w:sz w:val="18"/>
              </w:rPr>
              <w:t> </w:t>
            </w:r>
            <w:r>
              <w:rPr>
                <w:rFonts w:ascii="Times New Roman"/>
                <w:spacing w:val="-2"/>
                <w:sz w:val="18"/>
              </w:rPr>
              <w:t>ww.cnin</w:t>
            </w:r>
            <w:r>
              <w:rPr>
                <w:rFonts w:ascii="Times New Roman"/>
                <w:sz w:val="18"/>
              </w:rPr>
              <w:t> fo.com. cn</w:t>
            </w:r>
          </w:p>
        </w:tc>
      </w:tr>
      <w:tr>
        <w:trPr>
          <w:trHeight w:val="98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2" w:right="58"/>
              <w:jc w:val="both"/>
              <w:rPr>
                <w:rFonts w:ascii="宋体" w:hAnsi="宋体" w:cs="宋体" w:eastAsia="宋体" w:hint="default"/>
                <w:sz w:val="18"/>
                <w:szCs w:val="18"/>
              </w:rPr>
            </w:pPr>
            <w:r>
              <w:rPr>
                <w:rFonts w:ascii="宋体" w:hAnsi="宋体" w:cs="宋体" w:eastAsia="宋体" w:hint="default"/>
                <w:sz w:val="18"/>
                <w:szCs w:val="18"/>
              </w:rPr>
              <w:t>北京海德 拉科技有 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51" w:right="60" w:hanging="92"/>
              <w:jc w:val="left"/>
              <w:rPr>
                <w:rFonts w:ascii="宋体" w:hAnsi="宋体" w:cs="宋体" w:eastAsia="宋体" w:hint="default"/>
                <w:sz w:val="18"/>
                <w:szCs w:val="18"/>
              </w:rPr>
            </w:pPr>
            <w:r>
              <w:rPr>
                <w:rFonts w:ascii="宋体" w:hAnsi="宋体" w:cs="宋体" w:eastAsia="宋体" w:hint="default"/>
                <w:sz w:val="18"/>
                <w:szCs w:val="18"/>
              </w:rPr>
              <w:t>游戏开发 与运营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增资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7" w:right="0"/>
              <w:jc w:val="left"/>
              <w:rPr>
                <w:rFonts w:ascii="Times New Roman" w:hAnsi="Times New Roman" w:cs="Times New Roman" w:eastAsia="Times New Roman" w:hint="default"/>
                <w:sz w:val="20"/>
                <w:szCs w:val="20"/>
              </w:rPr>
            </w:pPr>
            <w:r>
              <w:rPr>
                <w:rFonts w:ascii="Times New Roman"/>
                <w:sz w:val="20"/>
              </w:rPr>
              <w:t>3,000,0</w:t>
            </w:r>
          </w:p>
          <w:p>
            <w:pPr>
              <w:pStyle w:val="TableParagraph"/>
              <w:spacing w:line="240" w:lineRule="auto" w:before="82"/>
              <w:ind w:left="122" w:right="0"/>
              <w:jc w:val="left"/>
              <w:rPr>
                <w:rFonts w:ascii="Times New Roman" w:hAnsi="Times New Roman" w:cs="Times New Roman" w:eastAsia="Times New Roman" w:hint="default"/>
                <w:sz w:val="20"/>
                <w:szCs w:val="20"/>
              </w:rPr>
            </w:pPr>
            <w:r>
              <w:rPr>
                <w:rFonts w:ascii="Times New Roman"/>
                <w:sz w:val="20"/>
              </w:rPr>
              <w:t>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center"/>
              <w:rPr>
                <w:rFonts w:ascii="Times New Roman" w:hAnsi="Times New Roman" w:cs="Times New Roman" w:eastAsia="Times New Roman" w:hint="default"/>
                <w:sz w:val="18"/>
                <w:szCs w:val="18"/>
              </w:rPr>
            </w:pPr>
            <w:r>
              <w:rPr>
                <w:rFonts w:ascii="Times New Roman"/>
                <w:sz w:val="18"/>
              </w:rPr>
              <w:t>25%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5" w:right="9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520" w:right="123" w:hanging="500"/>
              <w:jc w:val="left"/>
              <w:rPr>
                <w:rFonts w:ascii="宋体" w:hAnsi="宋体" w:cs="宋体" w:eastAsia="宋体" w:hint="default"/>
                <w:sz w:val="18"/>
                <w:szCs w:val="18"/>
              </w:rPr>
            </w:pPr>
            <w:r>
              <w:rPr>
                <w:rFonts w:ascii="宋体" w:hAnsi="宋体" w:cs="宋体" w:eastAsia="宋体" w:hint="default"/>
                <w:sz w:val="18"/>
                <w:szCs w:val="18"/>
              </w:rPr>
              <w:t>张志远、李鹏斌 高楠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19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55" w:right="53"/>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-124,84</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8.83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9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Times New Roman" w:hAnsi="Times New Roman" w:cs="Times New Roman" w:eastAsia="Times New Roman" w:hint="default"/>
                <w:sz w:val="20"/>
                <w:szCs w:val="20"/>
              </w:rPr>
            </w:pPr>
            <w:r>
              <w:rPr>
                <w:rFonts w:ascii="Times New Roman"/>
                <w:sz w:val="20"/>
              </w:rPr>
              <w:t>223,000</w:t>
            </w:r>
          </w:p>
          <w:p>
            <w:pPr>
              <w:pStyle w:val="TableParagraph"/>
              <w:spacing w:line="240" w:lineRule="auto" w:before="82"/>
              <w:ind w:left="21" w:right="0"/>
              <w:jc w:val="left"/>
              <w:rPr>
                <w:rFonts w:ascii="Times New Roman" w:hAnsi="Times New Roman" w:cs="Times New Roman" w:eastAsia="Times New Roman" w:hint="default"/>
                <w:sz w:val="20"/>
                <w:szCs w:val="20"/>
              </w:rPr>
            </w:pPr>
            <w:r>
              <w:rPr>
                <w:rFonts w:ascii="Times New Roman"/>
                <w:sz w:val="20"/>
              </w:rPr>
              <w:t>,000.00</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sz w:val="18"/>
              </w:rPr>
              <w:t>107,144</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.11</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5"/>
        <w:spacing w:line="240" w:lineRule="auto" w:before="36"/>
        <w:ind w:left="963" w:right="0"/>
        <w:jc w:val="left"/>
        <w:rPr>
          <w:b w:val="0"/>
          <w:bCs w:val="0"/>
        </w:rPr>
      </w:pPr>
      <w:r>
        <w:rPr/>
        <w:pict>
          <v:group style="position:absolute;margin-left:326.350006pt;margin-top:-107.526329pt;width:27.85pt;height:33.75pt;mso-position-horizontal-relative:page;mso-position-vertical-relative:paragraph;z-index:-1039024" coordorigin="6527,-2151" coordsize="557,675">
            <v:group style="position:absolute;left:6527;top:-2151;width:557;height:312" coordorigin="6527,-2151" coordsize="557,312">
              <v:shape style="position:absolute;left:6527;top:-2151;width:557;height:312" coordorigin="6527,-2151" coordsize="557,312" path="m6527,-1839l7084,-1839,7084,-2151,6527,-2151,6527,-1839xe" filled="true" fillcolor="#ffffff" stroked="false">
                <v:path arrowok="t"/>
                <v:fill type="solid"/>
              </v:shape>
            </v:group>
            <v:group style="position:absolute;left:6539;top:-1839;width:2;height:351" coordorigin="6539,-1839" coordsize="2,351">
              <v:shape style="position:absolute;left:6539;top:-1839;width:2;height:351" coordorigin="6539,-1839" coordsize="0,351" path="m6539,-1839l6539,-1488e" filled="false" stroked="true" strokeweight="1.2pt" strokecolor="#ffffff">
                <v:path arrowok="t"/>
              </v:shape>
            </v:group>
            <v:group style="position:absolute;left:6551;top:-1839;width:512;height:351" coordorigin="6551,-1839" coordsize="512,351">
              <v:shape style="position:absolute;left:6551;top:-1839;width:512;height:351" coordorigin="6551,-1839" coordsize="512,351" path="m6551,-1488l7062,-1488,7062,-1839,6551,-1839,6551,-1488xe" filled="true" fillcolor="#ffffff" stroked="false">
                <v:path arrowok="t"/>
                <v:fill type="solid"/>
              </v:shape>
            </v:group>
            <w10:wrap type="none"/>
          </v:group>
        </w:pict>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895"/>
        <w:jc w:val="right"/>
      </w:pPr>
      <w:r>
        <w:rPr/>
        <w:t>单位：元</w:t>
      </w:r>
    </w:p>
    <w:p>
      <w:pPr>
        <w:spacing w:line="240" w:lineRule="auto" w:before="4"/>
        <w:rPr>
          <w:rFonts w:ascii="宋体" w:hAnsi="宋体" w:cs="宋体" w:eastAsia="宋体" w:hint="default"/>
          <w:sz w:val="8"/>
          <w:szCs w:val="8"/>
        </w:rPr>
      </w:pPr>
    </w:p>
    <w:tbl>
      <w:tblPr>
        <w:tblW w:w="0" w:type="auto"/>
        <w:jc w:val="left"/>
        <w:tblInd w:w="250" w:type="dxa"/>
        <w:tblLayout w:type="fixed"/>
        <w:tblCellMar>
          <w:top w:w="0" w:type="dxa"/>
          <w:left w:w="0" w:type="dxa"/>
          <w:bottom w:w="0" w:type="dxa"/>
          <w:right w:w="0" w:type="dxa"/>
        </w:tblCellMar>
        <w:tblLook w:val="01E0"/>
      </w:tblPr>
      <w:tblGrid>
        <w:gridCol w:w="732"/>
        <w:gridCol w:w="734"/>
        <w:gridCol w:w="737"/>
        <w:gridCol w:w="737"/>
        <w:gridCol w:w="734"/>
        <w:gridCol w:w="737"/>
        <w:gridCol w:w="737"/>
        <w:gridCol w:w="735"/>
        <w:gridCol w:w="737"/>
        <w:gridCol w:w="737"/>
        <w:gridCol w:w="735"/>
        <w:gridCol w:w="737"/>
        <w:gridCol w:w="737"/>
      </w:tblGrid>
      <w:tr>
        <w:trPr>
          <w:trHeight w:val="1611"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69" w:right="92"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91" w:right="94"/>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91"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1"/>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71" w:right="9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1" w:right="95"/>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1"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91" w:right="9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16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1" w:right="19" w:hanging="6"/>
              <w:jc w:val="center"/>
              <w:rPr>
                <w:rFonts w:ascii="宋体" w:hAnsi="宋体" w:cs="宋体" w:eastAsia="宋体" w:hint="default"/>
                <w:sz w:val="18"/>
                <w:szCs w:val="18"/>
              </w:rPr>
            </w:pPr>
            <w:r>
              <w:rPr>
                <w:rFonts w:ascii="宋体" w:hAnsi="宋体" w:cs="宋体" w:eastAsia="宋体" w:hint="default"/>
                <w:sz w:val="18"/>
                <w:szCs w:val="18"/>
              </w:rPr>
              <w:t>长沙市 岳麓区 银盆岭 银杉路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30"/>
                <w:sz w:val="18"/>
                <w:szCs w:val="18"/>
              </w:rPr>
              <w:t>号，绿</w:t>
            </w:r>
            <w:r>
              <w:rPr>
                <w:rFonts w:ascii="宋体" w:hAnsi="宋体" w:cs="宋体" w:eastAsia="宋体" w:hint="default"/>
                <w:sz w:val="18"/>
                <w:szCs w:val="18"/>
              </w:rPr>
              <w:t> 地中央 广场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栋</w:t>
            </w:r>
          </w:p>
          <w:p>
            <w:pPr>
              <w:pStyle w:val="TableParagraph"/>
              <w:spacing w:line="240" w:lineRule="auto" w:before="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房</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房产购 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房地产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17,168,7</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33.10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17,168,7</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33.10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316" w:lineRule="auto"/>
              <w:ind w:left="271" w:right="95" w:hanging="180"/>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91" w:right="91"/>
              <w:jc w:val="both"/>
              <w:rPr>
                <w:rFonts w:ascii="宋体" w:hAnsi="宋体" w:cs="宋体" w:eastAsia="宋体" w:hint="default"/>
                <w:sz w:val="18"/>
                <w:szCs w:val="18"/>
              </w:rPr>
            </w:pPr>
            <w:r>
              <w:rPr>
                <w:rFonts w:ascii="宋体" w:hAnsi="宋体" w:cs="宋体" w:eastAsia="宋体" w:hint="default"/>
                <w:sz w:val="18"/>
                <w:szCs w:val="18"/>
              </w:rPr>
              <w:t>达到预 定可使 用状态 且已投 入使用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2015-1</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62" w:lineRule="auto"/>
              <w:ind w:left="28" w:right="32" w:firstLine="52"/>
              <w:jc w:val="both"/>
              <w:rPr>
                <w:rFonts w:ascii="Times New Roman" w:hAnsi="Times New Roman" w:cs="Times New Roman" w:eastAsia="Times New Roman" w:hint="default"/>
                <w:sz w:val="18"/>
                <w:szCs w:val="18"/>
              </w:rPr>
            </w:pPr>
            <w:hyperlink r:id="rId20">
              <w:r>
                <w:rPr>
                  <w:rFonts w:ascii="Times New Roman"/>
                  <w:sz w:val="18"/>
                </w:rPr>
                <w:t>http://w</w:t>
              </w:r>
            </w:hyperlink>
            <w:r>
              <w:rPr>
                <w:rFonts w:ascii="Times New Roman"/>
                <w:w w:val="99"/>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tc>
      </w:tr>
      <w:tr>
        <w:trPr>
          <w:trHeight w:val="98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0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17,168,7</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33.10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17,168,7</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33.10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left="963"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963" w:right="0"/>
        <w:jc w:val="left"/>
      </w:pPr>
      <w:r>
        <w:rPr/>
        <w:t>□适用√不适用</w:t>
      </w:r>
    </w:p>
    <w:p>
      <w:pPr>
        <w:spacing w:after="0" w:line="240" w:lineRule="auto"/>
        <w:jc w:val="left"/>
        <w:sectPr>
          <w:pgSz w:w="11910" w:h="16840"/>
          <w:pgMar w:header="0" w:footer="959" w:top="1340" w:bottom="1140" w:left="880" w:right="800"/>
        </w:sectPr>
      </w:pPr>
    </w:p>
    <w:p>
      <w:pPr>
        <w:pStyle w:val="Heading5"/>
        <w:spacing w:line="240" w:lineRule="auto" w:before="9"/>
        <w:ind w:right="598"/>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598"/>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615"/>
        <w:jc w:val="right"/>
      </w:pPr>
      <w:r>
        <w:rPr/>
        <w:t>单位：万元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864"/>
        <w:gridCol w:w="864"/>
        <w:gridCol w:w="876"/>
        <w:gridCol w:w="872"/>
        <w:gridCol w:w="869"/>
        <w:gridCol w:w="872"/>
        <w:gridCol w:w="869"/>
        <w:gridCol w:w="871"/>
        <w:gridCol w:w="869"/>
        <w:gridCol w:w="871"/>
        <w:gridCol w:w="869"/>
      </w:tblGrid>
      <w:tr>
        <w:trPr>
          <w:trHeight w:val="129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募集年份</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54"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0" w:right="71"/>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67"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70"/>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7" w:right="71"/>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67" w:right="70"/>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67" w:right="71"/>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98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0" w:right="0"/>
              <w:jc w:val="left"/>
              <w:rPr>
                <w:rFonts w:ascii="Times New Roman" w:hAnsi="Times New Roman" w:cs="Times New Roman" w:eastAsia="Times New Roman" w:hint="default"/>
                <w:sz w:val="18"/>
                <w:szCs w:val="18"/>
              </w:rPr>
            </w:pPr>
            <w:r>
              <w:rPr>
                <w:rFonts w:ascii="Times New Roman"/>
                <w:sz w:val="18"/>
              </w:rPr>
              <w:t>37946.268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119.61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2" w:right="0"/>
              <w:jc w:val="left"/>
              <w:rPr>
                <w:rFonts w:ascii="Times New Roman" w:hAnsi="Times New Roman" w:cs="Times New Roman" w:eastAsia="Times New Roman" w:hint="default"/>
                <w:sz w:val="18"/>
                <w:szCs w:val="18"/>
              </w:rPr>
            </w:pPr>
            <w:r>
              <w:rPr>
                <w:rFonts w:ascii="Times New Roman"/>
                <w:sz w:val="18"/>
              </w:rPr>
              <w:t>31118.612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9,530.12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69" w:right="71"/>
              <w:jc w:val="center"/>
              <w:rPr>
                <w:rFonts w:ascii="宋体" w:hAnsi="宋体" w:cs="宋体" w:eastAsia="宋体" w:hint="default"/>
                <w:sz w:val="18"/>
                <w:szCs w:val="18"/>
              </w:rPr>
            </w:pPr>
            <w:r>
              <w:rPr>
                <w:rFonts w:ascii="宋体" w:hAnsi="宋体" w:cs="宋体" w:eastAsia="宋体" w:hint="default"/>
                <w:sz w:val="18"/>
                <w:szCs w:val="18"/>
              </w:rPr>
              <w:t>存放于募 集资金专 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5" w:right="65" w:hanging="89"/>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22578.199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22578.199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82" w:hRule="exact"/>
        </w:trPr>
        <w:tc>
          <w:tcPr>
            <w:tcW w:w="864"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tcBorders>
              <w:top w:val="single" w:sz="4" w:space="0" w:color="000000"/>
              <w:left w:val="single" w:sz="4" w:space="0" w:color="000000"/>
              <w:bottom w:val="nil" w:sz="6" w:space="0" w:color="auto"/>
              <w:right w:val="single" w:sz="4" w:space="0" w:color="000000"/>
            </w:tcBorders>
            <w:shd w:val="clear" w:color="auto" w:fill="D2D2D2"/>
          </w:tcPr>
          <w:p>
            <w:pPr/>
          </w:p>
        </w:tc>
        <w:tc>
          <w:tcPr>
            <w:tcW w:w="876" w:type="dxa"/>
            <w:vMerge w:val="restart"/>
            <w:tcBorders>
              <w:top w:val="single" w:sz="4" w:space="0" w:color="000000"/>
              <w:left w:val="single" w:sz="10" w:space="0" w:color="D2D2D2"/>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60524.467</w:t>
            </w:r>
          </w:p>
        </w:tc>
        <w:tc>
          <w:tcPr>
            <w:tcW w:w="87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119.61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53,696.811</w:t>
            </w:r>
          </w:p>
        </w:tc>
        <w:tc>
          <w:tcPr>
            <w:tcW w:w="872"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10" w:space="0" w:color="D2D2D2"/>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9,530.12</w:t>
            </w:r>
          </w:p>
        </w:tc>
        <w:tc>
          <w:tcPr>
            <w:tcW w:w="87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9" w:space="0" w:color="D2D2D2"/>
              <w:right w:val="single" w:sz="4" w:space="0" w:color="000000"/>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8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76" w:type="dxa"/>
            <w:vMerge/>
            <w:tcBorders>
              <w:left w:val="single" w:sz="10" w:space="0" w:color="D2D2D2"/>
              <w:right w:val="single" w:sz="4" w:space="0" w:color="000000"/>
            </w:tcBorders>
          </w:tcPr>
          <w:p>
            <w:pPr/>
          </w:p>
        </w:tc>
        <w:tc>
          <w:tcPr>
            <w:tcW w:w="872"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2"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10" w:space="0" w:color="D2D2D2"/>
            </w:tcBorders>
          </w:tcPr>
          <w:p>
            <w:pPr/>
          </w:p>
        </w:tc>
        <w:tc>
          <w:tcPr>
            <w:tcW w:w="8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69" w:type="dxa"/>
            <w:vMerge/>
            <w:tcBorders>
              <w:left w:val="single" w:sz="9" w:space="0" w:color="D2D2D2"/>
              <w:right w:val="single" w:sz="4" w:space="0" w:color="000000"/>
            </w:tcBorders>
          </w:tcPr>
          <w:p>
            <w:pPr/>
          </w:p>
        </w:tc>
      </w:tr>
      <w:tr>
        <w:trPr>
          <w:trHeight w:val="182" w:hRule="exact"/>
        </w:trPr>
        <w:tc>
          <w:tcPr>
            <w:tcW w:w="864"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tcBorders>
              <w:top w:val="nil" w:sz="6" w:space="0" w:color="auto"/>
              <w:left w:val="single" w:sz="4" w:space="0" w:color="000000"/>
              <w:bottom w:val="single" w:sz="4" w:space="0" w:color="000000"/>
              <w:right w:val="single" w:sz="4" w:space="0" w:color="000000"/>
            </w:tcBorders>
            <w:shd w:val="clear" w:color="auto" w:fill="D2D2D2"/>
          </w:tcPr>
          <w:p>
            <w:pPr/>
          </w:p>
        </w:tc>
        <w:tc>
          <w:tcPr>
            <w:tcW w:w="876" w:type="dxa"/>
            <w:vMerge/>
            <w:tcBorders>
              <w:left w:val="single" w:sz="10" w:space="0" w:color="D2D2D2"/>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10" w:space="0" w:color="D2D2D2"/>
            </w:tcBorders>
          </w:tcPr>
          <w:p>
            <w:pPr/>
          </w:p>
        </w:tc>
        <w:tc>
          <w:tcPr>
            <w:tcW w:w="87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9" w:space="0" w:color="D2D2D2"/>
              <w:bottom w:val="single" w:sz="4" w:space="0" w:color="000000"/>
              <w:right w:val="single" w:sz="4" w:space="0" w:color="000000"/>
            </w:tcBorders>
          </w:tcPr>
          <w:p>
            <w:pPr/>
          </w:p>
        </w:tc>
      </w:tr>
      <w:tr>
        <w:trPr>
          <w:trHeight w:val="36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8212"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both"/>
              <w:rPr>
                <w:rFonts w:ascii="宋体" w:hAnsi="宋体" w:cs="宋体" w:eastAsia="宋体" w:hint="default"/>
                <w:sz w:val="18"/>
                <w:szCs w:val="18"/>
              </w:rPr>
            </w:pPr>
            <w:r>
              <w:rPr>
                <w:rFonts w:ascii="宋体" w:hAnsi="宋体" w:cs="宋体" w:eastAsia="宋体" w:hint="default"/>
                <w:sz w:val="18"/>
                <w:szCs w:val="18"/>
              </w:rPr>
              <w:t>（一）实际募集资金金额、资金到位情况</w:t>
            </w:r>
          </w:p>
          <w:p>
            <w:pPr>
              <w:pStyle w:val="TableParagraph"/>
              <w:spacing w:line="240" w:lineRule="auto" w:before="115"/>
              <w:ind w:left="2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年首次公开发行股票</w:t>
            </w:r>
          </w:p>
          <w:p>
            <w:pPr>
              <w:pStyle w:val="TableParagraph"/>
              <w:spacing w:line="300" w:lineRule="auto" w:before="103"/>
              <w:ind w:left="21" w:right="19"/>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[2010]1697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号核准，并经深圳证券交易所同意，由主承销商海通证券股份有限公司采 用网下询价配售与网上资金申购定价发行相结合的方式，向社会公开发行人民币普通股（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1,900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万股，发行价格为 每股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21.88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元。募集资金总额</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41,572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万元，扣除海通证券股份有限公司的承销费和保荐费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2,997.16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万元，募集资金人民币</w:t>
            </w:r>
          </w:p>
          <w:p>
            <w:pPr>
              <w:pStyle w:val="TableParagraph"/>
              <w:spacing w:line="240" w:lineRule="auto" w:before="13"/>
              <w:ind w:left="2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38,574.84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万元，已由主承销商海通证券股份有限公司于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日汇入本公司账户，扣除交易所的发行手续费等发</w:t>
            </w:r>
          </w:p>
          <w:p>
            <w:pPr>
              <w:pStyle w:val="TableParagraph"/>
              <w:spacing w:line="300" w:lineRule="auto" w:before="63"/>
              <w:ind w:left="21" w:right="24"/>
              <w:jc w:val="left"/>
              <w:rPr>
                <w:rFonts w:ascii="宋体" w:hAnsi="宋体" w:cs="宋体" w:eastAsia="宋体" w:hint="default"/>
                <w:sz w:val="18"/>
                <w:szCs w:val="18"/>
              </w:rPr>
            </w:pPr>
            <w:r>
              <w:rPr>
                <w:rFonts w:ascii="宋体" w:hAnsi="宋体" w:cs="宋体" w:eastAsia="宋体" w:hint="default"/>
                <w:sz w:val="18"/>
                <w:szCs w:val="18"/>
              </w:rPr>
              <w:t>行费用人民币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628.572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万元后，募集资金净额为人民币</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37,946.268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万元。上述资金到位情况业经天职国际会计师事务所有 限公司验证，并出具天职湘核字</w:t>
            </w:r>
            <w:r>
              <w:rPr>
                <w:rFonts w:ascii="Times New Roman" w:hAnsi="Times New Roman" w:cs="Times New Roman" w:eastAsia="Times New Roman" w:hint="default"/>
                <w:sz w:val="18"/>
                <w:szCs w:val="18"/>
              </w:rPr>
              <w:t>[2010]442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号验资报告。公司对募集资金采取了专户存储制度。</w:t>
            </w:r>
          </w:p>
          <w:p>
            <w:pPr>
              <w:pStyle w:val="TableParagraph"/>
              <w:spacing w:line="240" w:lineRule="auto" w:before="53"/>
              <w:ind w:left="2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w:t>
            </w:r>
          </w:p>
          <w:p>
            <w:pPr>
              <w:pStyle w:val="TableParagraph"/>
              <w:spacing w:line="300" w:lineRule="auto" w:before="101"/>
              <w:ind w:left="21"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日，经中国证券监督管理委员会《关于核准天舟文化股份有限公司向李桂华等发行股份购买资产并募集配 </w:t>
            </w:r>
            <w:r>
              <w:rPr>
                <w:rFonts w:ascii="宋体" w:hAnsi="宋体" w:cs="宋体" w:eastAsia="宋体" w:hint="default"/>
                <w:spacing w:val="-5"/>
                <w:sz w:val="18"/>
                <w:szCs w:val="18"/>
              </w:rPr>
              <w:t>套资金的批复》（证监许可字</w:t>
            </w:r>
            <w:r>
              <w:rPr>
                <w:rFonts w:ascii="Times New Roman" w:hAnsi="Times New Roman" w:cs="Times New Roman" w:eastAsia="Times New Roman" w:hint="default"/>
                <w:spacing w:val="-5"/>
                <w:sz w:val="18"/>
                <w:szCs w:val="18"/>
              </w:rPr>
              <w:t>[2014]416</w:t>
            </w:r>
            <w:r>
              <w:rPr>
                <w:rFonts w:ascii="Times New Roman" w:hAnsi="Times New Roman" w:cs="Times New Roman" w:eastAsia="Times New Roman" w:hint="default"/>
                <w:spacing w:val="22"/>
                <w:sz w:val="18"/>
                <w:szCs w:val="18"/>
              </w:rPr>
              <w:t> </w:t>
            </w:r>
            <w:r>
              <w:rPr>
                <w:rFonts w:ascii="宋体" w:hAnsi="宋体" w:cs="宋体" w:eastAsia="宋体" w:hint="default"/>
                <w:spacing w:val="-1"/>
                <w:sz w:val="18"/>
                <w:szCs w:val="18"/>
              </w:rPr>
              <w:t>号文件）核准，公司向特定投资者章浩、陈伟娟、茅惠芳、财通基金管理有限公司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发行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1,839.5879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万股，每股面值人民币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元，每股作价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13.59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股，共募集配套资金总额为人民币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24,999.999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万元，扣除</w:t>
            </w:r>
          </w:p>
          <w:p>
            <w:pPr>
              <w:pStyle w:val="TableParagraph"/>
              <w:spacing w:line="240" w:lineRule="auto" w:before="13"/>
              <w:ind w:left="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与发行有关的费用人民币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77"/>
                <w:sz w:val="18"/>
                <w:szCs w:val="18"/>
              </w:rPr>
              <w:t>，</w:t>
            </w:r>
            <w:r>
              <w:rPr>
                <w:rFonts w:ascii="宋体" w:hAnsi="宋体" w:cs="宋体" w:eastAsia="宋体" w:hint="default"/>
                <w:sz w:val="18"/>
                <w:szCs w:val="18"/>
              </w:rPr>
              <w:t>实际募资收购北京</w:t>
            </w:r>
            <w:r>
              <w:rPr>
                <w:rFonts w:ascii="宋体" w:hAnsi="宋体" w:cs="宋体" w:eastAsia="宋体" w:hint="default"/>
                <w:spacing w:val="-3"/>
                <w:sz w:val="18"/>
                <w:szCs w:val="18"/>
              </w:rPr>
              <w:t>神</w:t>
            </w:r>
            <w:r>
              <w:rPr>
                <w:rFonts w:ascii="宋体" w:hAnsi="宋体" w:cs="宋体" w:eastAsia="宋体" w:hint="default"/>
                <w:sz w:val="18"/>
                <w:szCs w:val="18"/>
              </w:rPr>
              <w:t>奇时代网络有限公司全部股权资金净额为人民币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9</w:t>
            </w:r>
          </w:p>
          <w:p>
            <w:pPr>
              <w:pStyle w:val="TableParagraph"/>
              <w:spacing w:line="300" w:lineRule="auto" w:before="63"/>
              <w:ind w:left="21" w:right="23"/>
              <w:jc w:val="left"/>
              <w:rPr>
                <w:rFonts w:ascii="宋体" w:hAnsi="宋体" w:cs="宋体" w:eastAsia="宋体" w:hint="default"/>
                <w:sz w:val="18"/>
                <w:szCs w:val="18"/>
              </w:rPr>
            </w:pPr>
            <w:r>
              <w:rPr>
                <w:rFonts w:ascii="宋体" w:hAnsi="宋体" w:cs="宋体" w:eastAsia="宋体" w:hint="default"/>
                <w:sz w:val="18"/>
                <w:szCs w:val="18"/>
              </w:rPr>
              <w:t>万元。截止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日，上述发行募集的资金已全部到位，经天职国际会计师事务所（特殊普通合伙）验证，并出 具天职业字</w:t>
            </w:r>
            <w:r>
              <w:rPr>
                <w:rFonts w:ascii="Times New Roman" w:hAnsi="Times New Roman" w:cs="Times New Roman" w:eastAsia="Times New Roman" w:hint="default"/>
                <w:sz w:val="18"/>
                <w:szCs w:val="18"/>
              </w:rPr>
              <w:t>[2014]9367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号验资报告。</w:t>
            </w:r>
          </w:p>
          <w:p>
            <w:pPr>
              <w:pStyle w:val="TableParagraph"/>
              <w:spacing w:line="240" w:lineRule="auto" w:before="53"/>
              <w:ind w:left="21" w:right="0"/>
              <w:jc w:val="both"/>
              <w:rPr>
                <w:rFonts w:ascii="宋体" w:hAnsi="宋体" w:cs="宋体" w:eastAsia="宋体" w:hint="default"/>
                <w:sz w:val="18"/>
                <w:szCs w:val="18"/>
              </w:rPr>
            </w:pPr>
            <w:r>
              <w:rPr>
                <w:rFonts w:ascii="宋体" w:hAnsi="宋体" w:cs="宋体" w:eastAsia="宋体" w:hint="default"/>
                <w:sz w:val="18"/>
                <w:szCs w:val="18"/>
              </w:rPr>
              <w:t>（二）募集资金以前年度使用金额</w:t>
            </w:r>
          </w:p>
          <w:p>
            <w:pPr>
              <w:pStyle w:val="TableParagraph"/>
              <w:spacing w:line="240" w:lineRule="auto" w:before="117"/>
              <w:ind w:left="21"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年首次公开发行股票募集资金累计使用情况</w:t>
            </w:r>
          </w:p>
          <w:p>
            <w:pPr>
              <w:pStyle w:val="TableParagraph"/>
              <w:spacing w:line="240" w:lineRule="auto" w:before="101"/>
              <w:ind w:left="21" w:right="0"/>
              <w:jc w:val="both"/>
              <w:rPr>
                <w:rFonts w:ascii="宋体" w:hAnsi="宋体" w:cs="宋体" w:eastAsia="宋体" w:hint="default"/>
                <w:sz w:val="18"/>
                <w:szCs w:val="18"/>
              </w:rPr>
            </w:pPr>
            <w:r>
              <w:rPr>
                <w:rFonts w:ascii="宋体" w:hAnsi="宋体" w:cs="宋体" w:eastAsia="宋体" w:hint="default"/>
                <w:sz w:val="18"/>
                <w:szCs w:val="18"/>
              </w:rPr>
              <w:t>本公司以前年度累计使用募集资金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309,990,008.93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元。其中：置换预先已投入内容策划与图书发行项目的自筹资金</w:t>
            </w:r>
          </w:p>
          <w:p>
            <w:pPr>
              <w:pStyle w:val="TableParagraph"/>
              <w:spacing w:line="240" w:lineRule="auto" w:before="63"/>
              <w:ind w:left="2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20,029,336.73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元；内容策划与图书发行项目使用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56,013,063.27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元；营销网络建设项目使用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2,308,572.55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元；管理信息与出</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z w:val="18"/>
                <w:szCs w:val="18"/>
              </w:rPr>
              <w:t>版创意平台软件款项目使用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2,026,541 </w:t>
            </w:r>
            <w:r>
              <w:rPr>
                <w:rFonts w:ascii="宋体" w:hAnsi="宋体" w:cs="宋体" w:eastAsia="宋体" w:hint="default"/>
                <w:sz w:val="18"/>
                <w:szCs w:val="18"/>
              </w:rPr>
              <w:t>元；投资设立浙江天舟图书有限责任公司使用</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3,500,000.00 </w:t>
            </w:r>
            <w:r>
              <w:rPr>
                <w:rFonts w:ascii="宋体" w:hAnsi="宋体" w:cs="宋体" w:eastAsia="宋体" w:hint="default"/>
                <w:sz w:val="18"/>
                <w:szCs w:val="18"/>
              </w:rPr>
              <w:t>元；投资设立北京北舟</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z w:val="18"/>
                <w:szCs w:val="18"/>
              </w:rPr>
              <w:t>文化传媒有限责任公司使用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29,400,000.00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元；设立北京事业部使用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28,542,963.66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元；投资设立北京东方天舟教育科技有</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z w:val="18"/>
                <w:szCs w:val="18"/>
              </w:rPr>
              <w:t>限公司使用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元；超募资金永久补充流动资金使用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元；教育内容资源研发与服务平台使用超募</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4,171,131.72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元；并购神奇时代股权使用超募资金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108,998,400.00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4"/>
              <w:ind w:left="21" w:right="0"/>
              <w:jc w:val="both"/>
              <w:rPr>
                <w:rFonts w:ascii="宋体" w:hAnsi="宋体" w:cs="宋体" w:eastAsia="宋体" w:hint="default"/>
                <w:sz w:val="18"/>
                <w:szCs w:val="18"/>
              </w:rPr>
            </w:pPr>
            <w:r>
              <w:rPr>
                <w:rFonts w:ascii="宋体" w:hAnsi="宋体" w:cs="宋体" w:eastAsia="宋体" w:hint="default"/>
                <w:sz w:val="18"/>
                <w:szCs w:val="18"/>
              </w:rPr>
              <w:t>募集资金专用账户以前年度共取得利息收入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22,840,429.98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元，支付银行手续费及账户管理费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19,140.29 </w:t>
            </w:r>
            <w:r>
              <w:rPr>
                <w:rFonts w:ascii="宋体" w:hAnsi="宋体" w:cs="宋体" w:eastAsia="宋体" w:hint="default"/>
                <w:sz w:val="18"/>
                <w:szCs w:val="18"/>
              </w:rPr>
              <w:t>元。</w:t>
            </w:r>
          </w:p>
          <w:p>
            <w:pPr>
              <w:pStyle w:val="TableParagraph"/>
              <w:spacing w:line="240" w:lineRule="auto" w:before="103"/>
              <w:ind w:left="21"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年非公开发行股票募集的资金累计使用情况</w:t>
            </w:r>
          </w:p>
        </w:tc>
      </w:tr>
    </w:tbl>
    <w:p>
      <w:pPr>
        <w:spacing w:after="0" w:line="240" w:lineRule="auto"/>
        <w:jc w:val="both"/>
        <w:rPr>
          <w:rFonts w:ascii="宋体" w:hAnsi="宋体" w:cs="宋体" w:eastAsia="宋体" w:hint="default"/>
          <w:sz w:val="18"/>
          <w:szCs w:val="18"/>
        </w:rPr>
        <w:sectPr>
          <w:pgSz w:w="11910" w:h="16840"/>
          <w:pgMar w:header="0" w:footer="959" w:top="1400" w:bottom="1140" w:left="1020" w:right="1080"/>
        </w:sectPr>
      </w:pPr>
    </w:p>
    <w:p>
      <w:pPr>
        <w:spacing w:line="240" w:lineRule="auto" w:before="8"/>
        <w:rPr>
          <w:rFonts w:ascii="宋体" w:hAnsi="宋体" w:cs="宋体" w:eastAsia="宋体" w:hint="default"/>
          <w:sz w:val="6"/>
          <w:szCs w:val="6"/>
        </w:rPr>
      </w:pPr>
    </w:p>
    <w:p>
      <w:pPr>
        <w:spacing w:line="3884" w:lineRule="exact"/>
        <w:ind w:left="115" w:right="0" w:firstLine="0"/>
        <w:rPr>
          <w:rFonts w:ascii="宋体" w:hAnsi="宋体" w:cs="宋体" w:eastAsia="宋体" w:hint="default"/>
          <w:sz w:val="20"/>
          <w:szCs w:val="20"/>
        </w:rPr>
      </w:pPr>
      <w:r>
        <w:rPr>
          <w:rFonts w:ascii="宋体" w:hAnsi="宋体" w:cs="宋体" w:eastAsia="宋体" w:hint="default"/>
          <w:position w:val="-77"/>
          <w:sz w:val="20"/>
          <w:szCs w:val="20"/>
        </w:rPr>
        <w:pict>
          <v:shape style="width:478.3pt;height:194.25pt;mso-position-horizontal-relative:char;mso-position-vertical-relative:line" type="#_x0000_t202" filled="false" stroked="true" strokeweight=".48004pt" strokecolor="#000000">
            <w10:anchorlock/>
            <v:textbox inset="0,0,0,0">
              <w:txbxContent>
                <w:p>
                  <w:pPr>
                    <w:pStyle w:val="BodyText"/>
                    <w:spacing w:line="240" w:lineRule="auto" w:before="8"/>
                    <w:ind w:left="21"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年公司累计支付募集资金</w:t>
                  </w:r>
                  <w:r>
                    <w:rPr>
                      <w:spacing w:val="-49"/>
                    </w:rPr>
                    <w:t> </w:t>
                  </w:r>
                  <w:r>
                    <w:rPr>
                      <w:rFonts w:ascii="Times New Roman" w:hAnsi="Times New Roman" w:cs="Times New Roman" w:eastAsia="Times New Roman" w:hint="default"/>
                    </w:rPr>
                    <w:t>225,781,992.52 </w:t>
                  </w:r>
                  <w:r>
                    <w:rPr/>
                    <w:t>元，全部用于收购北京神时代网络有限公司的股权。</w:t>
                  </w:r>
                </w:p>
                <w:p>
                  <w:pPr>
                    <w:pStyle w:val="BodyText"/>
                    <w:spacing w:line="240" w:lineRule="auto" w:before="103"/>
                    <w:ind w:left="21" w:right="0"/>
                    <w:jc w:val="left"/>
                  </w:pPr>
                  <w:r>
                    <w:rPr/>
                    <w:t>截止</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4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日，公司募集资金专户余额为</w:t>
                  </w:r>
                  <w:r>
                    <w:rPr>
                      <w:spacing w:val="-46"/>
                    </w:rPr>
                    <w:t> </w:t>
                  </w:r>
                  <w:r>
                    <w:rPr>
                      <w:rFonts w:ascii="Times New Roman" w:hAnsi="Times New Roman" w:cs="Times New Roman" w:eastAsia="Times New Roman" w:hint="default"/>
                    </w:rPr>
                    <w:t>92,293,960.76</w:t>
                  </w:r>
                  <w:r>
                    <w:rPr>
                      <w:rFonts w:ascii="Times New Roman" w:hAnsi="Times New Roman" w:cs="Times New Roman" w:eastAsia="Times New Roman" w:hint="default"/>
                      <w:spacing w:val="1"/>
                    </w:rPr>
                    <w:t> </w:t>
                  </w:r>
                  <w:r>
                    <w:rPr/>
                    <w:t>元。</w:t>
                  </w:r>
                </w:p>
                <w:p>
                  <w:pPr>
                    <w:pStyle w:val="BodyText"/>
                    <w:spacing w:line="240" w:lineRule="auto" w:before="101"/>
                    <w:ind w:left="21" w:right="0"/>
                    <w:jc w:val="left"/>
                  </w:pPr>
                  <w:r>
                    <w:rPr/>
                    <w:t>（三）</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年度募集资金使用及结余情况</w:t>
                  </w:r>
                </w:p>
                <w:p>
                  <w:pPr>
                    <w:pStyle w:val="BodyText"/>
                    <w:spacing w:line="240" w:lineRule="auto" w:before="103"/>
                    <w:ind w:left="21"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年度募集资金使用情况如下：</w:t>
                  </w:r>
                </w:p>
                <w:p>
                  <w:pPr>
                    <w:pStyle w:val="BodyText"/>
                    <w:spacing w:line="240" w:lineRule="auto" w:before="103"/>
                    <w:ind w:left="21"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年首次公开发行股票募集资金使用情况</w:t>
                  </w:r>
                </w:p>
                <w:p>
                  <w:pPr>
                    <w:pStyle w:val="BodyText"/>
                    <w:spacing w:line="240" w:lineRule="auto" w:before="101"/>
                    <w:ind w:left="21"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年度，本公司累计使用募集资金</w:t>
                  </w:r>
                  <w:r>
                    <w:rPr>
                      <w:spacing w:val="-50"/>
                    </w:rPr>
                    <w:t> </w:t>
                  </w:r>
                  <w:r>
                    <w:rPr>
                      <w:rFonts w:ascii="Times New Roman" w:hAnsi="Times New Roman" w:cs="Times New Roman" w:eastAsia="Times New Roman" w:hint="default"/>
                    </w:rPr>
                    <w:t>1,196,112.48</w:t>
                  </w:r>
                  <w:r>
                    <w:rPr>
                      <w:rFonts w:ascii="Times New Roman" w:hAnsi="Times New Roman" w:cs="Times New Roman" w:eastAsia="Times New Roman" w:hint="default"/>
                      <w:spacing w:val="-4"/>
                    </w:rPr>
                    <w:t> </w:t>
                  </w:r>
                  <w:r>
                    <w:rPr/>
                    <w:t>元，为北京事业部使用超募资金</w:t>
                  </w:r>
                  <w:r>
                    <w:rPr>
                      <w:spacing w:val="-50"/>
                    </w:rPr>
                    <w:t> </w:t>
                  </w:r>
                  <w:r>
                    <w:rPr>
                      <w:rFonts w:ascii="Times New Roman" w:hAnsi="Times New Roman" w:cs="Times New Roman" w:eastAsia="Times New Roman" w:hint="default"/>
                    </w:rPr>
                    <w:t>1,196,112.48</w:t>
                  </w:r>
                  <w:r>
                    <w:rPr>
                      <w:rFonts w:ascii="Times New Roman" w:hAnsi="Times New Roman" w:cs="Times New Roman" w:eastAsia="Times New Roman" w:hint="default"/>
                      <w:spacing w:val="-3"/>
                    </w:rPr>
                    <w:t> </w:t>
                  </w:r>
                  <w:r>
                    <w:rPr/>
                    <w:t>元。</w:t>
                  </w:r>
                </w:p>
                <w:p>
                  <w:pPr>
                    <w:pStyle w:val="BodyText"/>
                    <w:spacing w:line="240" w:lineRule="auto" w:before="103"/>
                    <w:ind w:left="21"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年度，募集资金专户取得利息收入</w:t>
                  </w:r>
                  <w:r>
                    <w:rPr>
                      <w:spacing w:val="-47"/>
                    </w:rPr>
                    <w:t> </w:t>
                  </w:r>
                  <w:r>
                    <w:rPr>
                      <w:rFonts w:ascii="Times New Roman" w:hAnsi="Times New Roman" w:cs="Times New Roman" w:eastAsia="Times New Roman" w:hint="default"/>
                    </w:rPr>
                    <w:t>4,207,397.09 </w:t>
                  </w:r>
                  <w:r>
                    <w:rPr/>
                    <w:t>元，支付银行手续费及账户管理费</w:t>
                  </w:r>
                  <w:r>
                    <w:rPr>
                      <w:spacing w:val="-48"/>
                    </w:rPr>
                    <w:t> </w:t>
                  </w:r>
                  <w:r>
                    <w:rPr>
                      <w:rFonts w:ascii="Times New Roman" w:hAnsi="Times New Roman" w:cs="Times New Roman" w:eastAsia="Times New Roman" w:hint="default"/>
                    </w:rPr>
                    <w:t>4,020.00</w:t>
                  </w:r>
                  <w:r>
                    <w:rPr>
                      <w:rFonts w:ascii="Times New Roman" w:hAnsi="Times New Roman" w:cs="Times New Roman" w:eastAsia="Times New Roman" w:hint="default"/>
                      <w:spacing w:val="-1"/>
                    </w:rPr>
                    <w:t> </w:t>
                  </w:r>
                  <w:r>
                    <w:rPr/>
                    <w:t>元。</w:t>
                  </w:r>
                </w:p>
                <w:p>
                  <w:pPr>
                    <w:pStyle w:val="BodyText"/>
                    <w:spacing w:line="240" w:lineRule="auto" w:before="103"/>
                    <w:ind w:left="21"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年非公开发行股票募集的资金使用情况</w:t>
                  </w:r>
                </w:p>
                <w:p>
                  <w:pPr>
                    <w:pStyle w:val="BodyText"/>
                    <w:spacing w:line="240" w:lineRule="auto" w:before="101"/>
                    <w:ind w:left="21"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年无非公开发行股票募集的资金使用情况。</w:t>
                  </w:r>
                </w:p>
                <w:p>
                  <w:pPr>
                    <w:pStyle w:val="BodyText"/>
                    <w:spacing w:line="240" w:lineRule="auto" w:before="103"/>
                    <w:ind w:left="21"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日募集资金结余情况</w:t>
                  </w:r>
                </w:p>
                <w:p>
                  <w:pPr>
                    <w:pStyle w:val="BodyText"/>
                    <w:spacing w:line="240" w:lineRule="auto" w:before="104"/>
                    <w:ind w:left="21" w:right="0"/>
                    <w:jc w:val="left"/>
                  </w:pPr>
                  <w:r>
                    <w:rPr/>
                    <w:t>截止</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日，公司募集资金专户余额为</w:t>
                  </w:r>
                  <w:r>
                    <w:rPr>
                      <w:spacing w:val="-45"/>
                    </w:rPr>
                    <w:t> </w:t>
                  </w:r>
                  <w:r>
                    <w:rPr>
                      <w:rFonts w:ascii="Times New Roman" w:hAnsi="Times New Roman" w:cs="Times New Roman" w:eastAsia="Times New Roman" w:hint="default"/>
                    </w:rPr>
                    <w:t>95,301,225.37</w:t>
                  </w:r>
                  <w:r>
                    <w:rPr>
                      <w:rFonts w:ascii="Times New Roman" w:hAnsi="Times New Roman" w:cs="Times New Roman" w:eastAsia="Times New Roman" w:hint="default"/>
                      <w:spacing w:val="1"/>
                    </w:rPr>
                    <w:t> </w:t>
                  </w:r>
                  <w:r>
                    <w:rPr/>
                    <w:t>元。</w:t>
                  </w:r>
                </w:p>
              </w:txbxContent>
            </v:textbox>
          </v:shape>
        </w:pict>
      </w:r>
      <w:r>
        <w:rPr>
          <w:rFonts w:ascii="宋体" w:hAnsi="宋体" w:cs="宋体" w:eastAsia="宋体" w:hint="default"/>
          <w:position w:val="-77"/>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5"/>
        <w:spacing w:line="240" w:lineRule="auto" w:before="36"/>
        <w:ind w:right="598"/>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615"/>
        <w:jc w:val="right"/>
      </w:pPr>
      <w:r>
        <w:rPr/>
        <w:t>单位：万元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649"/>
        <w:gridCol w:w="194"/>
        <w:gridCol w:w="545"/>
        <w:gridCol w:w="721"/>
        <w:gridCol w:w="717"/>
        <w:gridCol w:w="716"/>
        <w:gridCol w:w="703"/>
        <w:gridCol w:w="734"/>
        <w:gridCol w:w="718"/>
        <w:gridCol w:w="718"/>
        <w:gridCol w:w="718"/>
        <w:gridCol w:w="718"/>
        <w:gridCol w:w="712"/>
      </w:tblGrid>
      <w:tr>
        <w:trPr>
          <w:trHeight w:val="1618"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367"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2" w:lineRule="auto"/>
              <w:ind w:left="64" w:right="62"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81" w:right="88"/>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80"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79" w:right="85"/>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80" w:right="7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81" w:right="7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40"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81"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79"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79" w:right="87"/>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81" w:right="85"/>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78" w:right="8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377" w:hRule="exact"/>
        </w:trPr>
        <w:tc>
          <w:tcPr>
            <w:tcW w:w="956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679" w:hRule="exact"/>
        </w:trPr>
        <w:tc>
          <w:tcPr>
            <w:tcW w:w="1649" w:type="dxa"/>
            <w:tcBorders>
              <w:top w:val="single" w:sz="10" w:space="0" w:color="D2D2D2"/>
              <w:left w:val="single" w:sz="4" w:space="0" w:color="000000"/>
              <w:bottom w:val="single" w:sz="4" w:space="0" w:color="000000"/>
              <w:right w:val="single" w:sz="4" w:space="0" w:color="000000"/>
            </w:tcBorders>
          </w:tcPr>
          <w:p>
            <w:pPr>
              <w:pStyle w:val="TableParagraph"/>
              <w:spacing w:line="300" w:lineRule="auto" w:before="8"/>
              <w:ind w:left="21"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内容策划与图书发 行项目</w:t>
            </w:r>
          </w:p>
        </w:tc>
        <w:tc>
          <w:tcPr>
            <w:tcW w:w="739" w:type="dxa"/>
            <w:gridSpan w:val="2"/>
            <w:tcBorders>
              <w:top w:val="single" w:sz="10"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7604.24</w:t>
            </w:r>
          </w:p>
        </w:tc>
        <w:tc>
          <w:tcPr>
            <w:tcW w:w="717"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7,604.24</w:t>
            </w:r>
          </w:p>
        </w:tc>
        <w:tc>
          <w:tcPr>
            <w:tcW w:w="716" w:type="dxa"/>
            <w:tcBorders>
              <w:top w:val="single" w:sz="10" w:space="0" w:color="D2D2D2"/>
              <w:left w:val="single" w:sz="4" w:space="0" w:color="000000"/>
              <w:bottom w:val="single" w:sz="4" w:space="0" w:color="000000"/>
              <w:right w:val="single" w:sz="4" w:space="0" w:color="000000"/>
            </w:tcBorders>
          </w:tcPr>
          <w:p>
            <w:pPr/>
          </w:p>
        </w:tc>
        <w:tc>
          <w:tcPr>
            <w:tcW w:w="703"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7,604.24</w:t>
            </w:r>
          </w:p>
        </w:tc>
        <w:tc>
          <w:tcPr>
            <w:tcW w:w="734"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1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w w:val="95"/>
                <w:sz w:val="18"/>
              </w:rPr>
              <w:t>1,745.25</w:t>
            </w:r>
          </w:p>
        </w:tc>
        <w:tc>
          <w:tcPr>
            <w:tcW w:w="71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营销网络建设项目</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sz w:val="18"/>
              </w:rPr>
              <w:t>3320.4</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3,320.40</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 w:right="0"/>
              <w:jc w:val="center"/>
              <w:rPr>
                <w:rFonts w:ascii="Times New Roman" w:hAnsi="Times New Roman" w:cs="Times New Roman" w:eastAsia="Times New Roman" w:hint="default"/>
                <w:sz w:val="18"/>
                <w:szCs w:val="18"/>
              </w:rPr>
            </w:pPr>
            <w:r>
              <w:rPr>
                <w:rFonts w:ascii="Times New Roman"/>
                <w:sz w:val="18"/>
              </w:rPr>
              <w:t>230.86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 w:right="0"/>
              <w:jc w:val="center"/>
              <w:rPr>
                <w:rFonts w:ascii="Times New Roman" w:hAnsi="Times New Roman" w:cs="Times New Roman" w:eastAsia="Times New Roman" w:hint="default"/>
                <w:sz w:val="18"/>
                <w:szCs w:val="18"/>
              </w:rPr>
            </w:pPr>
            <w:r>
              <w:rPr>
                <w:rFonts w:ascii="Times New Roman"/>
                <w:sz w:val="18"/>
              </w:rPr>
              <w:t>6.95%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1"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管理信息和出版创 意平台建设项目</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3200.58</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3,200.58</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202.65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6.33%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1"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神奇时代股权并购 项目</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22578.2</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22,578.2</w:t>
            </w:r>
          </w:p>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0</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center"/>
              <w:rPr>
                <w:rFonts w:ascii="Times New Roman" w:hAnsi="Times New Roman" w:cs="Times New Roman" w:eastAsia="Times New Roman" w:hint="default"/>
                <w:sz w:val="18"/>
                <w:szCs w:val="18"/>
              </w:rPr>
            </w:pPr>
            <w:r>
              <w:rPr>
                <w:rFonts w:ascii="Times New Roman"/>
                <w:sz w:val="18"/>
              </w:rPr>
              <w:t>22,578.2</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 w:right="0"/>
              <w:jc w:val="center"/>
              <w:rPr>
                <w:rFonts w:ascii="Times New Roman" w:hAnsi="Times New Roman" w:cs="Times New Roman" w:eastAsia="Times New Roman" w:hint="default"/>
                <w:sz w:val="18"/>
                <w:szCs w:val="18"/>
              </w:rPr>
            </w:pPr>
            <w:r>
              <w:rPr>
                <w:rFonts w:ascii="Times New Roman"/>
                <w:sz w:val="18"/>
              </w:rPr>
              <w:t>15,362.7</w:t>
            </w:r>
          </w:p>
          <w:p>
            <w:pPr>
              <w:pStyle w:val="TableParagraph"/>
              <w:spacing w:line="240" w:lineRule="auto" w:before="105"/>
              <w:ind w:left="10" w:right="0"/>
              <w:jc w:val="center"/>
              <w:rPr>
                <w:rFonts w:ascii="Times New Roman" w:hAnsi="Times New Roman" w:cs="Times New Roman" w:eastAsia="Times New Roman" w:hint="default"/>
                <w:sz w:val="18"/>
                <w:szCs w:val="18"/>
              </w:rPr>
            </w:pPr>
            <w:r>
              <w:rPr>
                <w:rFonts w:ascii="Times New Roman"/>
                <w:sz w:val="18"/>
              </w:rPr>
              <w:t>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25,171.7</w:t>
            </w:r>
          </w:p>
          <w:p>
            <w:pPr>
              <w:pStyle w:val="TableParagraph"/>
              <w:spacing w:line="240" w:lineRule="auto" w:before="105"/>
              <w:ind w:left="10" w:right="0"/>
              <w:jc w:val="center"/>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49" w:type="dxa"/>
            <w:tcBorders>
              <w:top w:val="single" w:sz="4" w:space="0" w:color="000000"/>
              <w:left w:val="single" w:sz="4" w:space="0" w:color="000000"/>
              <w:bottom w:val="nil" w:sz="6" w:space="0" w:color="auto"/>
              <w:right w:val="single" w:sz="4" w:space="0" w:color="000000"/>
            </w:tcBorders>
            <w:shd w:val="clear" w:color="auto" w:fill="D2D2D2"/>
          </w:tcPr>
          <w:p>
            <w:pPr/>
          </w:p>
        </w:tc>
        <w:tc>
          <w:tcPr>
            <w:tcW w:w="7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9" w:space="0" w:color="D2D2D2"/>
              <w:right w:val="single" w:sz="4" w:space="0" w:color="000000"/>
            </w:tcBorders>
          </w:tcPr>
          <w:p>
            <w:pPr>
              <w:pStyle w:val="TableParagraph"/>
              <w:spacing w:line="240" w:lineRule="auto" w:before="51"/>
              <w:ind w:right="2"/>
              <w:jc w:val="center"/>
              <w:rPr>
                <w:rFonts w:ascii="Times New Roman" w:hAnsi="Times New Roman" w:cs="Times New Roman" w:eastAsia="Times New Roman" w:hint="default"/>
                <w:sz w:val="18"/>
                <w:szCs w:val="18"/>
              </w:rPr>
            </w:pPr>
            <w:r>
              <w:rPr>
                <w:rFonts w:ascii="Times New Roman"/>
                <w:sz w:val="18"/>
              </w:rPr>
              <w:t>36,703.4</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51"/>
              <w:ind w:left="9" w:right="0"/>
              <w:jc w:val="center"/>
              <w:rPr>
                <w:rFonts w:ascii="Times New Roman" w:hAnsi="Times New Roman" w:cs="Times New Roman" w:eastAsia="Times New Roman" w:hint="default"/>
                <w:sz w:val="18"/>
                <w:szCs w:val="18"/>
              </w:rPr>
            </w:pPr>
            <w:r>
              <w:rPr>
                <w:rFonts w:ascii="Times New Roman"/>
                <w:sz w:val="18"/>
              </w:rPr>
              <w:t>36,703.4</w:t>
            </w:r>
          </w:p>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2</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3" w:type="dxa"/>
            <w:vMerge w:val="restart"/>
            <w:tcBorders>
              <w:top w:val="single" w:sz="4" w:space="0" w:color="000000"/>
              <w:left w:val="single" w:sz="4" w:space="0" w:color="000000"/>
              <w:right w:val="single" w:sz="10" w:space="0" w:color="D2D2D2"/>
            </w:tcBorders>
          </w:tcPr>
          <w:p>
            <w:pPr>
              <w:pStyle w:val="TableParagraph"/>
              <w:spacing w:line="240" w:lineRule="auto" w:before="51"/>
              <w:ind w:left="30" w:right="0"/>
              <w:jc w:val="center"/>
              <w:rPr>
                <w:rFonts w:ascii="Times New Roman" w:hAnsi="Times New Roman" w:cs="Times New Roman" w:eastAsia="Times New Roman" w:hint="default"/>
                <w:sz w:val="18"/>
                <w:szCs w:val="18"/>
              </w:rPr>
            </w:pPr>
            <w:r>
              <w:rPr>
                <w:rFonts w:ascii="Times New Roman"/>
                <w:sz w:val="18"/>
              </w:rPr>
              <w:t>30,615.9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4" w:space="0" w:color="000000"/>
              <w:left w:val="single" w:sz="10" w:space="0" w:color="D2D2D2"/>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15,362.7</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2</w:t>
            </w:r>
          </w:p>
        </w:tc>
        <w:tc>
          <w:tcPr>
            <w:tcW w:w="718" w:type="dxa"/>
            <w:vMerge w:val="restart"/>
            <w:tcBorders>
              <w:top w:val="single" w:sz="4" w:space="0" w:color="000000"/>
              <w:left w:val="single" w:sz="4" w:space="0" w:color="000000"/>
              <w:right w:val="single" w:sz="10" w:space="0" w:color="D2D2D2"/>
            </w:tcBorders>
          </w:tcPr>
          <w:p>
            <w:pPr>
              <w:pStyle w:val="TableParagraph"/>
              <w:spacing w:line="240" w:lineRule="auto" w:before="51"/>
              <w:ind w:left="16" w:right="0"/>
              <w:jc w:val="center"/>
              <w:rPr>
                <w:rFonts w:ascii="Times New Roman" w:hAnsi="Times New Roman" w:cs="Times New Roman" w:eastAsia="Times New Roman" w:hint="default"/>
                <w:sz w:val="18"/>
                <w:szCs w:val="18"/>
              </w:rPr>
            </w:pPr>
            <w:r>
              <w:rPr>
                <w:rFonts w:ascii="Times New Roman"/>
                <w:sz w:val="18"/>
              </w:rPr>
              <w:t>26,916.9</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5</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6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3" w:type="dxa"/>
            <w:vMerge/>
            <w:tcBorders>
              <w:left w:val="single" w:sz="4" w:space="0" w:color="000000"/>
              <w:right w:val="single" w:sz="10" w:space="0" w:color="D2D2D2"/>
            </w:tcBorders>
          </w:tcPr>
          <w:p>
            <w:pP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 w:right="0"/>
              <w:jc w:val="center"/>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2D2D2"/>
              <w:right w:val="single" w:sz="4" w:space="0" w:color="000000"/>
            </w:tcBorders>
          </w:tcPr>
          <w:p>
            <w:pPr/>
          </w:p>
        </w:tc>
        <w:tc>
          <w:tcPr>
            <w:tcW w:w="718" w:type="dxa"/>
            <w:vMerge/>
            <w:tcBorders>
              <w:left w:val="single" w:sz="4" w:space="0" w:color="000000"/>
              <w:right w:val="single" w:sz="10"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center"/>
              <w:rPr>
                <w:rFonts w:ascii="Times New Roman" w:hAnsi="Times New Roman" w:cs="Times New Roman" w:eastAsia="Times New Roman" w:hint="default"/>
                <w:sz w:val="18"/>
                <w:szCs w:val="18"/>
              </w:rPr>
            </w:pPr>
            <w:r>
              <w:rPr>
                <w:rFonts w:ascii="Times New Roman"/>
                <w:sz w:val="18"/>
              </w:rPr>
              <w:t>--</w:t>
            </w:r>
          </w:p>
        </w:tc>
        <w:tc>
          <w:tcPr>
            <w:tcW w:w="7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2" w:right="0"/>
              <w:jc w:val="lef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49"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10" w:space="0" w:color="D2D2D2"/>
            </w:tcBorders>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10"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10"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8" w:hRule="exact"/>
        </w:trPr>
        <w:tc>
          <w:tcPr>
            <w:tcW w:w="956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672"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投资设立浙江天舟图 书有限责任公司</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350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350.00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9"/>
              <w:jc w:val="center"/>
              <w:rPr>
                <w:rFonts w:ascii="Times New Roman" w:hAnsi="Times New Roman" w:cs="Times New Roman" w:eastAsia="Times New Roman" w:hint="default"/>
                <w:sz w:val="18"/>
                <w:szCs w:val="18"/>
              </w:rPr>
            </w:pPr>
            <w:r>
              <w:rPr>
                <w:rFonts w:ascii="Times New Roman"/>
                <w:sz w:val="18"/>
              </w:rPr>
              <w:t>350.00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3"/>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pacing w:val="-1"/>
                <w:sz w:val="18"/>
              </w:rPr>
              <w:t>-297.05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否</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设立北京事业部</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3,000.00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119.61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7"/>
              <w:jc w:val="center"/>
              <w:rPr>
                <w:rFonts w:ascii="Times New Roman" w:hAnsi="Times New Roman" w:cs="Times New Roman" w:eastAsia="Times New Roman" w:hint="default"/>
                <w:sz w:val="18"/>
                <w:szCs w:val="18"/>
              </w:rPr>
            </w:pPr>
            <w:r>
              <w:rPr>
                <w:rFonts w:ascii="Times New Roman"/>
                <w:sz w:val="18"/>
              </w:rPr>
              <w:t>2,973.9</w:t>
            </w:r>
          </w:p>
          <w:p>
            <w:pPr>
              <w:pStyle w:val="TableParagraph"/>
              <w:spacing w:line="240" w:lineRule="auto" w:before="105"/>
              <w:ind w:right="41"/>
              <w:jc w:val="center"/>
              <w:rPr>
                <w:rFonts w:ascii="Times New Roman" w:hAnsi="Times New Roman" w:cs="Times New Roman" w:eastAsia="Times New Roman" w:hint="default"/>
                <w:sz w:val="18"/>
                <w:szCs w:val="18"/>
              </w:rPr>
            </w:pPr>
            <w:r>
              <w:rPr>
                <w:rFonts w:ascii="Times New Roman"/>
                <w:sz w:val="18"/>
              </w:rPr>
              <w:t>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0"/>
              <w:jc w:val="center"/>
              <w:rPr>
                <w:rFonts w:ascii="Times New Roman" w:hAnsi="Times New Roman" w:cs="Times New Roman" w:eastAsia="Times New Roman" w:hint="default"/>
                <w:sz w:val="18"/>
                <w:szCs w:val="18"/>
              </w:rPr>
            </w:pPr>
            <w:r>
              <w:rPr>
                <w:rFonts w:ascii="Times New Roman"/>
                <w:sz w:val="18"/>
              </w:rPr>
              <w:t>99.13%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投资设立北京北舟文 化传媒有限责任公司</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2940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2,940.00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7"/>
              <w:jc w:val="center"/>
              <w:rPr>
                <w:rFonts w:ascii="Times New Roman" w:hAnsi="Times New Roman" w:cs="Times New Roman" w:eastAsia="Times New Roman" w:hint="default"/>
                <w:sz w:val="18"/>
                <w:szCs w:val="18"/>
              </w:rPr>
            </w:pPr>
            <w:r>
              <w:rPr>
                <w:rFonts w:ascii="Times New Roman"/>
                <w:sz w:val="18"/>
              </w:rPr>
              <w:t>2,940.0</w:t>
            </w:r>
          </w:p>
          <w:p>
            <w:pPr>
              <w:pStyle w:val="TableParagraph"/>
              <w:spacing w:line="240" w:lineRule="auto" w:before="105"/>
              <w:ind w:right="41"/>
              <w:jc w:val="center"/>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3"/>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-7.81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否</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5"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教育内容资源研发与 服务平台建设项目</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2884</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2,884.00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417.11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0"/>
              <w:jc w:val="center"/>
              <w:rPr>
                <w:rFonts w:ascii="Times New Roman" w:hAnsi="Times New Roman" w:cs="Times New Roman" w:eastAsia="Times New Roman" w:hint="default"/>
                <w:sz w:val="18"/>
                <w:szCs w:val="18"/>
              </w:rPr>
            </w:pPr>
            <w:r>
              <w:rPr>
                <w:rFonts w:ascii="Times New Roman"/>
                <w:sz w:val="18"/>
              </w:rPr>
              <w:t>14.46%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投资设立北京东方天</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1500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1,500.00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7"/>
              <w:jc w:val="center"/>
              <w:rPr>
                <w:rFonts w:ascii="Times New Roman" w:hAnsi="Times New Roman" w:cs="Times New Roman" w:eastAsia="Times New Roman" w:hint="default"/>
                <w:sz w:val="18"/>
                <w:szCs w:val="18"/>
              </w:rPr>
            </w:pPr>
            <w:r>
              <w:rPr>
                <w:rFonts w:ascii="Times New Roman"/>
                <w:sz w:val="18"/>
              </w:rPr>
              <w:t>1,500.0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3"/>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55"/>
              <w:jc w:val="right"/>
              <w:rPr>
                <w:rFonts w:ascii="Times New Roman" w:hAnsi="Times New Roman" w:cs="Times New Roman" w:eastAsia="Times New Roman" w:hint="default"/>
                <w:sz w:val="18"/>
                <w:szCs w:val="18"/>
              </w:rPr>
            </w:pPr>
            <w:r>
              <w:rPr>
                <w:rFonts w:ascii="Times New Roman"/>
                <w:spacing w:val="-1"/>
                <w:sz w:val="18"/>
              </w:rPr>
              <w:t>-1,661.9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否</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8"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0" w:footer="959" w:top="1340" w:bottom="1140" w:left="1020" w:right="1080"/>
        </w:sectPr>
      </w:pPr>
    </w:p>
    <w:p>
      <w:pPr>
        <w:spacing w:line="240" w:lineRule="auto" w:before="0"/>
        <w:rPr>
          <w:rFonts w:ascii="宋体" w:hAnsi="宋体" w:cs="宋体" w:eastAsia="宋体" w:hint="default"/>
          <w:sz w:val="20"/>
          <w:szCs w:val="20"/>
        </w:rPr>
      </w:pPr>
      <w:r>
        <w:rPr/>
        <w:pict>
          <v:shape style="position:absolute;margin-left:56.52pt;margin-top:71.999985pt;width:478.9pt;height:685.3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4"/>
                    <w:gridCol w:w="545"/>
                    <w:gridCol w:w="718"/>
                    <w:gridCol w:w="718"/>
                    <w:gridCol w:w="715"/>
                    <w:gridCol w:w="670"/>
                    <w:gridCol w:w="768"/>
                    <w:gridCol w:w="718"/>
                    <w:gridCol w:w="718"/>
                    <w:gridCol w:w="718"/>
                    <w:gridCol w:w="718"/>
                    <w:gridCol w:w="715"/>
                  </w:tblGrid>
                  <w:tr>
                    <w:trPr>
                      <w:trHeight w:val="67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190"/>
                          <w:jc w:val="left"/>
                          <w:rPr>
                            <w:rFonts w:ascii="宋体" w:hAnsi="宋体" w:cs="宋体" w:eastAsia="宋体" w:hint="default"/>
                            <w:sz w:val="18"/>
                            <w:szCs w:val="18"/>
                          </w:rPr>
                        </w:pPr>
                        <w:r>
                          <w:rPr>
                            <w:rFonts w:ascii="宋体" w:hAnsi="宋体" w:cs="宋体" w:eastAsia="宋体" w:hint="default"/>
                            <w:sz w:val="18"/>
                            <w:szCs w:val="18"/>
                          </w:rPr>
                          <w:t>舟教育科技有限责任 公司</w:t>
                        </w:r>
                      </w:p>
                    </w:tc>
                    <w:tc>
                      <w:tcPr>
                        <w:tcW w:w="54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2</w:t>
                        </w:r>
                      </w:p>
                    </w:tc>
                    <w:tc>
                      <w:tcPr>
                        <w:tcW w:w="71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神奇时代股权并购项 目</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10899.8</w:t>
                        </w:r>
                      </w:p>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sz w:val="18"/>
                          </w:rPr>
                          <w:t>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10,899.8</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4</w:t>
                        </w: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10,899.</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84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永久性补充流动资金</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4,000.00</w:t>
                        </w: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3"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54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4" w:space="0" w:color="000000"/>
                          <w:left w:val="single" w:sz="9" w:space="0" w:color="D2D2D2"/>
                          <w:right w:val="single" w:sz="4" w:space="0" w:color="000000"/>
                        </w:tcBorders>
                      </w:tcPr>
                      <w:p>
                        <w:pPr>
                          <w:pStyle w:val="TableParagraph"/>
                          <w:spacing w:line="240" w:lineRule="auto" w:before="52"/>
                          <w:ind w:right="8"/>
                          <w:jc w:val="center"/>
                          <w:rPr>
                            <w:rFonts w:ascii="Times New Roman" w:hAnsi="Times New Roman" w:cs="Times New Roman" w:eastAsia="Times New Roman" w:hint="default"/>
                            <w:sz w:val="18"/>
                            <w:szCs w:val="18"/>
                          </w:rPr>
                        </w:pPr>
                        <w:r>
                          <w:rPr>
                            <w:rFonts w:ascii="Times New Roman"/>
                            <w:sz w:val="18"/>
                          </w:rPr>
                          <w:t>25,573.8</w:t>
                        </w:r>
                      </w:p>
                      <w:p>
                        <w:pPr>
                          <w:pStyle w:val="TableParagraph"/>
                          <w:spacing w:line="240" w:lineRule="auto" w:before="105"/>
                          <w:ind w:right="8"/>
                          <w:jc w:val="center"/>
                          <w:rPr>
                            <w:rFonts w:ascii="Times New Roman" w:hAnsi="Times New Roman" w:cs="Times New Roman" w:eastAsia="Times New Roman" w:hint="default"/>
                            <w:sz w:val="18"/>
                            <w:szCs w:val="18"/>
                          </w:rPr>
                        </w:pPr>
                        <w:r>
                          <w:rPr>
                            <w:rFonts w:ascii="Times New Roman"/>
                            <w:sz w:val="18"/>
                          </w:rPr>
                          <w:t>4</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25,573.8</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4</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119.61</w:t>
                        </w: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23,080.</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86</w:t>
                        </w:r>
                      </w:p>
                    </w:tc>
                    <w:tc>
                      <w:tcPr>
                        <w:tcW w:w="768" w:type="dxa"/>
                        <w:vMerge w:val="restart"/>
                        <w:tcBorders>
                          <w:top w:val="single" w:sz="4" w:space="0" w:color="000000"/>
                          <w:left w:val="single" w:sz="4" w:space="0" w:color="000000"/>
                          <w:right w:val="single" w:sz="4" w:space="0" w:color="000000"/>
                        </w:tcBorders>
                        <w:shd w:val="clear" w:color="auto" w:fill="D2D2D2"/>
                      </w:tcPr>
                      <w:p>
                        <w:pP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-1,966.7</w:t>
                        </w:r>
                      </w:p>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sz w:val="18"/>
                          </w:rPr>
                          <w:t>8</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206" w:right="0"/>
                          <w:jc w:val="left"/>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shd w:val="clear" w:color="auto" w:fill="D2D2D2"/>
                      </w:tcPr>
                      <w:p>
                        <w:pPr/>
                      </w:p>
                    </w:tc>
                    <w:tc>
                      <w:tcPr>
                        <w:tcW w:w="718" w:type="dxa"/>
                        <w:vMerge/>
                        <w:tcBorders>
                          <w:left w:val="single" w:sz="4" w:space="0" w:color="000000"/>
                          <w:right w:val="single" w:sz="4" w:space="0" w:color="000000"/>
                        </w:tcBorders>
                        <w:shd w:val="clear" w:color="auto" w:fill="D2D2D2"/>
                      </w:tcPr>
                      <w:p>
                        <w:pPr/>
                      </w:p>
                    </w:tc>
                    <w:tc>
                      <w:tcPr>
                        <w:tcW w:w="718"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shd w:val="clear" w:color="auto" w:fill="D2D2D2"/>
                      </w:tcPr>
                      <w:p>
                        <w:pPr/>
                      </w:p>
                    </w:tc>
                    <w:tc>
                      <w:tcPr>
                        <w:tcW w:w="715" w:type="dxa"/>
                        <w:vMerge/>
                        <w:tcBorders>
                          <w:left w:val="single" w:sz="4" w:space="0" w:color="000000"/>
                          <w:right w:val="single" w:sz="4" w:space="0" w:color="000000"/>
                        </w:tcBorders>
                        <w:shd w:val="clear" w:color="auto" w:fill="D2D2D2"/>
                      </w:tcPr>
                      <w:p>
                        <w:pPr/>
                      </w:p>
                    </w:tc>
                  </w:tr>
                  <w:tr>
                    <w:trPr>
                      <w:trHeight w:val="161"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54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shd w:val="clear" w:color="auto" w:fill="D2D2D2"/>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8"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5"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54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4" w:space="0" w:color="000000"/>
                          <w:left w:val="single" w:sz="9" w:space="0" w:color="D2D2D2"/>
                          <w:right w:val="single" w:sz="4" w:space="0" w:color="000000"/>
                        </w:tcBorders>
                      </w:tcPr>
                      <w:p>
                        <w:pPr>
                          <w:pStyle w:val="TableParagraph"/>
                          <w:spacing w:line="240" w:lineRule="auto" w:before="50"/>
                          <w:ind w:right="8"/>
                          <w:jc w:val="center"/>
                          <w:rPr>
                            <w:rFonts w:ascii="Times New Roman" w:hAnsi="Times New Roman" w:cs="Times New Roman" w:eastAsia="Times New Roman" w:hint="default"/>
                            <w:sz w:val="18"/>
                            <w:szCs w:val="18"/>
                          </w:rPr>
                        </w:pPr>
                        <w:r>
                          <w:rPr>
                            <w:rFonts w:ascii="Times New Roman"/>
                            <w:sz w:val="18"/>
                          </w:rPr>
                          <w:t>62,277.2</w:t>
                        </w:r>
                      </w:p>
                      <w:p>
                        <w:pPr>
                          <w:pStyle w:val="TableParagraph"/>
                          <w:spacing w:line="240" w:lineRule="auto" w:before="105"/>
                          <w:ind w:right="8"/>
                          <w:jc w:val="center"/>
                          <w:rPr>
                            <w:rFonts w:ascii="Times New Roman" w:hAnsi="Times New Roman" w:cs="Times New Roman" w:eastAsia="Times New Roman" w:hint="default"/>
                            <w:sz w:val="18"/>
                            <w:szCs w:val="18"/>
                          </w:rPr>
                        </w:pPr>
                        <w:r>
                          <w:rPr>
                            <w:rFonts w:ascii="Times New Roman"/>
                            <w:sz w:val="18"/>
                          </w:rPr>
                          <w:t>6</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62,277.2</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6</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119.61</w:t>
                        </w: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53,696.</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81</w:t>
                        </w:r>
                      </w:p>
                    </w:tc>
                    <w:tc>
                      <w:tcPr>
                        <w:tcW w:w="768" w:type="dxa"/>
                        <w:vMerge w:val="restart"/>
                        <w:tcBorders>
                          <w:top w:val="single" w:sz="4" w:space="0" w:color="000000"/>
                          <w:left w:val="single" w:sz="4" w:space="0" w:color="000000"/>
                          <w:right w:val="single" w:sz="4" w:space="0" w:color="000000"/>
                        </w:tcBorders>
                        <w:shd w:val="clear" w:color="auto" w:fill="D2D2D2"/>
                      </w:tcPr>
                      <w:p>
                        <w:pP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15,362.7</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24,950.1</w:t>
                        </w:r>
                      </w:p>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sz w:val="18"/>
                          </w:rPr>
                          <w:t>7</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5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206" w:right="0"/>
                          <w:jc w:val="left"/>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shd w:val="clear" w:color="auto" w:fill="D2D2D2"/>
                      </w:tcPr>
                      <w:p>
                        <w:pPr/>
                      </w:p>
                    </w:tc>
                    <w:tc>
                      <w:tcPr>
                        <w:tcW w:w="718" w:type="dxa"/>
                        <w:vMerge/>
                        <w:tcBorders>
                          <w:left w:val="single" w:sz="4" w:space="0" w:color="000000"/>
                          <w:right w:val="single" w:sz="4" w:space="0" w:color="000000"/>
                        </w:tcBorders>
                        <w:shd w:val="clear" w:color="auto" w:fill="D2D2D2"/>
                      </w:tcPr>
                      <w:p>
                        <w:pPr/>
                      </w:p>
                    </w:tc>
                    <w:tc>
                      <w:tcPr>
                        <w:tcW w:w="718"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shd w:val="clear" w:color="auto" w:fill="D2D2D2"/>
                      </w:tcPr>
                      <w:p>
                        <w:pPr/>
                      </w:p>
                    </w:tc>
                    <w:tc>
                      <w:tcPr>
                        <w:tcW w:w="715" w:type="dxa"/>
                        <w:vMerge/>
                        <w:tcBorders>
                          <w:left w:val="single" w:sz="4" w:space="0" w:color="000000"/>
                          <w:right w:val="single" w:sz="4" w:space="0" w:color="000000"/>
                        </w:tcBorders>
                        <w:shd w:val="clear" w:color="auto" w:fill="D2D2D2"/>
                      </w:tcPr>
                      <w:p>
                        <w:pPr/>
                      </w:p>
                    </w:tc>
                  </w:tr>
                  <w:tr>
                    <w:trPr>
                      <w:trHeight w:val="161"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54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shd w:val="clear" w:color="auto" w:fill="D2D2D2"/>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8"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5" w:type="dxa"/>
                        <w:vMerge/>
                        <w:tcBorders>
                          <w:left w:val="single" w:sz="4" w:space="0" w:color="000000"/>
                          <w:bottom w:val="single" w:sz="4" w:space="0" w:color="000000"/>
                          <w:right w:val="single" w:sz="4" w:space="0" w:color="000000"/>
                        </w:tcBorders>
                        <w:shd w:val="clear" w:color="auto" w:fill="D2D2D2"/>
                      </w:tcPr>
                      <w:p>
                        <w:pPr/>
                      </w:p>
                    </w:tc>
                  </w:tr>
                  <w:tr>
                    <w:trPr>
                      <w:trHeight w:val="3695"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20" w:type="dxa"/>
                        <w:gridSpan w:val="11"/>
                        <w:vMerge w:val="restart"/>
                        <w:tcBorders>
                          <w:top w:val="single" w:sz="4" w:space="0" w:color="000000"/>
                          <w:left w:val="single" w:sz="9" w:space="0" w:color="D2D2D2"/>
                          <w:right w:val="single" w:sz="4" w:space="0" w:color="000000"/>
                        </w:tcBorders>
                      </w:tcPr>
                      <w:p>
                        <w:pPr>
                          <w:pStyle w:val="TableParagraph"/>
                          <w:spacing w:line="316" w:lineRule="auto" w:before="8"/>
                          <w:ind w:left="15" w:right="23"/>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营销网络建设项目：近年来，互联网、移动通讯、现代物流业的迅猛发展，对整个图书出版发行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业造成了巨大的冲击。网络阅读、移动电子阅读设备改变了传统的阅读方式，电子商务和现代物流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业改变了传统的图书发行模式，图书出版发行企业必须在数字出版和新媒体的冲击下积极寻求转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型。面对目前的市场环境，公司正在积极、稳妥寻找转型的对策和措施，研究适合自己的业务发展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模式，确保公司的出版发行业务持续稳定增长。另外，</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年以来，教育部、新闻出版总署对中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小学教材、教辅的审定、出版、发行等方面的政策规定进行了较大幅度的调整，原有的教辅发行模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式发生了较大的变化，但公司预期的教材出版发行模式改革一直没有落地，因此，为确保公司营销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网络布局与政策及市场发展趋势一致，避免盲目投入，提升资金使用效率，公司主动放缓了营销网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络建设。经公司第二届董事会第三十七次会议审议，决定将该项目预计可达到使用状态的时间，延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管理信息和出版创意平台建设项目：与营销网络建设项目同步配套实施，由于营销网络建设未能</w:t>
                        </w:r>
                      </w:p>
                      <w:p>
                        <w:pPr>
                          <w:pStyle w:val="TableParagraph"/>
                          <w:spacing w:line="319" w:lineRule="auto"/>
                          <w:ind w:left="15" w:right="23"/>
                          <w:jc w:val="left"/>
                          <w:rPr>
                            <w:rFonts w:ascii="宋体" w:hAnsi="宋体" w:cs="宋体" w:eastAsia="宋体" w:hint="default"/>
                            <w:sz w:val="18"/>
                            <w:szCs w:val="18"/>
                          </w:rPr>
                        </w:pPr>
                        <w:r>
                          <w:rPr>
                            <w:rFonts w:ascii="宋体" w:hAnsi="宋体" w:cs="宋体" w:eastAsia="宋体" w:hint="default"/>
                            <w:spacing w:val="-2"/>
                            <w:sz w:val="18"/>
                            <w:szCs w:val="18"/>
                          </w:rPr>
                          <w:t>按期推进，出版发行模式和管理运营体系尚不完整，公司管理信息系统建设和创意资源平台项目也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同步推迟实施。经公司第二届董事会第三十七次会议审议，决定将该项目预计可达到使用状态的时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间，延期至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 </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教育内容资源研发与服务平台项目：该项目目前仍处于筹备阶段，合资公司尚未组建，但幼教读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物、英语测评等项目正在全力推进。</w:t>
                        </w:r>
                      </w:p>
                      <w:p>
                        <w:pPr>
                          <w:pStyle w:val="TableParagraph"/>
                          <w:spacing w:line="309" w:lineRule="auto" w:before="55"/>
                          <w:ind w:left="15" w:right="23"/>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投资设立的浙江天舟未达到预期收益的主要原因是：目前少儿图书市场品种繁多，公司的销售渠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道有限，市场竞争加剧，以致我司开发的图书品种销量未达到预计目标，同时公司也主动控制开发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规模，避免更大亏损。</w:t>
                        </w:r>
                      </w:p>
                      <w:p>
                        <w:pPr>
                          <w:pStyle w:val="TableParagraph"/>
                          <w:spacing w:line="300" w:lineRule="auto" w:before="65"/>
                          <w:ind w:left="15"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投资设立的北京北舟公司未达到预期收益的主要原因为：</w:t>
                        </w:r>
                        <w:r>
                          <w:rPr>
                            <w:rFonts w:ascii="Times New Roman" w:hAnsi="Times New Roman" w:cs="Times New Roman" w:eastAsia="Times New Roman" w:hint="default"/>
                            <w:sz w:val="18"/>
                            <w:szCs w:val="18"/>
                          </w:rPr>
                          <w:t>A</w:t>
                        </w:r>
                        <w:r>
                          <w:rPr>
                            <w:rFonts w:ascii="宋体" w:hAnsi="宋体" w:cs="宋体" w:eastAsia="宋体" w:hint="default"/>
                            <w:sz w:val="18"/>
                            <w:szCs w:val="18"/>
                          </w:rPr>
                          <w:t>、原预计招投标市场具有一定的不确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定性，市场规律难以掌控，业务开拓需要一个过程，使得招投标业务未达到预期目标；</w:t>
                        </w: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、受国家</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教材教辅管理政策调整的影响，全国教材教辅市场推广未能按预期的计划进行。</w:t>
                        </w:r>
                      </w:p>
                      <w:p>
                        <w:pPr>
                          <w:pStyle w:val="TableParagraph"/>
                          <w:spacing w:line="300" w:lineRule="auto" w:before="72"/>
                          <w:ind w:left="15" w:right="2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投资设立东方天舟未达到预期收益的主要原因为：</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、原托管上海东阶双语学校因学校面临搬迁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经营存在不确定性，延缓了实施计划；</w:t>
                        </w:r>
                        <w:r>
                          <w:rPr>
                            <w:rFonts w:ascii="Times New Roman" w:hAnsi="Times New Roman" w:cs="Times New Roman" w:eastAsia="Times New Roman" w:hint="default"/>
                            <w:sz w:val="18"/>
                            <w:szCs w:val="18"/>
                          </w:rPr>
                          <w:t>B</w:t>
                        </w:r>
                        <w:r>
                          <w:rPr>
                            <w:rFonts w:ascii="宋体" w:hAnsi="宋体" w:cs="宋体" w:eastAsia="宋体" w:hint="default"/>
                            <w:sz w:val="18"/>
                            <w:szCs w:val="18"/>
                          </w:rPr>
                          <w:t>、原预计的教具教材的销售及</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NCET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的考试因暂未到中国 </w:t>
                        </w:r>
                        <w:r>
                          <w:rPr>
                            <w:rFonts w:ascii="宋体" w:hAnsi="宋体" w:cs="宋体" w:eastAsia="宋体" w:hint="default"/>
                            <w:spacing w:val="-1"/>
                            <w:sz w:val="18"/>
                            <w:szCs w:val="18"/>
                          </w:rPr>
                          <w:t>教育学会外语专业委员会正式推广的配合，考生人数未达到预期水平；</w:t>
                        </w: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、因公司新成立，品牌还</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在推广期，招生人数受限，学校收入未达预期。</w:t>
                        </w:r>
                      </w:p>
                    </w:tc>
                  </w:tr>
                  <w:tr>
                    <w:trPr>
                      <w:trHeight w:val="977"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
                          <w:ind w:left="21" w:right="190"/>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20" w:type="dxa"/>
                        <w:gridSpan w:val="11"/>
                        <w:vMerge/>
                        <w:tcBorders>
                          <w:left w:val="single" w:sz="9" w:space="0" w:color="D2D2D2"/>
                          <w:right w:val="single" w:sz="4" w:space="0" w:color="000000"/>
                        </w:tcBorders>
                      </w:tcPr>
                      <w:p>
                        <w:pPr/>
                      </w:p>
                    </w:tc>
                  </w:tr>
                  <w:tr>
                    <w:trPr>
                      <w:trHeight w:val="3692"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20" w:type="dxa"/>
                        <w:gridSpan w:val="11"/>
                        <w:vMerge/>
                        <w:tcBorders>
                          <w:left w:val="single" w:sz="9" w:space="0" w:color="D2D2D2"/>
                          <w:bottom w:val="single" w:sz="4" w:space="0" w:color="000000"/>
                          <w:right w:val="single" w:sz="4" w:space="0" w:color="000000"/>
                        </w:tcBorders>
                      </w:tcPr>
                      <w:p>
                        <w:pPr/>
                      </w:p>
                    </w:tc>
                  </w:tr>
                  <w:tr>
                    <w:trPr>
                      <w:trHeight w:val="650"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20" w:type="dxa"/>
                        <w:gridSpan w:val="11"/>
                        <w:vMerge w:val="restart"/>
                        <w:tcBorders>
                          <w:top w:val="single" w:sz="4" w:space="0" w:color="000000"/>
                          <w:left w:val="single" w:sz="9" w:space="0" w:color="D2D2D2"/>
                          <w:right w:val="single" w:sz="4" w:space="0" w:color="000000"/>
                        </w:tcBorders>
                      </w:tcPr>
                      <w:p>
                        <w:pPr>
                          <w:pStyle w:val="TableParagraph"/>
                          <w:spacing w:line="300" w:lineRule="auto" w:before="8"/>
                          <w:ind w:left="15" w:right="2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投资设立浙江天舟图书有限责任公司。因行业市场情况发生较大变化，该公司实际运营情况与预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测差距较大，造成图书库存积压严重。经公司董事会决定处置该公司，并已于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年下半年进入</w:t>
                        </w:r>
                      </w:p>
                      <w:p>
                        <w:pPr>
                          <w:pStyle w:val="TableParagraph"/>
                          <w:spacing w:line="319" w:lineRule="auto" w:before="13"/>
                          <w:ind w:left="15" w:right="22"/>
                          <w:jc w:val="left"/>
                          <w:rPr>
                            <w:rFonts w:ascii="宋体" w:hAnsi="宋体" w:cs="宋体" w:eastAsia="宋体" w:hint="default"/>
                            <w:sz w:val="18"/>
                            <w:szCs w:val="18"/>
                          </w:rPr>
                        </w:pPr>
                        <w:r>
                          <w:rPr>
                            <w:rFonts w:ascii="宋体" w:hAnsi="宋体" w:cs="宋体" w:eastAsia="宋体" w:hint="default"/>
                            <w:sz w:val="18"/>
                            <w:szCs w:val="18"/>
                          </w:rPr>
                          <w:t>清算期，预计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年度将能完成注销登记。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投资设立北京北舟文化传媒有限责任公司。根据公司的战略目标，公司将加快现有业务结构的调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整，将持有的北舟公司</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的股份转让给北洋传媒，并已于</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月收到北洋传媒股权转让</w:t>
                        </w:r>
                      </w:p>
                      <w:p>
                        <w:pPr>
                          <w:pStyle w:val="TableParagraph"/>
                          <w:spacing w:line="233" w:lineRule="exact"/>
                          <w:ind w:left="15" w:right="0"/>
                          <w:jc w:val="left"/>
                          <w:rPr>
                            <w:rFonts w:ascii="宋体" w:hAnsi="宋体" w:cs="宋体" w:eastAsia="宋体" w:hint="default"/>
                            <w:sz w:val="18"/>
                            <w:szCs w:val="18"/>
                          </w:rPr>
                        </w:pPr>
                        <w:r>
                          <w:rPr>
                            <w:rFonts w:ascii="宋体" w:hAnsi="宋体" w:cs="宋体" w:eastAsia="宋体" w:hint="default"/>
                            <w:sz w:val="18"/>
                            <w:szCs w:val="18"/>
                          </w:rPr>
                          <w:t>款。</w:t>
                        </w:r>
                      </w:p>
                    </w:tc>
                  </w:tr>
                  <w:tr>
                    <w:trPr>
                      <w:trHeight w:val="662"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
                          <w:ind w:left="21" w:right="19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20" w:type="dxa"/>
                        <w:gridSpan w:val="11"/>
                        <w:vMerge/>
                        <w:tcBorders>
                          <w:left w:val="single" w:sz="9" w:space="0" w:color="D2D2D2"/>
                          <w:right w:val="single" w:sz="4" w:space="0" w:color="000000"/>
                        </w:tcBorders>
                      </w:tcPr>
                      <w:p>
                        <w:pPr/>
                      </w:p>
                    </w:tc>
                  </w:tr>
                  <w:tr>
                    <w:trPr>
                      <w:trHeight w:val="651"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20" w:type="dxa"/>
                        <w:gridSpan w:val="11"/>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44"/>
        <w:ind w:left="0" w:right="105"/>
        <w:jc w:val="right"/>
      </w:pPr>
      <w:r>
        <w:rPr/>
        <w:t>，</w:t>
      </w:r>
    </w:p>
    <w:p>
      <w:pPr>
        <w:spacing w:after="0" w:line="240" w:lineRule="auto"/>
        <w:jc w:val="right"/>
        <w:sectPr>
          <w:pgSz w:w="11910" w:h="16840"/>
          <w:pgMar w:header="0" w:footer="959" w:top="1340" w:bottom="1140" w:left="1020" w:right="1040"/>
        </w:sectPr>
      </w:pPr>
    </w:p>
    <w:p>
      <w:pPr>
        <w:spacing w:line="240" w:lineRule="auto" w:before="0"/>
        <w:rPr>
          <w:rFonts w:ascii="宋体" w:hAnsi="宋体" w:cs="宋体" w:eastAsia="宋体" w:hint="default"/>
          <w:sz w:val="20"/>
          <w:szCs w:val="20"/>
        </w:rPr>
      </w:pPr>
      <w:r>
        <w:rPr/>
        <w:pict>
          <v:shape style="position:absolute;margin-left:56.52pt;margin-top:71.999985pt;width:478.9pt;height:682.35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2"/>
                    <w:gridCol w:w="7721"/>
                  </w:tblGrid>
                  <w:tr>
                    <w:trPr>
                      <w:trHeight w:val="2585"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2"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投资设立北京东方天舟教育科技有限责任公司。因该子公司总部及</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所学校严重亏损，且短期内 </w:t>
                        </w:r>
                        <w:r>
                          <w:rPr>
                            <w:rFonts w:ascii="宋体" w:hAnsi="宋体" w:cs="宋体" w:eastAsia="宋体" w:hint="default"/>
                            <w:spacing w:val="-2"/>
                            <w:sz w:val="18"/>
                            <w:szCs w:val="18"/>
                          </w:rPr>
                          <w:t>难以扭转，新项目投资存在重大不确定性风险。经公司董事会决议：将持有东方天舟</w:t>
                        </w:r>
                        <w:r>
                          <w:rPr>
                            <w:rFonts w:ascii="宋体" w:hAnsi="宋体" w:cs="宋体" w:eastAsia="宋体" w:hint="default"/>
                            <w:spacing w:val="-18"/>
                            <w:sz w:val="18"/>
                            <w:szCs w:val="18"/>
                          </w:rPr>
                          <w:t> </w:t>
                        </w:r>
                        <w:r>
                          <w:rPr>
                            <w:rFonts w:ascii="Times New Roman" w:hAnsi="Times New Roman" w:cs="Times New Roman" w:eastAsia="Times New Roman" w:hint="default"/>
                            <w:spacing w:val="-1"/>
                            <w:sz w:val="18"/>
                            <w:szCs w:val="18"/>
                          </w:rPr>
                          <w:t>77.5%</w:t>
                        </w:r>
                        <w:r>
                          <w:rPr>
                            <w:rFonts w:ascii="宋体" w:hAnsi="宋体" w:cs="宋体" w:eastAsia="宋体" w:hint="default"/>
                            <w:spacing w:val="-1"/>
                            <w:sz w:val="18"/>
                            <w:szCs w:val="18"/>
                          </w:rPr>
                          <w:t>的股份</w:t>
                        </w:r>
                        <w:r>
                          <w:rPr>
                            <w:rFonts w:ascii="宋体" w:hAnsi="宋体" w:cs="宋体" w:eastAsia="宋体" w:hint="default"/>
                            <w:spacing w:val="-82"/>
                            <w:sz w:val="18"/>
                            <w:szCs w:val="18"/>
                          </w:rPr>
                          <w:t> </w:t>
                        </w:r>
                        <w:r>
                          <w:rPr>
                            <w:rFonts w:ascii="宋体" w:hAnsi="宋体" w:cs="宋体" w:eastAsia="宋体" w:hint="default"/>
                            <w:spacing w:val="-3"/>
                            <w:sz w:val="18"/>
                            <w:szCs w:val="18"/>
                          </w:rPr>
                          <w:t>转让给控股股东“天鸿投资”，现已收到“天鸿投资”股权转让款项。</w:t>
                        </w:r>
                      </w:p>
                      <w:p>
                        <w:pPr>
                          <w:pStyle w:val="TableParagraph"/>
                          <w:spacing w:line="314" w:lineRule="auto" w:before="72"/>
                          <w:ind w:left="22" w:right="23"/>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教育内容资源研发与服务平台项目：该项目原定为公司与中国教育科学研究院组建合资公司共同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推进，目前有关幼教产品的研究开发已经基本完成。但根据教育部有关政策规定，中国教科院被确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定为公益性事业单位，不得直接开展对外投资和经营性业务，因此合资公司一直无法组建。公司目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前正在与中国教科院协商新的合作模式，原定的《教育内容资源研发与服务平台建设项目》将会进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行调整或变更。</w:t>
                        </w:r>
                      </w:p>
                    </w:tc>
                  </w:tr>
                  <w:tr>
                    <w:trPr>
                      <w:trHeight w:val="362" w:hRule="exact"/>
                    </w:trPr>
                    <w:tc>
                      <w:tcPr>
                        <w:tcW w:w="1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 w:right="21"/>
                          <w:jc w:val="left"/>
                          <w:rPr>
                            <w:rFonts w:ascii="宋体" w:hAnsi="宋体" w:cs="宋体" w:eastAsia="宋体" w:hint="default"/>
                            <w:sz w:val="18"/>
                            <w:szCs w:val="18"/>
                          </w:rPr>
                        </w:pPr>
                        <w:r>
                          <w:rPr>
                            <w:rFonts w:ascii="宋体" w:hAnsi="宋体" w:cs="宋体" w:eastAsia="宋体" w:hint="default"/>
                            <w:spacing w:val="-2"/>
                            <w:sz w:val="18"/>
                            <w:szCs w:val="18"/>
                          </w:rPr>
                          <w:t>超募资金的金额、用途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及使用进展情况</w:t>
                        </w:r>
                      </w:p>
                    </w:tc>
                    <w:tc>
                      <w:tcPr>
                        <w:tcW w:w="7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23,821.048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万元，其使用情况如下：</w:t>
                        </w:r>
                      </w:p>
                    </w:tc>
                  </w:tr>
                  <w:tr>
                    <w:trPr>
                      <w:trHeight w:val="9340"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7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日，公司第二届董事会第二次会议审议通过了《关于审议使用部分与主营业务相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关的营运资金投资设立浙江天舟图书有限公司的议案</w:t>
                        </w:r>
                        <w:r>
                          <w:rPr>
                            <w:rFonts w:ascii="宋体" w:hAnsi="宋体" w:cs="宋体" w:eastAsia="宋体" w:hint="default"/>
                            <w:spacing w:val="-92"/>
                            <w:sz w:val="18"/>
                            <w:szCs w:val="18"/>
                          </w:rPr>
                          <w:t>》</w:t>
                        </w:r>
                        <w:r>
                          <w:rPr>
                            <w:rFonts w:ascii="宋体" w:hAnsi="宋体" w:cs="宋体" w:eastAsia="宋体" w:hint="default"/>
                            <w:sz w:val="18"/>
                            <w:szCs w:val="18"/>
                          </w:rPr>
                          <w:t>：同</w:t>
                        </w:r>
                        <w:r>
                          <w:rPr>
                            <w:rFonts w:ascii="宋体" w:hAnsi="宋体" w:cs="宋体" w:eastAsia="宋体" w:hint="default"/>
                            <w:spacing w:val="2"/>
                            <w:sz w:val="18"/>
                            <w:szCs w:val="18"/>
                          </w:rPr>
                          <w:t>意</w:t>
                        </w:r>
                        <w:r>
                          <w:rPr>
                            <w:rFonts w:ascii="宋体" w:hAnsi="宋体" w:cs="宋体" w:eastAsia="宋体" w:hint="default"/>
                            <w:sz w:val="18"/>
                            <w:szCs w:val="18"/>
                          </w:rPr>
                          <w:t>公司以人民币</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35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万元现金</w:t>
                        </w:r>
                        <w:r>
                          <w:rPr>
                            <w:rFonts w:ascii="宋体" w:hAnsi="宋体" w:cs="宋体" w:eastAsia="宋体" w:hint="default"/>
                            <w:spacing w:val="-3"/>
                            <w:sz w:val="18"/>
                            <w:szCs w:val="18"/>
                          </w:rPr>
                          <w:t>投</w:t>
                        </w:r>
                        <w:r>
                          <w:rPr>
                            <w:rFonts w:ascii="宋体" w:hAnsi="宋体" w:cs="宋体" w:eastAsia="宋体" w:hint="default"/>
                            <w:sz w:val="18"/>
                            <w:szCs w:val="18"/>
                          </w:rPr>
                          <w:t>资设立</w:t>
                        </w:r>
                      </w:p>
                      <w:p>
                        <w:pPr>
                          <w:pStyle w:val="TableParagraph"/>
                          <w:spacing w:line="309"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浙江天舟图书有限公司。</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日，浙江天舟图书有限责任公司在工商行政管理部门登记 </w:t>
                        </w:r>
                        <w:r>
                          <w:rPr>
                            <w:rFonts w:ascii="宋体" w:hAnsi="宋体" w:cs="宋体" w:eastAsia="宋体" w:hint="default"/>
                            <w:spacing w:val="-2"/>
                            <w:sz w:val="18"/>
                            <w:szCs w:val="18"/>
                          </w:rPr>
                          <w:t>成立并已正常开展经营活动。但由于行业市场情况发生较大变化，该公司实际运营情况与预测差距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较大，故决定注销该公司，目前正在办理相关手续。</w:t>
                        </w:r>
                      </w:p>
                      <w:p>
                        <w:pPr>
                          <w:pStyle w:val="TableParagraph"/>
                          <w:spacing w:line="240" w:lineRule="auto" w:before="6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日，公司第二届董事会第四次会议审议通过了《关于使用超募资金投资设立北京事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业部的议案</w:t>
                        </w:r>
                        <w:r>
                          <w:rPr>
                            <w:rFonts w:ascii="宋体" w:hAnsi="宋体" w:cs="宋体" w:eastAsia="宋体" w:hint="default"/>
                            <w:spacing w:val="-92"/>
                            <w:sz w:val="18"/>
                            <w:szCs w:val="18"/>
                          </w:rPr>
                          <w:t>》</w:t>
                        </w:r>
                        <w:r>
                          <w:rPr>
                            <w:rFonts w:ascii="宋体" w:hAnsi="宋体" w:cs="宋体" w:eastAsia="宋体" w:hint="default"/>
                            <w:sz w:val="18"/>
                            <w:szCs w:val="18"/>
                          </w:rPr>
                          <w:t>：同意使用公司</w:t>
                        </w:r>
                        <w:r>
                          <w:rPr>
                            <w:rFonts w:ascii="宋体" w:hAnsi="宋体" w:cs="宋体" w:eastAsia="宋体" w:hint="default"/>
                            <w:spacing w:val="2"/>
                            <w:sz w:val="18"/>
                            <w:szCs w:val="18"/>
                          </w:rPr>
                          <w:t>首</w:t>
                        </w:r>
                        <w:r>
                          <w:rPr>
                            <w:rFonts w:ascii="宋体" w:hAnsi="宋体" w:cs="宋体" w:eastAsia="宋体" w:hint="default"/>
                            <w:sz w:val="18"/>
                            <w:szCs w:val="18"/>
                          </w:rPr>
                          <w:t>次公开发行超额募集资金</w:t>
                        </w:r>
                        <w:r>
                          <w:rPr>
                            <w:rFonts w:ascii="宋体" w:hAnsi="宋体" w:cs="宋体" w:eastAsia="宋体" w:hint="default"/>
                            <w:spacing w:val="-1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万元投资设立北京事业部</w:t>
                        </w:r>
                        <w:r>
                          <w:rPr>
                            <w:rFonts w:ascii="宋体" w:hAnsi="宋体" w:cs="宋体" w:eastAsia="宋体" w:hint="default"/>
                            <w:spacing w:val="-3"/>
                            <w:sz w:val="18"/>
                            <w:szCs w:val="18"/>
                          </w:rPr>
                          <w:t>。</w:t>
                        </w:r>
                        <w:r>
                          <w:rPr>
                            <w:rFonts w:ascii="宋体" w:hAnsi="宋体" w:cs="宋体" w:eastAsia="宋体" w:hint="default"/>
                            <w:sz w:val="18"/>
                            <w:szCs w:val="18"/>
                          </w:rPr>
                          <w:t>投资的</w:t>
                        </w:r>
                      </w:p>
                      <w:p>
                        <w:pPr>
                          <w:pStyle w:val="TableParagraph"/>
                          <w:spacing w:line="300"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主要用途如下：投资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万购置北京事业部办公场地，投资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390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万元用于北京事业部人员招聘和 补充北京事业部流动资金等。北京事业部目前已正常运营。</w:t>
                        </w:r>
                      </w:p>
                      <w:p>
                        <w:pPr>
                          <w:pStyle w:val="TableParagraph"/>
                          <w:spacing w:line="240" w:lineRule="auto" w:before="7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日，公司第二届董事会第七次会议审议通过了《关于使用超募资金投资参股北京</w:t>
                        </w:r>
                      </w:p>
                      <w:p>
                        <w:pPr>
                          <w:pStyle w:val="TableParagraph"/>
                          <w:spacing w:line="300" w:lineRule="auto" w:before="63"/>
                          <w:ind w:left="22" w:right="22"/>
                          <w:jc w:val="left"/>
                          <w:rPr>
                            <w:rFonts w:ascii="宋体" w:hAnsi="宋体" w:cs="宋体" w:eastAsia="宋体" w:hint="default"/>
                            <w:sz w:val="18"/>
                            <w:szCs w:val="18"/>
                          </w:rPr>
                        </w:pPr>
                        <w:r>
                          <w:rPr>
                            <w:rFonts w:ascii="宋体" w:hAnsi="宋体" w:cs="宋体" w:eastAsia="宋体" w:hint="default"/>
                            <w:spacing w:val="-6"/>
                            <w:sz w:val="18"/>
                            <w:szCs w:val="18"/>
                          </w:rPr>
                          <w:t>北舟文化传媒有限公司的议案》，公司以现金出资</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2,940</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万元参股成立北京北舟文化传媒有限公司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持股比例</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日，北京北舟文化传媒有限责任公司在工商行政管理部门登记成立 并已正常开展经营活动。但为适应公司发展战略，调整业务结构，公司已将该公司股权转让。</w:t>
                        </w:r>
                      </w:p>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2"/>
                            <w:sz w:val="18"/>
                            <w:szCs w:val="18"/>
                          </w:rPr>
                          <w:t>，</w:t>
                        </w:r>
                        <w:r>
                          <w:rPr>
                            <w:rFonts w:ascii="宋体" w:hAnsi="宋体" w:cs="宋体" w:eastAsia="宋体" w:hint="default"/>
                            <w:sz w:val="18"/>
                            <w:szCs w:val="18"/>
                          </w:rPr>
                          <w:t>公司第二届董事会第十一次会议审议通过</w:t>
                        </w:r>
                        <w:r>
                          <w:rPr>
                            <w:rFonts w:ascii="宋体" w:hAnsi="宋体" w:cs="宋体" w:eastAsia="宋体" w:hint="default"/>
                            <w:spacing w:val="-82"/>
                            <w:sz w:val="18"/>
                            <w:szCs w:val="18"/>
                          </w:rPr>
                          <w:t>了</w:t>
                        </w:r>
                        <w:r>
                          <w:rPr>
                            <w:rFonts w:ascii="宋体" w:hAnsi="宋体" w:cs="宋体" w:eastAsia="宋体" w:hint="default"/>
                            <w:sz w:val="18"/>
                            <w:szCs w:val="18"/>
                          </w:rPr>
                          <w:t>《关于使用超募资金投资建</w:t>
                        </w:r>
                        <w:r>
                          <w:rPr>
                            <w:rFonts w:ascii="宋体" w:hAnsi="宋体" w:cs="宋体" w:eastAsia="宋体" w:hint="default"/>
                            <w:spacing w:val="-82"/>
                            <w:sz w:val="18"/>
                            <w:szCs w:val="18"/>
                          </w:rPr>
                          <w:t>设</w:t>
                        </w:r>
                        <w:r>
                          <w:rPr>
                            <w:rFonts w:ascii="宋体" w:hAnsi="宋体" w:cs="宋体" w:eastAsia="宋体" w:hint="default"/>
                            <w:sz w:val="18"/>
                            <w:szCs w:val="18"/>
                          </w:rPr>
                          <w:t>“教</w:t>
                        </w:r>
                      </w:p>
                      <w:p>
                        <w:pPr>
                          <w:pStyle w:val="TableParagraph"/>
                          <w:spacing w:line="312" w:lineRule="auto" w:before="63"/>
                          <w:ind w:left="22" w:right="22"/>
                          <w:jc w:val="both"/>
                          <w:rPr>
                            <w:rFonts w:ascii="宋体" w:hAnsi="宋体" w:cs="宋体" w:eastAsia="宋体" w:hint="default"/>
                            <w:sz w:val="18"/>
                            <w:szCs w:val="18"/>
                          </w:rPr>
                        </w:pPr>
                        <w:r>
                          <w:rPr>
                            <w:rFonts w:ascii="宋体" w:hAnsi="宋体" w:cs="宋体" w:eastAsia="宋体" w:hint="default"/>
                            <w:spacing w:val="-4"/>
                            <w:sz w:val="18"/>
                            <w:szCs w:val="18"/>
                          </w:rPr>
                          <w:t>育内容资源研发与服务平台”项目的议案》，同意使用超募资金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2,884</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万元与中国教育科学研究院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共同投资建设“教育内容资源研发与服务平台”项目。因此合资公司一直无法组建，公司目前正在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与中国教科院协商新的合作模式，原定的《教育内容资源研发与服务平台建设项目》将会进行调整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或变更。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日，公司第二届董事会第十四次会议审议通过了《关于使用超募资金投资设立北京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东方天舟教育科技有限公司的议案</w:t>
                        </w:r>
                        <w:r>
                          <w:rPr>
                            <w:rFonts w:ascii="宋体" w:hAnsi="宋体" w:cs="宋体" w:eastAsia="宋体" w:hint="default"/>
                            <w:spacing w:val="-92"/>
                            <w:sz w:val="18"/>
                            <w:szCs w:val="18"/>
                          </w:rPr>
                          <w:t>》</w:t>
                        </w:r>
                        <w:r>
                          <w:rPr>
                            <w:rFonts w:ascii="宋体" w:hAnsi="宋体" w:cs="宋体" w:eastAsia="宋体" w:hint="default"/>
                            <w:sz w:val="18"/>
                            <w:szCs w:val="18"/>
                          </w:rPr>
                          <w:t>，同意使用超募资金</w:t>
                        </w:r>
                        <w:r>
                          <w:rPr>
                            <w:rFonts w:ascii="宋体" w:hAnsi="宋体" w:cs="宋体" w:eastAsia="宋体" w:hint="default"/>
                            <w:spacing w:val="-1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万元与上海东方阶梯智力</w:t>
                        </w:r>
                        <w:r>
                          <w:rPr>
                            <w:rFonts w:ascii="宋体" w:hAnsi="宋体" w:cs="宋体" w:eastAsia="宋体" w:hint="default"/>
                            <w:spacing w:val="-3"/>
                            <w:sz w:val="18"/>
                            <w:szCs w:val="18"/>
                          </w:rPr>
                          <w:t>发</w:t>
                        </w:r>
                        <w:r>
                          <w:rPr>
                            <w:rFonts w:ascii="宋体" w:hAnsi="宋体" w:cs="宋体" w:eastAsia="宋体" w:hint="default"/>
                            <w:sz w:val="18"/>
                            <w:szCs w:val="18"/>
                          </w:rPr>
                          <w:t>展有限</w:t>
                        </w:r>
                      </w:p>
                      <w:p>
                        <w:pPr>
                          <w:pStyle w:val="TableParagraph"/>
                          <w:spacing w:line="309" w:lineRule="auto" w:before="63"/>
                          <w:ind w:left="22" w:right="21"/>
                          <w:jc w:val="left"/>
                          <w:rPr>
                            <w:rFonts w:ascii="宋体" w:hAnsi="宋体" w:cs="宋体" w:eastAsia="宋体" w:hint="default"/>
                            <w:sz w:val="18"/>
                            <w:szCs w:val="18"/>
                          </w:rPr>
                        </w:pPr>
                        <w:r>
                          <w:rPr>
                            <w:rFonts w:ascii="宋体" w:hAnsi="宋体" w:cs="宋体" w:eastAsia="宋体" w:hint="default"/>
                            <w:spacing w:val="-3"/>
                            <w:sz w:val="18"/>
                            <w:szCs w:val="18"/>
                          </w:rPr>
                          <w:t>公司、生艳秋女士共同出资设立北京东方天舟教育科技有限公司。</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北京东方天舟 教育科技有限责任公司在工商行政管理部门登记成立。但由于该公司严重亏损，短期内难以扭转 故公司已将其所持股转让。</w:t>
                        </w:r>
                      </w:p>
                      <w:p>
                        <w:pPr>
                          <w:pStyle w:val="TableParagraph"/>
                          <w:spacing w:line="240" w:lineRule="auto" w:before="6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日，公司第一次临时股东大会审议并通过了《关于使用超募资金及利息用于向李</w:t>
                        </w:r>
                      </w:p>
                      <w:p>
                        <w:pPr>
                          <w:pStyle w:val="TableParagraph"/>
                          <w:spacing w:line="319"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桂华等购买神奇时代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股权的部分现金对价支付的议案》，同意使用超募资金及利息</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10,899.84</w:t>
                        </w:r>
                        <w:r>
                          <w:rPr>
                            <w:rFonts w:ascii="Times New Roman" w:hAnsi="Times New Roman" w:cs="Times New Roman" w:eastAsia="Times New Roman" w:hint="default"/>
                            <w:sz w:val="18"/>
                            <w:szCs w:val="18"/>
                          </w:rPr>
                          <w:t> </w:t>
                        </w:r>
                        <w:r>
                          <w:rPr>
                            <w:rFonts w:ascii="宋体" w:hAnsi="宋体" w:cs="宋体" w:eastAsia="宋体" w:hint="default"/>
                            <w:sz w:val="18"/>
                            <w:szCs w:val="18"/>
                          </w:rPr>
                          <w:t>万元用于向李桂华等购买神奇时代</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股权的部分现金对价支付，该款项已于报告期内支付完毕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Times New Roman" w:hAnsi="Times New Roman" w:cs="Times New Roman" w:eastAsia="Times New Roman" w:hint="default"/>
                            <w:sz w:val="18"/>
                            <w:szCs w:val="18"/>
                          </w:rPr>
                          <w:t>7.2012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日，公司第二届董事会第十五次会议审议通过了《关于使用部分超募资金永久补</w:t>
                        </w:r>
                      </w:p>
                      <w:p>
                        <w:pPr>
                          <w:pStyle w:val="TableParagraph"/>
                          <w:spacing w:line="300"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充流动资金的议案》，同意使用超募资金</w:t>
                        </w:r>
                        <w:r>
                          <w:rPr>
                            <w:rFonts w:ascii="宋体" w:hAnsi="宋体" w:cs="宋体" w:eastAsia="宋体" w:hint="default"/>
                            <w:spacing w:val="-6"/>
                            <w:sz w:val="18"/>
                            <w:szCs w:val="18"/>
                          </w:rPr>
                          <w:t> </w:t>
                        </w:r>
                        <w:r>
                          <w:rPr>
                            <w:rFonts w:ascii="Times New Roman" w:hAnsi="Times New Roman" w:cs="Times New Roman" w:eastAsia="Times New Roman" w:hint="default"/>
                            <w:spacing w:val="-1"/>
                            <w:sz w:val="18"/>
                            <w:szCs w:val="18"/>
                          </w:rPr>
                          <w:t>4,000</w:t>
                        </w:r>
                        <w:r>
                          <w:rPr>
                            <w:rFonts w:ascii="Times New Roman" w:hAnsi="Times New Roman" w:cs="Times New Roman" w:eastAsia="Times New Roman" w:hint="default"/>
                            <w:spacing w:val="40"/>
                            <w:sz w:val="18"/>
                            <w:szCs w:val="18"/>
                          </w:rPr>
                          <w:t> </w:t>
                        </w:r>
                        <w:r>
                          <w:rPr>
                            <w:rFonts w:ascii="宋体" w:hAnsi="宋体" w:cs="宋体" w:eastAsia="宋体" w:hint="default"/>
                            <w:spacing w:val="-1"/>
                            <w:sz w:val="18"/>
                            <w:szCs w:val="18"/>
                          </w:rPr>
                          <w:t>万元用于永久补充流动资金，目前流动资金已补充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到位。</w:t>
                        </w:r>
                      </w:p>
                    </w:tc>
                  </w:tr>
                  <w:tr>
                    <w:trPr>
                      <w:trHeight w:val="674"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1" w:right="189"/>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75"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1" w:right="189"/>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44"/>
        <w:ind w:left="0" w:right="10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44"/>
        <w:ind w:left="0" w:right="11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44"/>
        <w:ind w:left="0" w:right="104"/>
        <w:jc w:val="right"/>
      </w:pPr>
      <w:r>
        <w:rPr/>
        <w:t>。</w:t>
      </w:r>
    </w:p>
    <w:p>
      <w:pPr>
        <w:spacing w:after="0" w:line="240" w:lineRule="auto"/>
        <w:jc w:val="right"/>
        <w:sectPr>
          <w:pgSz w:w="11910" w:h="16840"/>
          <w:pgMar w:header="0" w:footer="959" w:top="1340" w:bottom="1140" w:left="1020" w:right="1040"/>
        </w:sectPr>
      </w:pPr>
    </w:p>
    <w:p>
      <w:pPr>
        <w:spacing w:line="240" w:lineRule="auto" w:before="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842"/>
        <w:gridCol w:w="7721"/>
      </w:tblGrid>
      <w:tr>
        <w:trPr>
          <w:trHeight w:val="1299"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21" w:right="189"/>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本公司在募集资金实际到位之前，利用自筹资金对募投项目已累计投入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2,002.934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万元，其中内容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策划与图书发行项目使用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2,002.934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日，本公司第二届董事会第二次会议审</w:t>
            </w:r>
          </w:p>
          <w:p>
            <w:pPr>
              <w:pStyle w:val="TableParagraph"/>
              <w:spacing w:line="300" w:lineRule="auto" w:before="63"/>
              <w:ind w:left="22" w:right="19"/>
              <w:jc w:val="left"/>
              <w:rPr>
                <w:rFonts w:ascii="宋体" w:hAnsi="宋体" w:cs="宋体" w:eastAsia="宋体" w:hint="default"/>
                <w:sz w:val="18"/>
                <w:szCs w:val="18"/>
              </w:rPr>
            </w:pPr>
            <w:r>
              <w:rPr>
                <w:rFonts w:ascii="宋体" w:hAnsi="宋体" w:cs="宋体" w:eastAsia="宋体" w:hint="default"/>
                <w:spacing w:val="-5"/>
                <w:sz w:val="18"/>
                <w:szCs w:val="18"/>
              </w:rPr>
              <w:t>议通过了《关于用募集资金置换已投入募集资金投资项目自筹资金的议案》，公司以</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2,002.934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r>
              <w:rPr>
                <w:rFonts w:ascii="宋体" w:hAnsi="宋体" w:cs="宋体" w:eastAsia="宋体" w:hint="default"/>
                <w:spacing w:val="-87"/>
                <w:sz w:val="18"/>
                <w:szCs w:val="18"/>
              </w:rPr>
              <w:t> </w:t>
            </w:r>
            <w:r>
              <w:rPr>
                <w:rFonts w:ascii="宋体" w:hAnsi="宋体" w:cs="宋体" w:eastAsia="宋体" w:hint="default"/>
                <w:sz w:val="18"/>
                <w:szCs w:val="18"/>
              </w:rPr>
              <w:t>募集资金置换预先已投入募集资金投资项目的自筹资金。</w:t>
            </w:r>
          </w:p>
        </w:tc>
      </w:tr>
      <w:tr>
        <w:trPr>
          <w:trHeight w:val="674"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1" w:right="189"/>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72"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1" w:right="189"/>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74"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1" w:right="189"/>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存放于募集资金专户。</w:t>
            </w:r>
          </w:p>
        </w:tc>
      </w:tr>
      <w:tr>
        <w:trPr>
          <w:trHeight w:val="987"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1" w:right="189"/>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5"/>
        <w:spacing w:line="240" w:lineRule="auto" w:before="36"/>
        <w:ind w:right="3641"/>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30"/>
          <w:szCs w:val="30"/>
        </w:rPr>
      </w:pPr>
    </w:p>
    <w:p>
      <w:pPr>
        <w:pStyle w:val="Heading6"/>
        <w:spacing w:line="408" w:lineRule="auto"/>
        <w:ind w:left="823" w:right="3641"/>
        <w:jc w:val="left"/>
      </w:pPr>
      <w:r>
        <w:rPr/>
        <w:t>□适用√不适用</w:t>
      </w:r>
      <w:r>
        <w:rPr>
          <w:spacing w:val="-103"/>
        </w:rPr>
        <w:t> </w:t>
      </w:r>
      <w:r>
        <w:rPr>
          <w:spacing w:val="-103"/>
        </w:rPr>
      </w:r>
      <w:r>
        <w:rPr>
          <w:spacing w:val="-2"/>
        </w:rPr>
        <w:t>公司报告期不存在募集资金变更项目情况。</w:t>
      </w:r>
    </w:p>
    <w:p>
      <w:pPr>
        <w:spacing w:line="240" w:lineRule="auto" w:before="8"/>
        <w:rPr>
          <w:rFonts w:ascii="宋体" w:hAnsi="宋体" w:cs="宋体" w:eastAsia="宋体" w:hint="default"/>
          <w:sz w:val="18"/>
          <w:szCs w:val="18"/>
        </w:rPr>
      </w:pPr>
    </w:p>
    <w:p>
      <w:pPr>
        <w:pStyle w:val="Heading3"/>
        <w:spacing w:line="240" w:lineRule="auto"/>
        <w:ind w:left="823" w:right="3641"/>
        <w:jc w:val="left"/>
        <w:rPr>
          <w:b w:val="0"/>
          <w:bCs w:val="0"/>
        </w:rPr>
      </w:pP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3641"/>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32"/>
          <w:szCs w:val="32"/>
        </w:rPr>
      </w:pPr>
    </w:p>
    <w:p>
      <w:pPr>
        <w:pStyle w:val="BodyText"/>
        <w:spacing w:line="451" w:lineRule="auto"/>
        <w:ind w:left="823" w:right="668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公司报告期未出售重大资产。</w:t>
      </w:r>
    </w:p>
    <w:p>
      <w:pPr>
        <w:spacing w:line="240" w:lineRule="auto" w:before="12"/>
        <w:rPr>
          <w:rFonts w:ascii="宋体" w:hAnsi="宋体" w:cs="宋体" w:eastAsia="宋体" w:hint="default"/>
          <w:sz w:val="20"/>
          <w:szCs w:val="20"/>
        </w:rPr>
      </w:pPr>
    </w:p>
    <w:p>
      <w:pPr>
        <w:pStyle w:val="Heading5"/>
        <w:spacing w:line="240" w:lineRule="auto"/>
        <w:ind w:right="3641"/>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684"/>
        <w:gridCol w:w="684"/>
        <w:gridCol w:w="682"/>
        <w:gridCol w:w="685"/>
        <w:gridCol w:w="670"/>
        <w:gridCol w:w="991"/>
        <w:gridCol w:w="566"/>
        <w:gridCol w:w="711"/>
        <w:gridCol w:w="566"/>
        <w:gridCol w:w="708"/>
        <w:gridCol w:w="708"/>
        <w:gridCol w:w="853"/>
        <w:gridCol w:w="566"/>
        <w:gridCol w:w="566"/>
      </w:tblGrid>
      <w:tr>
        <w:trPr>
          <w:trHeight w:val="3795"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55"/>
              <w:ind w:left="245" w:right="68"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55"/>
              <w:ind w:left="155" w:right="65"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316" w:lineRule="auto"/>
              <w:ind w:left="57" w:right="60"/>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55"/>
              <w:ind w:left="218" w:right="41" w:hanging="180"/>
              <w:jc w:val="left"/>
              <w:rPr>
                <w:rFonts w:ascii="宋体" w:hAnsi="宋体" w:cs="宋体" w:eastAsia="宋体" w:hint="default"/>
                <w:sz w:val="18"/>
                <w:szCs w:val="18"/>
              </w:rPr>
            </w:pPr>
            <w:r>
              <w:rPr>
                <w:rFonts w:ascii="宋体" w:hAnsi="宋体" w:cs="宋体" w:eastAsia="宋体" w:hint="default"/>
                <w:sz w:val="18"/>
                <w:szCs w:val="18"/>
              </w:rPr>
              <w:t>出售对公司 的影响</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5" w:right="98"/>
              <w:jc w:val="both"/>
              <w:rPr>
                <w:rFonts w:ascii="宋体" w:hAnsi="宋体" w:cs="宋体" w:eastAsia="宋体" w:hint="default"/>
                <w:sz w:val="18"/>
                <w:szCs w:val="18"/>
              </w:rPr>
            </w:pPr>
            <w:r>
              <w:rPr>
                <w:rFonts w:ascii="宋体" w:hAnsi="宋体" w:cs="宋体" w:eastAsia="宋体" w:hint="default"/>
                <w:sz w:val="18"/>
                <w:szCs w:val="18"/>
              </w:rPr>
              <w:t>股权 出售 为上 市公 司贡 献的 净利 润占 净利 润总 额的 比例</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316" w:lineRule="auto"/>
              <w:ind w:left="79" w:right="81"/>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316" w:lineRule="auto"/>
              <w:ind w:left="96" w:right="98"/>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316" w:lineRule="auto"/>
              <w:ind w:left="76" w:right="79"/>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58"/>
              <w:ind w:left="76" w:right="79"/>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316" w:lineRule="auto"/>
              <w:ind w:left="59" w:right="62"/>
              <w:jc w:val="center"/>
              <w:rPr>
                <w:rFonts w:ascii="宋体" w:hAnsi="宋体" w:cs="宋体" w:eastAsia="宋体" w:hint="default"/>
                <w:sz w:val="18"/>
                <w:szCs w:val="18"/>
              </w:rPr>
            </w:pPr>
            <w:r>
              <w:rPr>
                <w:rFonts w:ascii="宋体" w:hAnsi="宋体" w:cs="宋体" w:eastAsia="宋体" w:hint="default"/>
                <w:sz w:val="18"/>
                <w:szCs w:val="18"/>
              </w:rPr>
              <w:t>是否按计 划如期实 施，如未 按计划实 施，应当 说明原因 及公司已 采取的措 施</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55"/>
              <w:ind w:left="95" w:right="98"/>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55"/>
              <w:ind w:left="98" w:right="96"/>
              <w:jc w:val="left"/>
              <w:rPr>
                <w:rFonts w:ascii="宋体" w:hAnsi="宋体" w:cs="宋体" w:eastAsia="宋体" w:hint="default"/>
                <w:sz w:val="18"/>
                <w:szCs w:val="18"/>
              </w:rPr>
            </w:pPr>
            <w:r>
              <w:rPr>
                <w:rFonts w:ascii="宋体" w:hAnsi="宋体" w:cs="宋体" w:eastAsia="宋体" w:hint="default"/>
                <w:sz w:val="18"/>
                <w:szCs w:val="18"/>
              </w:rPr>
              <w:t>披露 索引</w:t>
            </w:r>
          </w:p>
        </w:tc>
      </w:tr>
    </w:tbl>
    <w:p>
      <w:pPr>
        <w:spacing w:after="0" w:line="316" w:lineRule="auto"/>
        <w:jc w:val="left"/>
        <w:rPr>
          <w:rFonts w:ascii="宋体" w:hAnsi="宋体" w:cs="宋体" w:eastAsia="宋体" w:hint="default"/>
          <w:sz w:val="18"/>
          <w:szCs w:val="18"/>
        </w:rPr>
        <w:sectPr>
          <w:pgSz w:w="11910" w:h="16840"/>
          <w:pgMar w:header="0" w:footer="959" w:top="1340" w:bottom="1140" w:left="1020" w:right="1020"/>
        </w:sectPr>
      </w:pPr>
    </w:p>
    <w:p>
      <w:pPr>
        <w:spacing w:line="240" w:lineRule="auto" w:before="3"/>
        <w:rPr>
          <w:rFonts w:ascii="宋体" w:hAnsi="宋体" w:cs="宋体" w:eastAsia="宋体" w:hint="default"/>
          <w:b/>
          <w:bCs/>
          <w:sz w:val="6"/>
          <w:szCs w:val="6"/>
        </w:rPr>
      </w:pPr>
    </w:p>
    <w:tbl>
      <w:tblPr>
        <w:tblW w:w="0" w:type="auto"/>
        <w:jc w:val="left"/>
        <w:tblInd w:w="110" w:type="dxa"/>
        <w:tblLayout w:type="fixed"/>
        <w:tblCellMar>
          <w:top w:w="0" w:type="dxa"/>
          <w:left w:w="0" w:type="dxa"/>
          <w:bottom w:w="0" w:type="dxa"/>
          <w:right w:w="0" w:type="dxa"/>
        </w:tblCellMar>
        <w:tblLook w:val="01E0"/>
      </w:tblPr>
      <w:tblGrid>
        <w:gridCol w:w="684"/>
        <w:gridCol w:w="684"/>
        <w:gridCol w:w="682"/>
        <w:gridCol w:w="685"/>
        <w:gridCol w:w="670"/>
        <w:gridCol w:w="991"/>
        <w:gridCol w:w="566"/>
        <w:gridCol w:w="711"/>
        <w:gridCol w:w="566"/>
        <w:gridCol w:w="708"/>
        <w:gridCol w:w="708"/>
        <w:gridCol w:w="853"/>
        <w:gridCol w:w="566"/>
        <w:gridCol w:w="566"/>
      </w:tblGrid>
      <w:tr>
        <w:trPr>
          <w:trHeight w:val="348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61"/>
              <w:ind w:left="64" w:right="68"/>
              <w:jc w:val="center"/>
              <w:rPr>
                <w:rFonts w:ascii="宋体" w:hAnsi="宋体" w:cs="宋体" w:eastAsia="宋体" w:hint="default"/>
                <w:sz w:val="18"/>
                <w:szCs w:val="18"/>
              </w:rPr>
            </w:pPr>
            <w:r>
              <w:rPr>
                <w:rFonts w:ascii="宋体" w:hAnsi="宋体" w:cs="宋体" w:eastAsia="宋体" w:hint="default"/>
                <w:sz w:val="18"/>
                <w:szCs w:val="18"/>
              </w:rPr>
              <w:t>天津君 睿祺股 权投资 合伙企 业（有 限合 伙）</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312" w:lineRule="exact"/>
              <w:ind w:left="67"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北洋出 版传媒 股份有 限公司 </w:t>
            </w:r>
            <w:r>
              <w:rPr>
                <w:rFonts w:ascii="Times New Roman" w:hAnsi="Times New Roman" w:cs="Times New Roman" w:eastAsia="Times New Roman" w:hint="default"/>
                <w:sz w:val="18"/>
                <w:szCs w:val="18"/>
              </w:rPr>
              <w:t>2.22%</w:t>
            </w:r>
          </w:p>
          <w:p>
            <w:pPr>
              <w:pStyle w:val="TableParagraph"/>
              <w:spacing w:line="240" w:lineRule="auto" w:before="39"/>
              <w:ind w:left="67" w:right="0"/>
              <w:jc w:val="both"/>
              <w:rPr>
                <w:rFonts w:ascii="宋体" w:hAnsi="宋体" w:cs="宋体" w:eastAsia="宋体" w:hint="default"/>
                <w:sz w:val="18"/>
                <w:szCs w:val="18"/>
              </w:rPr>
            </w:pPr>
            <w:r>
              <w:rPr>
                <w:rFonts w:ascii="宋体" w:hAnsi="宋体" w:cs="宋体" w:eastAsia="宋体" w:hint="default"/>
                <w:sz w:val="18"/>
                <w:szCs w:val="18"/>
              </w:rPr>
              <w:t>的股权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2015-1-</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9</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1,797.5</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316" w:lineRule="auto"/>
              <w:ind w:left="21" w:right="-49"/>
              <w:jc w:val="left"/>
              <w:rPr>
                <w:rFonts w:ascii="宋体" w:hAnsi="宋体" w:cs="宋体" w:eastAsia="宋体" w:hint="default"/>
                <w:sz w:val="18"/>
                <w:szCs w:val="18"/>
              </w:rPr>
            </w:pPr>
            <w:r>
              <w:rPr>
                <w:rFonts w:ascii="宋体" w:hAnsi="宋体" w:cs="宋体" w:eastAsia="宋体" w:hint="default"/>
                <w:spacing w:val="9"/>
                <w:sz w:val="18"/>
                <w:szCs w:val="18"/>
              </w:rPr>
              <w:t>出售股权对 公司业务连 续性、管理 层稳定性没 有影响，出 售股权增加 公司报告期 </w:t>
            </w:r>
            <w:r>
              <w:rPr>
                <w:rFonts w:ascii="宋体" w:hAnsi="宋体" w:cs="宋体" w:eastAsia="宋体" w:hint="default"/>
                <w:spacing w:val="54"/>
                <w:sz w:val="18"/>
                <w:szCs w:val="18"/>
              </w:rPr>
              <w:t>投资收益</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2,396.78 </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万</w:t>
            </w:r>
          </w:p>
          <w:p>
            <w:pPr>
              <w:pStyle w:val="TableParagraph"/>
              <w:spacing w:line="235" w:lineRule="exact"/>
              <w:ind w:left="2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10.20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9" w:right="81"/>
              <w:jc w:val="both"/>
              <w:rPr>
                <w:rFonts w:ascii="宋体" w:hAnsi="宋体" w:cs="宋体" w:eastAsia="宋体" w:hint="default"/>
                <w:sz w:val="18"/>
                <w:szCs w:val="18"/>
              </w:rPr>
            </w:pPr>
            <w:r>
              <w:rPr>
                <w:rFonts w:ascii="宋体" w:hAnsi="宋体" w:cs="宋体" w:eastAsia="宋体" w:hint="default"/>
                <w:sz w:val="18"/>
                <w:szCs w:val="18"/>
              </w:rPr>
              <w:t>根据经 评估每 股净资 产值评 估结果</w:t>
            </w:r>
          </w:p>
          <w:p>
            <w:pPr>
              <w:pStyle w:val="TableParagraph"/>
              <w:spacing w:line="316" w:lineRule="auto" w:before="19"/>
              <w:ind w:left="79" w:right="81"/>
              <w:jc w:val="both"/>
              <w:rPr>
                <w:rFonts w:ascii="宋体" w:hAnsi="宋体" w:cs="宋体" w:eastAsia="宋体" w:hint="default"/>
                <w:sz w:val="18"/>
                <w:szCs w:val="18"/>
              </w:rPr>
            </w:pPr>
            <w:r>
              <w:rPr>
                <w:rFonts w:ascii="宋体" w:hAnsi="宋体" w:cs="宋体" w:eastAsia="宋体" w:hint="default"/>
                <w:sz w:val="18"/>
                <w:szCs w:val="18"/>
              </w:rPr>
              <w:t>（中联 评报字</w:t>
            </w:r>
          </w:p>
          <w:p>
            <w:pPr>
              <w:pStyle w:val="TableParagraph"/>
              <w:spacing w:line="300" w:lineRule="auto" w:before="19"/>
              <w:ind w:left="103" w:right="-46" w:hanging="8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902</w:t>
            </w:r>
          </w:p>
          <w:p>
            <w:pPr>
              <w:pStyle w:val="TableParagraph"/>
              <w:spacing w:line="316" w:lineRule="auto" w:before="13"/>
              <w:ind w:left="79" w:right="22" w:hanging="56"/>
              <w:jc w:val="both"/>
              <w:rPr>
                <w:rFonts w:ascii="宋体" w:hAnsi="宋体" w:cs="宋体" w:eastAsia="宋体" w:hint="default"/>
                <w:sz w:val="18"/>
                <w:szCs w:val="18"/>
              </w:rPr>
            </w:pPr>
            <w:r>
              <w:rPr>
                <w:rFonts w:ascii="宋体" w:hAnsi="宋体" w:cs="宋体" w:eastAsia="宋体" w:hint="default"/>
                <w:spacing w:val="-17"/>
                <w:sz w:val="18"/>
                <w:szCs w:val="18"/>
              </w:rPr>
              <w:t>号）为计</w:t>
            </w:r>
            <w:r>
              <w:rPr>
                <w:rFonts w:ascii="宋体" w:hAnsi="宋体" w:cs="宋体" w:eastAsia="宋体" w:hint="default"/>
                <w:sz w:val="18"/>
                <w:szCs w:val="18"/>
              </w:rPr>
              <w:t> 价依据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5"/>
              <w:ind w:left="7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5"/>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1-09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362" w:lineRule="auto"/>
              <w:ind w:left="26" w:right="21" w:firstLine="38"/>
              <w:jc w:val="both"/>
              <w:rPr>
                <w:rFonts w:ascii="Times New Roman" w:hAnsi="Times New Roman" w:cs="Times New Roman" w:eastAsia="Times New Roman" w:hint="default"/>
                <w:sz w:val="18"/>
                <w:szCs w:val="18"/>
              </w:rPr>
            </w:pPr>
            <w:r>
              <w:rPr>
                <w:rFonts w:ascii="Times New Roman"/>
                <w:sz w:val="18"/>
              </w:rPr>
              <w:t>http:// </w:t>
            </w:r>
            <w:r>
              <w:rPr>
                <w:rFonts w:ascii="Times New Roman"/>
                <w:spacing w:val="-3"/>
                <w:sz w:val="18"/>
              </w:rPr>
              <w:t>www.c</w:t>
            </w:r>
            <w:r>
              <w:rPr>
                <w:rFonts w:ascii="Times New Roman"/>
                <w:sz w:val="18"/>
              </w:rPr>
              <w:t> ninfo.c om.cn</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3"/>
        <w:spacing w:line="240" w:lineRule="auto" w:before="26"/>
        <w:ind w:left="823" w:right="3641"/>
        <w:jc w:val="left"/>
        <w:rPr>
          <w:b w:val="0"/>
          <w:bCs w:val="0"/>
        </w:rPr>
      </w:pPr>
      <w:r>
        <w:rPr/>
        <w:pict>
          <v:group style="position:absolute;margin-left:276.769989pt;margin-top:-94.508354pt;width:27.85pt;height:70.25pt;mso-position-horizontal-relative:page;mso-position-vertical-relative:paragraph;z-index:-1038832" coordorigin="5535,-1890" coordsize="557,1405">
            <v:shape style="position:absolute;left:5535;top:-1890;width:557;height:1405" coordorigin="5535,-1890" coordsize="557,1405" path="m5535,-486l6092,-486,6092,-1890,5535,-1890,5535,-486xe" filled="true" fillcolor="#ffffff" stroked="false">
              <v:path arrowok="t"/>
              <v:fill type="solid"/>
            </v:shape>
            <w10:wrap type="none"/>
          </v:group>
        </w:pict>
      </w:r>
      <w:r>
        <w:rPr/>
        <w:pict>
          <v:group style="position:absolute;margin-left:340.630005pt;margin-top:-102.30835pt;width:27.85pt;height:78.05pt;mso-position-horizontal-relative:page;mso-position-vertical-relative:paragraph;z-index:-1038808" coordorigin="6813,-2046" coordsize="557,1561">
            <v:shape style="position:absolute;left:6813;top:-2046;width:557;height:1561" coordorigin="6813,-2046" coordsize="557,1561" path="m6813,-486l7369,-486,7369,-2046,6813,-2046,6813,-486xe" filled="true" fillcolor="#ffffff" stroked="false">
              <v:path arrowok="t"/>
              <v:fill type="solid"/>
            </v:shape>
            <w10:wrap type="none"/>
          </v:group>
        </w:pict>
      </w:r>
      <w:r>
        <w:rPr/>
        <w:t>七、主要控股参股公司分析</w:t>
      </w:r>
      <w:r>
        <w:rPr>
          <w:b w:val="0"/>
          <w:bCs w:val="0"/>
        </w:rPr>
      </w:r>
    </w:p>
    <w:p>
      <w:pPr>
        <w:spacing w:line="240" w:lineRule="auto" w:before="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0" w:footer="959" w:top="1340" w:bottom="1140" w:left="1020" w:right="1020"/>
        </w:sectPr>
      </w:pPr>
    </w:p>
    <w:p>
      <w:pPr>
        <w:pStyle w:val="Heading6"/>
        <w:spacing w:line="240" w:lineRule="auto" w:before="36"/>
        <w:ind w:left="823" w:right="-11"/>
        <w:jc w:val="left"/>
      </w:pPr>
      <w:r>
        <w:rPr/>
        <w:t>主要子公司及对公司净利润影响达</w:t>
      </w:r>
      <w:r>
        <w:rPr>
          <w:spacing w:val="-5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pStyle w:val="BodyText"/>
        <w:spacing w:line="240" w:lineRule="auto"/>
        <w:ind w:left="823" w:right="0"/>
        <w:jc w:val="left"/>
      </w:pPr>
      <w:r>
        <w:rPr/>
        <w:t>单位：元</w:t>
      </w:r>
    </w:p>
    <w:p>
      <w:pPr>
        <w:spacing w:after="0" w:line="240" w:lineRule="auto"/>
        <w:jc w:val="left"/>
        <w:sectPr>
          <w:type w:val="continuous"/>
          <w:pgSz w:w="11910" w:h="16840"/>
          <w:pgMar w:top="1580" w:bottom="1140" w:left="1020" w:right="1020"/>
          <w:cols w:num="2" w:equalWidth="0">
            <w:col w:w="6307" w:space="1339"/>
            <w:col w:w="2224"/>
          </w:cols>
        </w:sectPr>
      </w:pPr>
    </w:p>
    <w:p>
      <w:pPr>
        <w:spacing w:line="240" w:lineRule="auto" w:before="4"/>
        <w:rPr>
          <w:rFonts w:ascii="宋体" w:hAnsi="宋体" w:cs="宋体" w:eastAsia="宋体" w:hint="default"/>
          <w:sz w:val="8"/>
          <w:szCs w:val="8"/>
        </w:rPr>
      </w:pPr>
      <w:r>
        <w:rPr/>
        <w:pict>
          <v:shape style="position:absolute;margin-left:170.660004pt;margin-top:617.73999pt;width:102.9pt;height:15.6pt;mso-position-horizontal-relative:page;mso-position-vertical-relative:page;z-index:-1038880" type="#_x0000_t202" filled="false" stroked="false">
            <v:textbox inset="0,0,0,0">
              <w:txbxContent>
                <w:p>
                  <w:pPr>
                    <w:pStyle w:val="BodyText"/>
                    <w:spacing w:line="240" w:lineRule="auto" w:before="8"/>
                    <w:ind w:left="0" w:right="0"/>
                    <w:jc w:val="left"/>
                  </w:pPr>
                  <w:r>
                    <w:rPr/>
                    <w:t>批发、零售：</w:t>
                  </w:r>
                </w:p>
              </w:txbxContent>
            </v:textbox>
            <w10:wrap type="none"/>
          </v:shape>
        </w:pict>
      </w:r>
      <w:r>
        <w:rPr/>
        <w:pict>
          <v:shape style="position:absolute;margin-left:170.660004pt;margin-top:667.059998pt;width:102.9pt;height:27.8pt;mso-position-horizontal-relative:page;mso-position-vertical-relative:page;z-index:-1038856" type="#_x0000_t202" filled="false" stroked="false">
            <v:textbox inset="0,0,0,0">
              <w:txbxContent>
                <w:p>
                  <w:pPr>
                    <w:pStyle w:val="BodyText"/>
                    <w:spacing w:line="240" w:lineRule="auto" w:before="8"/>
                    <w:ind w:left="0" w:right="0"/>
                    <w:jc w:val="left"/>
                  </w:pPr>
                  <w:r>
                    <w:rPr/>
                    <w:t>批发、零售：</w:t>
                  </w:r>
                </w:p>
                <w:p>
                  <w:pPr>
                    <w:pStyle w:val="BodyText"/>
                    <w:spacing w:line="240" w:lineRule="auto" w:before="76"/>
                    <w:ind w:left="0" w:right="0"/>
                    <w:jc w:val="left"/>
                  </w:pPr>
                  <w:r>
                    <w:rPr/>
                    <w:t>图书、报纸、</w:t>
                  </w:r>
                </w:p>
              </w:txbxContent>
            </v:textbox>
            <w10:wrap type="none"/>
          </v:shape>
        </w:pict>
      </w:r>
      <w:r>
        <w:rPr/>
        <w:pict>
          <v:group style="position:absolute;margin-left:221.690002pt;margin-top:469.269989pt;width:50.65pt;height:18.75pt;mso-position-horizontal-relative:page;mso-position-vertical-relative:page;z-index:-1038784" coordorigin="4434,9385" coordsize="1013,375">
            <v:group style="position:absolute;left:4446;top:9397;width:2;height:351" coordorigin="4446,9397" coordsize="2,351">
              <v:shape style="position:absolute;left:4446;top:9397;width:2;height:351" coordorigin="4446,9397" coordsize="0,351" path="m4446,9397l4446,9748e" filled="false" stroked="true" strokeweight="1.2pt" strokecolor="#ffffff">
                <v:path arrowok="t"/>
              </v:shape>
            </v:group>
            <v:group style="position:absolute;left:4458;top:9397;width:989;height:351" coordorigin="4458,9397" coordsize="989,351">
              <v:shape style="position:absolute;left:4458;top:9397;width:989;height:351" coordorigin="4458,9397" coordsize="989,351" path="m4458,9748l5447,9748,5447,9397,4458,9397,4458,9748xe" filled="true" fillcolor="#ffffff" stroked="false">
                <v:path arrowok="t"/>
                <v:fill type="solid"/>
              </v:shape>
            </v:group>
            <w10:wrap type="none"/>
          </v:group>
        </w:pict>
      </w:r>
    </w:p>
    <w:tbl>
      <w:tblPr>
        <w:tblW w:w="0" w:type="auto"/>
        <w:jc w:val="left"/>
        <w:tblInd w:w="110" w:type="dxa"/>
        <w:tblLayout w:type="fixed"/>
        <w:tblCellMar>
          <w:top w:w="0" w:type="dxa"/>
          <w:left w:w="0" w:type="dxa"/>
          <w:bottom w:w="0" w:type="dxa"/>
          <w:right w:w="0" w:type="dxa"/>
        </w:tblCellMar>
        <w:tblLook w:val="01E0"/>
      </w:tblPr>
      <w:tblGrid>
        <w:gridCol w:w="1054"/>
        <w:gridCol w:w="1195"/>
        <w:gridCol w:w="1047"/>
        <w:gridCol w:w="1044"/>
        <w:gridCol w:w="1047"/>
        <w:gridCol w:w="1044"/>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92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2" w:lineRule="auto"/>
              <w:ind w:left="69" w:right="72" w:firstLine="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湖南天舟 华文俪制传 媒有限责任 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7" w:right="68"/>
              <w:jc w:val="center"/>
              <w:rPr>
                <w:rFonts w:ascii="宋体" w:hAnsi="宋体" w:cs="宋体" w:eastAsia="宋体" w:hint="default"/>
                <w:sz w:val="18"/>
                <w:szCs w:val="18"/>
              </w:rPr>
            </w:pPr>
            <w:r>
              <w:rPr>
                <w:rFonts w:ascii="宋体" w:hAnsi="宋体" w:cs="宋体" w:eastAsia="宋体" w:hint="default"/>
                <w:sz w:val="18"/>
                <w:szCs w:val="18"/>
              </w:rPr>
              <w:t>文化活动的 组织与策 划；知识产 权法律服 务；出版物 批发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26,634,063.8</w:t>
            </w:r>
          </w:p>
          <w:p>
            <w:pPr>
              <w:pStyle w:val="TableParagraph"/>
              <w:spacing w:line="240" w:lineRule="auto" w:before="105"/>
              <w:ind w:right="4"/>
              <w:jc w:val="center"/>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21,776,655.7</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11,649,123.7</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-18,600,418.</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-18,435,313.</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82</w:t>
            </w:r>
          </w:p>
        </w:tc>
      </w:tr>
      <w:tr>
        <w:trPr>
          <w:trHeight w:val="98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69" w:right="72" w:firstLine="2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北京北方 天舟文化有 限责任公司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68" w:firstLine="43"/>
              <w:jc w:val="both"/>
              <w:rPr>
                <w:rFonts w:ascii="宋体" w:hAnsi="宋体" w:cs="宋体" w:eastAsia="宋体" w:hint="default"/>
                <w:sz w:val="18"/>
                <w:szCs w:val="18"/>
              </w:rPr>
            </w:pPr>
            <w:r>
              <w:rPr>
                <w:rFonts w:ascii="宋体" w:hAnsi="宋体" w:cs="宋体" w:eastAsia="宋体" w:hint="default"/>
                <w:sz w:val="18"/>
                <w:szCs w:val="18"/>
              </w:rPr>
              <w:t>销售图书、 报纸、期刊 电子出版物</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3" w:right="43"/>
              <w:jc w:val="right"/>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
              <w:jc w:val="center"/>
              <w:rPr>
                <w:rFonts w:ascii="Times New Roman" w:hAnsi="Times New Roman" w:cs="Times New Roman" w:eastAsia="Times New Roman" w:hint="default"/>
                <w:sz w:val="18"/>
                <w:szCs w:val="18"/>
              </w:rPr>
            </w:pPr>
            <w:r>
              <w:rPr>
                <w:rFonts w:ascii="Times New Roman"/>
                <w:sz w:val="18"/>
              </w:rPr>
              <w:t>3,023,390.88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-6,488,016.4</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1,042,438.81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-4,438,995.6</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-4,438,995.6</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r>
      <w:tr>
        <w:trPr>
          <w:trHeight w:val="98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69" w:right="72" w:firstLine="5"/>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怀化天舟 教育有限责 任公司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书报刊批发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3"/>
              <w:jc w:val="right"/>
              <w:rPr>
                <w:rFonts w:ascii="Times New Roman" w:hAnsi="Times New Roman" w:cs="Times New Roman" w:eastAsia="Times New Roman" w:hint="default"/>
                <w:sz w:val="18"/>
                <w:szCs w:val="18"/>
              </w:rPr>
            </w:pPr>
            <w:r>
              <w:rPr>
                <w:rFonts w:ascii="Times New Roman"/>
                <w:spacing w:val="-1"/>
                <w:sz w:val="18"/>
              </w:rPr>
              <w:t>5,000,000.00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19,091,154.3</w:t>
            </w:r>
          </w:p>
          <w:p>
            <w:pPr>
              <w:pStyle w:val="TableParagraph"/>
              <w:spacing w:line="240" w:lineRule="auto" w:before="105"/>
              <w:ind w:right="4"/>
              <w:jc w:val="center"/>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9,592,525.83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27,191,641.0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1,630,301.81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935,981.87</w:t>
            </w:r>
          </w:p>
        </w:tc>
      </w:tr>
      <w:tr>
        <w:trPr>
          <w:trHeight w:val="129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9" w:lineRule="auto"/>
              <w:ind w:left="69" w:right="72" w:firstLine="24"/>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广州天瑞 文化传播有 限责任公司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67" w:right="68"/>
              <w:jc w:val="center"/>
              <w:rPr>
                <w:rFonts w:ascii="宋体" w:hAnsi="宋体" w:cs="宋体" w:eastAsia="宋体" w:hint="default"/>
                <w:sz w:val="18"/>
                <w:szCs w:val="18"/>
              </w:rPr>
            </w:pPr>
            <w:r>
              <w:rPr>
                <w:rFonts w:ascii="宋体" w:hAnsi="宋体" w:cs="宋体" w:eastAsia="宋体" w:hint="default"/>
                <w:sz w:val="18"/>
                <w:szCs w:val="18"/>
              </w:rPr>
              <w:t>图书批发； 报刊批发； 图书、报刊 零售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1"/>
                <w:sz w:val="18"/>
              </w:rPr>
              <w:t>3,000,000.00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7,667,192.82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3,967,501.53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5,838,017.24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605,947.63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443,727.55</w:t>
            </w:r>
          </w:p>
        </w:tc>
      </w:tr>
      <w:tr>
        <w:trPr>
          <w:trHeight w:val="98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69" w:right="72" w:firstLine="5"/>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浙江天舟 图书有限责 任公司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67" w:right="68"/>
              <w:jc w:val="left"/>
              <w:rPr>
                <w:rFonts w:ascii="宋体" w:hAnsi="宋体" w:cs="宋体" w:eastAsia="宋体" w:hint="default"/>
                <w:sz w:val="18"/>
                <w:szCs w:val="18"/>
              </w:rPr>
            </w:pPr>
            <w:r>
              <w:rPr>
                <w:rFonts w:ascii="宋体" w:hAnsi="宋体" w:cs="宋体" w:eastAsia="宋体" w:hint="default"/>
                <w:sz w:val="18"/>
                <w:szCs w:val="18"/>
              </w:rPr>
              <w:t>图书报刊、 电子出版物</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3"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51.85pt;height:15.6pt;mso-position-horizontal-relative:char;mso-position-vertical-relative:line" coordorigin="0,0" coordsize="1037,312">
                  <v:group style="position:absolute;left:0;top:0;width:1037;height:312" coordorigin="0,0" coordsize="1037,312">
                    <v:shape style="position:absolute;left:0;top:0;width:1037;height:312" coordorigin="0,0" coordsize="1037,312" path="m0,312l1037,312,103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0"/>
              <w:ind w:right="43"/>
              <w:jc w:val="right"/>
              <w:rPr>
                <w:rFonts w:ascii="Times New Roman" w:hAnsi="Times New Roman" w:cs="Times New Roman" w:eastAsia="Times New Roman" w:hint="default"/>
                <w:sz w:val="18"/>
                <w:szCs w:val="18"/>
              </w:rPr>
            </w:pPr>
            <w:r>
              <w:rPr>
                <w:rFonts w:ascii="Times New Roman"/>
                <w:spacing w:val="-1"/>
                <w:sz w:val="18"/>
              </w:rPr>
              <w:t>5,000,000.00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2,029,511.07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2,029,511.07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2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9" w:lineRule="auto"/>
              <w:ind w:left="69" w:right="72" w:firstLine="5"/>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北京永载 文化有限责 任公司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247" w:right="68" w:hanging="180"/>
              <w:jc w:val="left"/>
              <w:rPr>
                <w:rFonts w:ascii="宋体" w:hAnsi="宋体" w:cs="宋体" w:eastAsia="宋体" w:hint="default"/>
                <w:sz w:val="18"/>
                <w:szCs w:val="18"/>
              </w:rPr>
            </w:pPr>
            <w:r>
              <w:rPr>
                <w:rFonts w:ascii="宋体" w:hAnsi="宋体" w:cs="宋体" w:eastAsia="宋体" w:hint="default"/>
                <w:sz w:val="18"/>
                <w:szCs w:val="18"/>
              </w:rPr>
              <w:t>期刊、电子 出版物</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left="-3"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1.85pt;height:23.4pt;mso-position-horizontal-relative:char;mso-position-vertical-relative:line" coordorigin="0,0" coordsize="1037,468">
                  <v:group style="position:absolute;left:0;top:0;width:1037;height:468" coordorigin="0,0" coordsize="1037,468">
                    <v:shape style="position:absolute;left:0;top:0;width:1037;height:468" coordorigin="0,0" coordsize="1037,468" path="m0,468l1037,468,1037,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0"/>
              <w:ind w:right="43"/>
              <w:jc w:val="right"/>
              <w:rPr>
                <w:rFonts w:ascii="Times New Roman" w:hAnsi="Times New Roman" w:cs="Times New Roman" w:eastAsia="Times New Roman" w:hint="default"/>
                <w:sz w:val="18"/>
                <w:szCs w:val="18"/>
              </w:rPr>
            </w:pPr>
            <w:r>
              <w:rPr>
                <w:rFonts w:ascii="Times New Roman"/>
                <w:spacing w:val="-1"/>
                <w:sz w:val="18"/>
              </w:rPr>
              <w:t>5,000,000.00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
              <w:jc w:val="center"/>
              <w:rPr>
                <w:rFonts w:ascii="Times New Roman" w:hAnsi="Times New Roman" w:cs="Times New Roman" w:eastAsia="Times New Roman" w:hint="default"/>
                <w:sz w:val="18"/>
                <w:szCs w:val="18"/>
              </w:rPr>
            </w:pPr>
            <w:r>
              <w:rPr>
                <w:rFonts w:ascii="Times New Roman"/>
                <w:sz w:val="18"/>
              </w:rPr>
              <w:t>44,250,484.2</w:t>
            </w:r>
          </w:p>
          <w:p>
            <w:pPr>
              <w:pStyle w:val="TableParagraph"/>
              <w:spacing w:line="240" w:lineRule="auto" w:before="105"/>
              <w:ind w:right="4"/>
              <w:jc w:val="center"/>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16,551,681.5</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55,264,436.9</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1,764,042.31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1,228,501.29</w:t>
            </w:r>
          </w:p>
        </w:tc>
      </w:tr>
      <w:tr>
        <w:trPr>
          <w:trHeight w:val="67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7"/>
              <w:ind w:left="69" w:right="72" w:firstLine="24"/>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北京神奇 时代网络有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7"/>
              <w:ind w:left="67" w:right="68"/>
              <w:jc w:val="left"/>
              <w:rPr>
                <w:rFonts w:ascii="宋体" w:hAnsi="宋体" w:cs="宋体" w:eastAsia="宋体" w:hint="default"/>
                <w:sz w:val="18"/>
                <w:szCs w:val="18"/>
              </w:rPr>
            </w:pPr>
            <w:r>
              <w:rPr>
                <w:rFonts w:ascii="宋体" w:hAnsi="宋体" w:cs="宋体" w:eastAsia="宋体" w:hint="default"/>
                <w:sz w:val="18"/>
                <w:szCs w:val="18"/>
              </w:rPr>
              <w:t>互联网信息 服务；利用</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395,673,680.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381,679,485.</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251,164,979.</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176,237,613.</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153,627,194.</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67</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580" w:bottom="1140" w:left="1020" w:right="1020"/>
        </w:sectPr>
      </w:pPr>
    </w:p>
    <w:p>
      <w:pPr>
        <w:spacing w:line="240" w:lineRule="auto" w:before="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054"/>
        <w:gridCol w:w="1195"/>
        <w:gridCol w:w="1047"/>
        <w:gridCol w:w="1044"/>
        <w:gridCol w:w="1047"/>
        <w:gridCol w:w="1044"/>
        <w:gridCol w:w="1046"/>
        <w:gridCol w:w="1045"/>
        <w:gridCol w:w="1046"/>
      </w:tblGrid>
      <w:tr>
        <w:trPr>
          <w:trHeight w:val="161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7" w:right="68"/>
              <w:jc w:val="center"/>
              <w:rPr>
                <w:rFonts w:ascii="宋体" w:hAnsi="宋体" w:cs="宋体" w:eastAsia="宋体" w:hint="default"/>
                <w:sz w:val="18"/>
                <w:szCs w:val="18"/>
              </w:rPr>
            </w:pPr>
            <w:r>
              <w:rPr>
                <w:rFonts w:ascii="宋体" w:hAnsi="宋体" w:cs="宋体" w:eastAsia="宋体" w:hint="default"/>
                <w:sz w:val="18"/>
                <w:szCs w:val="18"/>
              </w:rPr>
              <w:t>信息网经营 游戏产品； 互联网游 戏、手机游 戏出版</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6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122" w:right="123"/>
              <w:jc w:val="center"/>
              <w:rPr>
                <w:rFonts w:ascii="Times New Roman" w:hAnsi="Times New Roman" w:cs="Times New Roman" w:eastAsia="Times New Roman" w:hint="default"/>
                <w:sz w:val="18"/>
                <w:szCs w:val="18"/>
              </w:rPr>
            </w:pPr>
            <w:r>
              <w:rPr>
                <w:rFonts w:ascii="Times New Roman"/>
                <w:sz w:val="18"/>
              </w:rPr>
              <w:t>8.Appnode </w:t>
            </w:r>
            <w:r>
              <w:rPr>
                <w:rFonts w:ascii="Times New Roman"/>
                <w:spacing w:val="-3"/>
                <w:sz w:val="18"/>
              </w:rPr>
              <w:t>Tangle</w:t>
            </w:r>
            <w:r>
              <w:rPr>
                <w:rFonts w:ascii="Times New Roman"/>
                <w:sz w:val="18"/>
              </w:rPr>
              <w:t> Company Limited</w:t>
            </w:r>
          </w:p>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8" w:right="68" w:hanging="92"/>
              <w:jc w:val="left"/>
              <w:rPr>
                <w:rFonts w:ascii="宋体" w:hAnsi="宋体" w:cs="宋体" w:eastAsia="宋体" w:hint="default"/>
                <w:sz w:val="18"/>
                <w:szCs w:val="18"/>
              </w:rPr>
            </w:pPr>
            <w:r>
              <w:rPr>
                <w:rFonts w:ascii="宋体" w:hAnsi="宋体" w:cs="宋体" w:eastAsia="宋体" w:hint="default"/>
                <w:sz w:val="18"/>
                <w:szCs w:val="18"/>
              </w:rPr>
              <w:t>投资管理和 国际贸易</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53" w:right="0"/>
              <w:jc w:val="left"/>
              <w:rPr>
                <w:rFonts w:ascii="Times New Roman" w:hAnsi="Times New Roman" w:cs="Times New Roman" w:eastAsia="Times New Roman" w:hint="default"/>
                <w:sz w:val="18"/>
                <w:szCs w:val="18"/>
              </w:rPr>
            </w:pPr>
            <w:r>
              <w:rPr>
                <w:rFonts w:ascii="Times New Roman"/>
                <w:sz w:val="18"/>
              </w:rPr>
              <w:t>15,800.03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43" w:right="0"/>
              <w:jc w:val="left"/>
              <w:rPr>
                <w:rFonts w:ascii="Times New Roman" w:hAnsi="Times New Roman" w:cs="Times New Roman" w:eastAsia="Times New Roman" w:hint="default"/>
                <w:sz w:val="18"/>
                <w:szCs w:val="18"/>
              </w:rPr>
            </w:pPr>
            <w:r>
              <w:rPr>
                <w:rFonts w:ascii="Times New Roman"/>
                <w:sz w:val="18"/>
              </w:rPr>
              <w:t>7,374,192.71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66" w:right="0"/>
              <w:jc w:val="left"/>
              <w:rPr>
                <w:rFonts w:ascii="Times New Roman" w:hAnsi="Times New Roman" w:cs="Times New Roman" w:eastAsia="Times New Roman" w:hint="default"/>
                <w:sz w:val="18"/>
                <w:szCs w:val="18"/>
              </w:rPr>
            </w:pPr>
            <w:r>
              <w:rPr>
                <w:rFonts w:ascii="Times New Roman"/>
                <w:sz w:val="18"/>
              </w:rPr>
              <w:t>557.21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70" w:right="0"/>
              <w:jc w:val="left"/>
              <w:rPr>
                <w:rFonts w:ascii="Times New Roman" w:hAnsi="Times New Roman" w:cs="Times New Roman" w:eastAsia="Times New Roman" w:hint="default"/>
                <w:sz w:val="18"/>
                <w:szCs w:val="18"/>
              </w:rPr>
            </w:pPr>
            <w:r>
              <w:rPr>
                <w:rFonts w:ascii="Times New Roman"/>
                <w:sz w:val="18"/>
              </w:rPr>
              <w:t>-7,270.17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72" w:right="0"/>
              <w:jc w:val="left"/>
              <w:rPr>
                <w:rFonts w:ascii="Times New Roman" w:hAnsi="Times New Roman" w:cs="Times New Roman" w:eastAsia="Times New Roman" w:hint="default"/>
                <w:sz w:val="18"/>
                <w:szCs w:val="18"/>
              </w:rPr>
            </w:pPr>
            <w:r>
              <w:rPr>
                <w:rFonts w:ascii="Times New Roman"/>
                <w:sz w:val="18"/>
              </w:rPr>
              <w:t>-7,270.17</w:t>
            </w:r>
          </w:p>
        </w:tc>
      </w:tr>
    </w:tbl>
    <w:p>
      <w:pPr>
        <w:pStyle w:val="BodyText"/>
        <w:spacing w:line="300" w:lineRule="auto" w:before="8"/>
        <w:ind w:left="823" w:right="642" w:firstLine="359"/>
        <w:jc w:val="left"/>
      </w:pPr>
      <w:r>
        <w:rPr/>
        <w:t>（</w:t>
      </w:r>
      <w:r>
        <w:rPr>
          <w:rFonts w:ascii="Times New Roman" w:hAnsi="Times New Roman" w:cs="Times New Roman" w:eastAsia="Times New Roman" w:hint="default"/>
        </w:rPr>
        <w:t>1</w:t>
      </w:r>
      <w:r>
        <w:rPr/>
        <w:t>）子公司华文俪制报告期净利润亏损</w:t>
      </w:r>
      <w:r>
        <w:rPr>
          <w:spacing w:val="-47"/>
        </w:rPr>
        <w:t> </w:t>
      </w:r>
      <w:r>
        <w:rPr>
          <w:rFonts w:ascii="Times New Roman" w:hAnsi="Times New Roman" w:cs="Times New Roman" w:eastAsia="Times New Roman" w:hint="default"/>
        </w:rPr>
        <w:t>1843.53</w:t>
      </w:r>
      <w:r>
        <w:rPr>
          <w:rFonts w:ascii="Times New Roman" w:hAnsi="Times New Roman" w:cs="Times New Roman" w:eastAsia="Times New Roman" w:hint="default"/>
          <w:spacing w:val="-1"/>
        </w:rPr>
        <w:t> </w:t>
      </w:r>
      <w:r>
        <w:rPr/>
        <w:t>万元，较上年同期亏损加大，主要是受数字出版及新 媒体图书市场的影响，报告期销售收入较上年同期下降</w:t>
      </w:r>
      <w:r>
        <w:rPr>
          <w:spacing w:val="-44"/>
        </w:rPr>
        <w:t> </w:t>
      </w:r>
      <w:r>
        <w:rPr>
          <w:rFonts w:ascii="Times New Roman" w:hAnsi="Times New Roman" w:cs="Times New Roman" w:eastAsia="Times New Roman" w:hint="default"/>
        </w:rPr>
        <w:t>54.65%</w:t>
      </w:r>
      <w:r>
        <w:rPr/>
        <w:t>，计提的资产减值损失较上年同期增加。</w:t>
      </w:r>
    </w:p>
    <w:p>
      <w:pPr>
        <w:pStyle w:val="BodyText"/>
        <w:spacing w:line="300" w:lineRule="auto" w:before="51"/>
        <w:ind w:left="823" w:right="598" w:firstLine="359"/>
        <w:jc w:val="left"/>
      </w:pPr>
      <w:r>
        <w:rPr/>
        <w:t>（</w:t>
      </w:r>
      <w:r>
        <w:rPr>
          <w:rFonts w:ascii="Times New Roman" w:hAnsi="Times New Roman" w:cs="Times New Roman" w:eastAsia="Times New Roman" w:hint="default"/>
        </w:rPr>
        <w:t>2</w:t>
      </w:r>
      <w:r>
        <w:rPr/>
        <w:t>）子公司北方天舟报告期净利润亏损</w:t>
      </w:r>
      <w:r>
        <w:rPr>
          <w:spacing w:val="-70"/>
        </w:rPr>
        <w:t> </w:t>
      </w:r>
      <w:r>
        <w:rPr>
          <w:rFonts w:ascii="Times New Roman" w:hAnsi="Times New Roman" w:cs="Times New Roman" w:eastAsia="Times New Roman" w:hint="default"/>
        </w:rPr>
        <w:t>443.90</w:t>
      </w:r>
      <w:r>
        <w:rPr>
          <w:rFonts w:ascii="Times New Roman" w:hAnsi="Times New Roman" w:cs="Times New Roman" w:eastAsia="Times New Roman" w:hint="default"/>
          <w:spacing w:val="-24"/>
        </w:rPr>
        <w:t> </w:t>
      </w:r>
      <w:r>
        <w:rPr/>
        <w:t>万元，较上年同期亏损增加，主要是公司前期开发的红 魔产品、保罗产品滞销，计提的资产减值损失较上年同期增加。</w:t>
      </w:r>
    </w:p>
    <w:p>
      <w:pPr>
        <w:pStyle w:val="BodyText"/>
        <w:spacing w:line="240" w:lineRule="auto" w:before="72"/>
        <w:ind w:left="1183" w:right="516"/>
        <w:jc w:val="left"/>
      </w:pPr>
      <w:r>
        <w:rPr/>
        <w:t>（</w:t>
      </w:r>
      <w:r>
        <w:rPr>
          <w:rFonts w:ascii="Times New Roman" w:hAnsi="Times New Roman" w:cs="Times New Roman" w:eastAsia="Times New Roman" w:hint="default"/>
        </w:rPr>
        <w:t>3</w:t>
      </w:r>
      <w:r>
        <w:rPr/>
        <w:t>）子公司怀化天舟报告期净利润</w:t>
      </w:r>
      <w:r>
        <w:rPr>
          <w:spacing w:val="-56"/>
        </w:rPr>
        <w:t> </w:t>
      </w:r>
      <w:r>
        <w:rPr>
          <w:rFonts w:ascii="Times New Roman" w:hAnsi="Times New Roman" w:cs="Times New Roman" w:eastAsia="Times New Roman" w:hint="default"/>
        </w:rPr>
        <w:t>93.60</w:t>
      </w:r>
      <w:r>
        <w:rPr>
          <w:rFonts w:ascii="Times New Roman" w:hAnsi="Times New Roman" w:cs="Times New Roman" w:eastAsia="Times New Roman" w:hint="default"/>
          <w:spacing w:val="-10"/>
        </w:rPr>
        <w:t> </w:t>
      </w:r>
      <w:r>
        <w:rPr>
          <w:spacing w:val="-3"/>
        </w:rPr>
        <w:t>万元，较上年同期</w:t>
      </w:r>
      <w:r>
        <w:rPr>
          <w:spacing w:val="-58"/>
        </w:rPr>
        <w:t> </w:t>
      </w:r>
      <w:r>
        <w:rPr>
          <w:rFonts w:ascii="Times New Roman" w:hAnsi="Times New Roman" w:cs="Times New Roman" w:eastAsia="Times New Roman" w:hint="default"/>
        </w:rPr>
        <w:t>137.22</w:t>
      </w:r>
      <w:r>
        <w:rPr>
          <w:rFonts w:ascii="Times New Roman" w:hAnsi="Times New Roman" w:cs="Times New Roman" w:eastAsia="Times New Roman" w:hint="default"/>
          <w:spacing w:val="-10"/>
        </w:rPr>
        <w:t> </w:t>
      </w:r>
      <w:r>
        <w:rPr/>
        <w:t>万元下降</w:t>
      </w:r>
      <w:r>
        <w:rPr>
          <w:spacing w:val="-57"/>
        </w:rPr>
        <w:t> </w:t>
      </w:r>
      <w:r>
        <w:rPr>
          <w:rFonts w:ascii="Times New Roman" w:hAnsi="Times New Roman" w:cs="Times New Roman" w:eastAsia="Times New Roman" w:hint="default"/>
        </w:rPr>
        <w:t>31.79%</w:t>
      </w:r>
      <w:r>
        <w:rPr/>
        <w:t>，主要是上年同期</w:t>
      </w:r>
    </w:p>
    <w:p>
      <w:pPr>
        <w:pStyle w:val="BodyText"/>
        <w:spacing w:line="240" w:lineRule="auto" w:before="63"/>
        <w:ind w:left="823" w:right="0"/>
        <w:jc w:val="both"/>
      </w:pPr>
      <w:r>
        <w:rPr/>
        <w:t>收到增值税退税</w:t>
      </w:r>
      <w:r>
        <w:rPr>
          <w:spacing w:val="-47"/>
        </w:rPr>
        <w:t> </w:t>
      </w:r>
      <w:r>
        <w:rPr>
          <w:rFonts w:ascii="宋体" w:hAnsi="宋体" w:cs="宋体" w:eastAsia="宋体" w:hint="default"/>
        </w:rPr>
        <w:t>112.12</w:t>
      </w:r>
      <w:r>
        <w:rPr>
          <w:rFonts w:ascii="宋体" w:hAnsi="宋体" w:cs="宋体" w:eastAsia="宋体" w:hint="default"/>
          <w:spacing w:val="-46"/>
        </w:rPr>
        <w:t> </w:t>
      </w:r>
      <w:r>
        <w:rPr/>
        <w:t>万元，报告期受一教一辅新政影响销售收入较上年同期略有下降。</w:t>
      </w:r>
    </w:p>
    <w:p>
      <w:pPr>
        <w:pStyle w:val="BodyText"/>
        <w:spacing w:line="240" w:lineRule="auto" w:before="117"/>
        <w:ind w:left="1183" w:right="598"/>
        <w:jc w:val="left"/>
      </w:pPr>
      <w:r>
        <w:rPr/>
        <w:t>（</w:t>
      </w:r>
      <w:r>
        <w:rPr>
          <w:rFonts w:ascii="Times New Roman" w:hAnsi="Times New Roman" w:cs="Times New Roman" w:eastAsia="Times New Roman" w:hint="default"/>
        </w:rPr>
        <w:t>4</w:t>
      </w:r>
      <w:r>
        <w:rPr/>
        <w:t>）子公司广州天瑞报告期净利润</w:t>
      </w:r>
      <w:r>
        <w:rPr>
          <w:spacing w:val="-45"/>
        </w:rPr>
        <w:t> </w:t>
      </w:r>
      <w:r>
        <w:rPr>
          <w:rFonts w:ascii="Times New Roman" w:hAnsi="Times New Roman" w:cs="Times New Roman" w:eastAsia="Times New Roman" w:hint="default"/>
        </w:rPr>
        <w:t>44.37 </w:t>
      </w:r>
      <w:r>
        <w:rPr/>
        <w:t>万元，较上年同期</w:t>
      </w:r>
      <w:r>
        <w:rPr>
          <w:spacing w:val="-45"/>
        </w:rPr>
        <w:t> </w:t>
      </w:r>
      <w:r>
        <w:rPr>
          <w:rFonts w:ascii="Times New Roman" w:hAnsi="Times New Roman" w:cs="Times New Roman" w:eastAsia="Times New Roman" w:hint="default"/>
        </w:rPr>
        <w:t>40.65 </w:t>
      </w:r>
      <w:r>
        <w:rPr/>
        <w:t>万元增长</w:t>
      </w:r>
      <w:r>
        <w:rPr>
          <w:spacing w:val="-48"/>
        </w:rPr>
        <w:t> </w:t>
      </w:r>
      <w:r>
        <w:rPr>
          <w:rFonts w:ascii="Times New Roman" w:hAnsi="Times New Roman" w:cs="Times New Roman" w:eastAsia="Times New Roman" w:hint="default"/>
        </w:rPr>
        <w:t>9.17%</w:t>
      </w:r>
      <w:r>
        <w:rPr/>
        <w:t>。</w:t>
      </w:r>
    </w:p>
    <w:p>
      <w:pPr>
        <w:pStyle w:val="BodyText"/>
        <w:spacing w:line="240" w:lineRule="auto" w:before="101"/>
        <w:ind w:left="1183" w:right="598"/>
        <w:jc w:val="left"/>
      </w:pPr>
      <w:r>
        <w:rPr/>
        <w:t>（</w:t>
      </w:r>
      <w:r>
        <w:rPr>
          <w:rFonts w:ascii="Times New Roman" w:hAnsi="Times New Roman" w:cs="Times New Roman" w:eastAsia="Times New Roman" w:hint="default"/>
        </w:rPr>
        <w:t>5</w:t>
      </w:r>
      <w:r>
        <w:rPr/>
        <w:t>）子公司浙江天舟处于注销期间，无实际业务及各项费用的发生。</w:t>
      </w:r>
    </w:p>
    <w:p>
      <w:pPr>
        <w:pStyle w:val="BodyText"/>
        <w:spacing w:line="240" w:lineRule="auto" w:before="103"/>
        <w:ind w:left="1183" w:right="598"/>
        <w:jc w:val="left"/>
      </w:pPr>
      <w:r>
        <w:rPr/>
        <w:t>（</w:t>
      </w:r>
      <w:r>
        <w:rPr>
          <w:rFonts w:ascii="Times New Roman" w:hAnsi="Times New Roman" w:cs="Times New Roman" w:eastAsia="Times New Roman" w:hint="default"/>
        </w:rPr>
        <w:t>6</w:t>
      </w:r>
      <w:r>
        <w:rPr/>
        <w:t>）子公司北京永载报告期净利润</w:t>
      </w:r>
      <w:r>
        <w:rPr>
          <w:spacing w:val="-45"/>
        </w:rPr>
        <w:t> </w:t>
      </w:r>
      <w:r>
        <w:rPr>
          <w:rFonts w:ascii="Times New Roman" w:hAnsi="Times New Roman" w:cs="Times New Roman" w:eastAsia="Times New Roman" w:hint="default"/>
        </w:rPr>
        <w:t>122.85 </w:t>
      </w:r>
      <w:r>
        <w:rPr/>
        <w:t>万元，较上年同期</w:t>
      </w:r>
      <w:r>
        <w:rPr>
          <w:spacing w:val="-48"/>
        </w:rPr>
        <w:t> </w:t>
      </w:r>
      <w:r>
        <w:rPr>
          <w:rFonts w:ascii="Times New Roman" w:hAnsi="Times New Roman" w:cs="Times New Roman" w:eastAsia="Times New Roman" w:hint="default"/>
        </w:rPr>
        <w:t>126.96</w:t>
      </w:r>
      <w:r>
        <w:rPr>
          <w:rFonts w:ascii="Times New Roman" w:hAnsi="Times New Roman" w:cs="Times New Roman" w:eastAsia="Times New Roman" w:hint="default"/>
          <w:spacing w:val="1"/>
        </w:rPr>
        <w:t> </w:t>
      </w:r>
      <w:r>
        <w:rPr/>
        <w:t>万元下降</w:t>
      </w:r>
      <w:r>
        <w:rPr>
          <w:spacing w:val="-48"/>
        </w:rPr>
        <w:t> </w:t>
      </w:r>
      <w:r>
        <w:rPr>
          <w:rFonts w:ascii="Times New Roman" w:hAnsi="Times New Roman" w:cs="Times New Roman" w:eastAsia="Times New Roman" w:hint="default"/>
        </w:rPr>
        <w:t>3.24%</w:t>
      </w:r>
      <w:r>
        <w:rPr/>
        <w:t>。</w:t>
      </w:r>
    </w:p>
    <w:p>
      <w:pPr>
        <w:pStyle w:val="BodyText"/>
        <w:spacing w:line="300" w:lineRule="auto" w:before="103"/>
        <w:ind w:left="823" w:right="516" w:firstLine="359"/>
        <w:jc w:val="left"/>
      </w:pPr>
      <w:r>
        <w:rPr/>
        <w:t>（</w:t>
      </w:r>
      <w:r>
        <w:rPr>
          <w:rFonts w:ascii="Times New Roman" w:hAnsi="Times New Roman" w:cs="Times New Roman" w:eastAsia="Times New Roman" w:hint="default"/>
        </w:rPr>
        <w:t>7</w:t>
      </w:r>
      <w:r>
        <w:rPr/>
        <w:t>）子公司神奇时代报告期合并净利润</w:t>
      </w:r>
      <w:r>
        <w:rPr>
          <w:spacing w:val="-51"/>
        </w:rPr>
        <w:t> </w:t>
      </w:r>
      <w:r>
        <w:rPr>
          <w:rFonts w:ascii="Times New Roman" w:hAnsi="Times New Roman" w:cs="Times New Roman" w:eastAsia="Times New Roman" w:hint="default"/>
        </w:rPr>
        <w:t>15,362.72</w:t>
      </w:r>
      <w:r>
        <w:rPr>
          <w:rFonts w:ascii="Times New Roman" w:hAnsi="Times New Roman" w:cs="Times New Roman" w:eastAsia="Times New Roman" w:hint="default"/>
          <w:spacing w:val="-5"/>
        </w:rPr>
        <w:t> </w:t>
      </w:r>
      <w:r>
        <w:rPr>
          <w:spacing w:val="-4"/>
        </w:rPr>
        <w:t>万元，较上年合并净利润</w:t>
      </w:r>
      <w:r>
        <w:rPr>
          <w:spacing w:val="-51"/>
        </w:rPr>
        <w:t> </w:t>
      </w:r>
      <w:r>
        <w:rPr>
          <w:rFonts w:ascii="Times New Roman" w:hAnsi="Times New Roman" w:cs="Times New Roman" w:eastAsia="Times New Roman" w:hint="default"/>
        </w:rPr>
        <w:t>9,808.98</w:t>
      </w:r>
      <w:r>
        <w:rPr>
          <w:rFonts w:ascii="Times New Roman" w:hAnsi="Times New Roman" w:cs="Times New Roman" w:eastAsia="Times New Roman" w:hint="default"/>
          <w:spacing w:val="-5"/>
        </w:rPr>
        <w:t> </w:t>
      </w:r>
      <w:r>
        <w:rPr/>
        <w:t>万元增加</w:t>
      </w:r>
      <w:r>
        <w:rPr>
          <w:spacing w:val="-51"/>
        </w:rPr>
        <w:t> </w:t>
      </w:r>
      <w:r>
        <w:rPr>
          <w:rFonts w:ascii="Times New Roman" w:hAnsi="Times New Roman" w:cs="Times New Roman" w:eastAsia="Times New Roman" w:hint="default"/>
        </w:rPr>
        <w:t>56.62%</w:t>
      </w:r>
      <w:r>
        <w:rPr/>
        <w:t>， 主要是合并期移动网游戏业务收入较上年增加</w:t>
      </w:r>
      <w:r>
        <w:rPr>
          <w:spacing w:val="-44"/>
        </w:rPr>
        <w:t> </w:t>
      </w:r>
      <w:r>
        <w:rPr>
          <w:rFonts w:ascii="Times New Roman" w:hAnsi="Times New Roman" w:cs="Times New Roman" w:eastAsia="Times New Roman" w:hint="default"/>
        </w:rPr>
        <w:t>60.29%</w:t>
      </w:r>
      <w:r>
        <w:rPr/>
        <w:t>。</w:t>
      </w:r>
    </w:p>
    <w:p>
      <w:pPr>
        <w:pStyle w:val="BodyText"/>
        <w:spacing w:line="300" w:lineRule="auto" w:before="51"/>
        <w:ind w:left="823" w:right="613" w:firstLine="359"/>
        <w:jc w:val="left"/>
      </w:pPr>
      <w:r>
        <w:rPr/>
        <w:t>（</w:t>
      </w:r>
      <w:r>
        <w:rPr>
          <w:rFonts w:ascii="Times New Roman" w:hAnsi="Times New Roman" w:cs="Times New Roman" w:eastAsia="Times New Roman" w:hint="default"/>
        </w:rPr>
        <w:t>8</w:t>
      </w:r>
      <w:r>
        <w:rPr/>
        <w:t>）子公司</w:t>
      </w:r>
      <w:r>
        <w:rPr>
          <w:spacing w:val="-50"/>
        </w:rPr>
        <w:t> </w:t>
      </w:r>
      <w:r>
        <w:rPr>
          <w:rFonts w:ascii="Times New Roman" w:hAnsi="Times New Roman" w:cs="Times New Roman" w:eastAsia="Times New Roman" w:hint="default"/>
        </w:rPr>
        <w:t>Appnode</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3"/>
        </w:rPr>
        <w:t>Tangle</w:t>
      </w:r>
      <w:r>
        <w:rPr>
          <w:rFonts w:ascii="Times New Roman" w:hAnsi="Times New Roman" w:cs="Times New Roman" w:eastAsia="Times New Roman" w:hint="default"/>
          <w:spacing w:val="-5"/>
        </w:rPr>
        <w:t> </w:t>
      </w:r>
      <w:r>
        <w:rPr>
          <w:rFonts w:ascii="Times New Roman" w:hAnsi="Times New Roman" w:cs="Times New Roman" w:eastAsia="Times New Roman" w:hint="default"/>
        </w:rPr>
        <w:t>Company</w:t>
      </w:r>
      <w:r>
        <w:rPr>
          <w:rFonts w:ascii="Times New Roman" w:hAnsi="Times New Roman" w:cs="Times New Roman" w:eastAsia="Times New Roman" w:hint="default"/>
          <w:spacing w:val="-9"/>
        </w:rPr>
        <w:t> </w:t>
      </w:r>
      <w:r>
        <w:rPr>
          <w:rFonts w:ascii="Times New Roman" w:hAnsi="Times New Roman" w:cs="Times New Roman" w:eastAsia="Times New Roman" w:hint="default"/>
        </w:rPr>
        <w:t>Limited</w:t>
      </w:r>
      <w:r>
        <w:rPr/>
        <w:t>（</w:t>
      </w:r>
      <w:r>
        <w:rPr>
          <w:rFonts w:ascii="Times New Roman" w:hAnsi="Times New Roman" w:cs="Times New Roman" w:eastAsia="Times New Roman" w:hint="default"/>
        </w:rPr>
        <w:t>HK</w:t>
      </w:r>
      <w:r>
        <w:rPr/>
        <w:t>）报告期净利润亏损</w:t>
      </w:r>
      <w:r>
        <w:rPr>
          <w:spacing w:val="-50"/>
        </w:rPr>
        <w:t> </w:t>
      </w:r>
      <w:r>
        <w:rPr>
          <w:rFonts w:ascii="Times New Roman" w:hAnsi="Times New Roman" w:cs="Times New Roman" w:eastAsia="Times New Roman" w:hint="default"/>
        </w:rPr>
        <w:t>0.73</w:t>
      </w:r>
      <w:r>
        <w:rPr>
          <w:rFonts w:ascii="Times New Roman" w:hAnsi="Times New Roman" w:cs="Times New Roman" w:eastAsia="Times New Roman" w:hint="default"/>
          <w:spacing w:val="-4"/>
        </w:rPr>
        <w:t> </w:t>
      </w:r>
      <w:r>
        <w:rPr/>
        <w:t>万元，报告期内该子公司 无实质性生产经营业务。</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8"/>
          <w:szCs w:val="18"/>
        </w:rPr>
      </w:pPr>
    </w:p>
    <w:p>
      <w:pPr>
        <w:pStyle w:val="Heading6"/>
        <w:spacing w:line="240" w:lineRule="auto"/>
        <w:ind w:left="823" w:right="0"/>
        <w:jc w:val="both"/>
      </w:pPr>
      <w:r>
        <w:rPr/>
        <w:t>报告期内取得和处置子公司的情况</w:t>
      </w:r>
    </w:p>
    <w:p>
      <w:pPr>
        <w:spacing w:line="240" w:lineRule="auto" w:before="10"/>
        <w:rPr>
          <w:rFonts w:ascii="宋体" w:hAnsi="宋体" w:cs="宋体" w:eastAsia="宋体" w:hint="default"/>
          <w:sz w:val="14"/>
          <w:szCs w:val="14"/>
        </w:rPr>
      </w:pPr>
    </w:p>
    <w:p>
      <w:pPr>
        <w:pStyle w:val="Heading6"/>
        <w:spacing w:line="240" w:lineRule="auto"/>
        <w:ind w:left="823" w:right="0"/>
        <w:jc w:val="both"/>
      </w:pPr>
      <w:r>
        <w:rPr/>
        <w:t>□适用√不适用</w:t>
      </w:r>
    </w:p>
    <w:p>
      <w:pPr>
        <w:spacing w:line="240" w:lineRule="auto" w:before="2"/>
        <w:rPr>
          <w:rFonts w:ascii="宋体" w:hAnsi="宋体" w:cs="宋体" w:eastAsia="宋体" w:hint="default"/>
          <w:sz w:val="24"/>
          <w:szCs w:val="24"/>
        </w:rPr>
      </w:pPr>
    </w:p>
    <w:p>
      <w:pPr>
        <w:pStyle w:val="Heading6"/>
        <w:spacing w:line="620" w:lineRule="atLeast"/>
        <w:ind w:left="1243" w:right="598" w:hanging="420"/>
        <w:jc w:val="left"/>
      </w:pPr>
      <w:r>
        <w:rPr/>
        <w:t>主要控股参股公司情况说明</w:t>
      </w:r>
      <w:r>
        <w:rPr>
          <w:w w:val="100"/>
        </w:rPr>
        <w:t> </w:t>
      </w:r>
      <w:r>
        <w:rPr>
          <w:spacing w:val="-3"/>
        </w:rPr>
        <w:t>公司主要子公司神奇时代利用其自身丰富的移动网游戏运营经验，在“以质取胜、只出</w:t>
      </w:r>
    </w:p>
    <w:p>
      <w:pPr>
        <w:spacing w:line="240" w:lineRule="auto" w:before="10"/>
        <w:rPr>
          <w:rFonts w:ascii="宋体" w:hAnsi="宋体" w:cs="宋体" w:eastAsia="宋体" w:hint="default"/>
          <w:sz w:val="14"/>
          <w:szCs w:val="14"/>
        </w:rPr>
      </w:pPr>
    </w:p>
    <w:p>
      <w:pPr>
        <w:pStyle w:val="Heading6"/>
        <w:spacing w:line="386" w:lineRule="auto"/>
        <w:ind w:left="823" w:right="576"/>
        <w:jc w:val="both"/>
      </w:pPr>
      <w:r>
        <w:rPr/>
        <w:t>精品、精益求精”的游戏开发宗旨指导下，截至报告期末，神奇时代运营游戏产品共</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3"/>
        </w:rPr>
        <w:t>款，</w:t>
      </w:r>
      <w:r>
        <w:rPr>
          <w:spacing w:val="-3"/>
          <w:w w:val="100"/>
        </w:rPr>
        <w:t> </w:t>
      </w:r>
      <w:r>
        <w:rPr>
          <w:spacing w:val="-3"/>
        </w:rPr>
        <w:t>其中《卧虎藏龙》和《忘仙》单款游戏产品营业收入占比营业总收入</w:t>
      </w:r>
      <w:r>
        <w:rPr>
          <w:spacing w:val="-26"/>
        </w:rPr>
        <w:t> </w:t>
      </w:r>
      <w:r>
        <w:rPr>
          <w:rFonts w:ascii="Times New Roman" w:hAnsi="Times New Roman" w:cs="Times New Roman" w:eastAsia="Times New Roman" w:hint="default"/>
          <w:spacing w:val="-3"/>
        </w:rPr>
        <w:t>30%</w:t>
      </w:r>
      <w:r>
        <w:rPr>
          <w:spacing w:val="-3"/>
        </w:rPr>
        <w:t>以上，所属游戏类</w:t>
      </w:r>
      <w:r>
        <w:rPr>
          <w:spacing w:val="-75"/>
        </w:rPr>
        <w:t> </w:t>
      </w:r>
      <w:r>
        <w:rPr>
          <w:spacing w:val="-75"/>
        </w:rPr>
      </w:r>
      <w:r>
        <w:rPr/>
        <w:t>型均为手游。报告期内未有新增运营的游戏产品。</w:t>
      </w:r>
    </w:p>
    <w:p>
      <w:pPr>
        <w:spacing w:line="240" w:lineRule="auto" w:before="12"/>
        <w:rPr>
          <w:rFonts w:ascii="宋体" w:hAnsi="宋体" w:cs="宋体" w:eastAsia="宋体" w:hint="default"/>
          <w:sz w:val="16"/>
          <w:szCs w:val="16"/>
        </w:rPr>
      </w:pPr>
    </w:p>
    <w:p>
      <w:pPr>
        <w:pStyle w:val="Heading6"/>
        <w:spacing w:line="398" w:lineRule="auto"/>
        <w:ind w:left="823" w:right="612" w:firstLine="419"/>
        <w:jc w:val="both"/>
      </w:pPr>
      <w:r>
        <w:rPr>
          <w:spacing w:val="-3"/>
          <w:w w:val="100"/>
        </w:rPr>
        <w:t>神奇时代的运营模式分为自主运营模式和联合运营模式。《卧虎藏龙》和《忘仙》除自</w:t>
      </w:r>
      <w:r>
        <w:rPr>
          <w:w w:val="100"/>
        </w:rPr>
        <w:t> </w:t>
      </w:r>
      <w:r>
        <w:rPr/>
        <w:t>主运营外还同时与 </w:t>
      </w:r>
      <w:r>
        <w:rPr>
          <w:rFonts w:ascii="Times New Roman" w:hAnsi="Times New Roman" w:cs="Times New Roman" w:eastAsia="Times New Roman" w:hint="default"/>
        </w:rPr>
        <w:t>Apple </w:t>
      </w:r>
      <w:r>
        <w:rPr>
          <w:rFonts w:ascii="Times New Roman" w:hAnsi="Times New Roman" w:cs="Times New Roman" w:eastAsia="Times New Roman" w:hint="default"/>
          <w:spacing w:val="-4"/>
        </w:rPr>
        <w:t>Inc.</w:t>
      </w:r>
      <w:r>
        <w:rPr>
          <w:spacing w:val="-4"/>
        </w:rPr>
        <w:t>、昆仑在线、</w:t>
      </w:r>
      <w:r>
        <w:rPr>
          <w:rFonts w:ascii="Times New Roman" w:hAnsi="Times New Roman" w:cs="Times New Roman" w:eastAsia="Times New Roman" w:hint="default"/>
          <w:spacing w:val="-4"/>
        </w:rPr>
        <w:t>91 </w:t>
      </w:r>
      <w:r>
        <w:rPr>
          <w:spacing w:val="-4"/>
        </w:rPr>
        <w:t>助手、</w:t>
      </w:r>
      <w:r>
        <w:rPr>
          <w:rFonts w:ascii="Times New Roman" w:hAnsi="Times New Roman" w:cs="Times New Roman" w:eastAsia="Times New Roman" w:hint="default"/>
          <w:spacing w:val="-4"/>
        </w:rPr>
        <w:t>360 </w:t>
      </w:r>
      <w:r>
        <w:rPr>
          <w:spacing w:val="-4"/>
        </w:rPr>
        <w:t>手机助手、北京当乐、</w:t>
      </w:r>
      <w:r>
        <w:rPr>
          <w:rFonts w:ascii="Times New Roman" w:hAnsi="Times New Roman" w:cs="Times New Roman" w:eastAsia="Times New Roman" w:hint="default"/>
          <w:spacing w:val="-4"/>
        </w:rPr>
        <w:t>PP </w:t>
      </w:r>
      <w:r>
        <w:rPr>
          <w:spacing w:val="-5"/>
        </w:rPr>
        <w:t>助手、</w:t>
      </w:r>
      <w:r>
        <w:rPr>
          <w:rFonts w:ascii="Times New Roman" w:hAnsi="Times New Roman" w:cs="Times New Roman" w:eastAsia="Times New Roman" w:hint="default"/>
          <w:spacing w:val="-5"/>
        </w:rPr>
        <w:t>UC</w:t>
      </w:r>
      <w:r>
        <w:rPr>
          <w:rFonts w:ascii="Times New Roman" w:hAnsi="Times New Roman" w:cs="Times New Roman" w:eastAsia="Times New Roman" w:hint="default"/>
          <w:spacing w:val="-45"/>
        </w:rPr>
        <w:t> </w:t>
      </w:r>
      <w:r>
        <w:rPr/>
        <w:t>浏览器等国内外优秀的游戏推广服务商进行联合运营。收费方式主要为道具收费。</w:t>
      </w:r>
    </w:p>
    <w:p>
      <w:pPr>
        <w:spacing w:line="240" w:lineRule="auto" w:before="2"/>
        <w:rPr>
          <w:rFonts w:ascii="宋体" w:hAnsi="宋体" w:cs="宋体" w:eastAsia="宋体" w:hint="default"/>
          <w:sz w:val="16"/>
          <w:szCs w:val="16"/>
        </w:rPr>
      </w:pPr>
    </w:p>
    <w:p>
      <w:pPr>
        <w:pStyle w:val="Heading6"/>
        <w:spacing w:line="240" w:lineRule="auto"/>
        <w:ind w:left="1243" w:right="598"/>
        <w:jc w:val="left"/>
      </w:pPr>
      <w:r>
        <w:rPr>
          <w:rFonts w:ascii="Times New Roman" w:hAnsi="Times New Roman" w:cs="Times New Roman" w:eastAsia="Times New Roman" w:hint="default"/>
        </w:rPr>
        <w:t>1</w:t>
      </w:r>
      <w:r>
        <w:rPr/>
        <w:t>、报告期内神奇时代主要游戏产品运营情况</w:t>
      </w:r>
    </w:p>
    <w:p>
      <w:pPr>
        <w:spacing w:after="0" w:line="240" w:lineRule="auto"/>
        <w:jc w:val="left"/>
        <w:sectPr>
          <w:pgSz w:w="11910" w:h="16840"/>
          <w:pgMar w:header="0" w:footer="959" w:top="1340" w:bottom="1140" w:left="1020" w:right="1080"/>
        </w:sectPr>
      </w:pPr>
    </w:p>
    <w:p>
      <w:pPr>
        <w:pStyle w:val="Heading6"/>
        <w:spacing w:line="240" w:lineRule="auto" w:before="6"/>
        <w:ind w:left="643" w:right="193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季度《卧虎藏龙》的主要运营数据如下表所示：</w:t>
      </w:r>
    </w:p>
    <w:p>
      <w:pPr>
        <w:spacing w:line="240" w:lineRule="auto" w:before="8"/>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2235"/>
        <w:gridCol w:w="1572"/>
        <w:gridCol w:w="1572"/>
        <w:gridCol w:w="1572"/>
        <w:gridCol w:w="1573"/>
      </w:tblGrid>
      <w:tr>
        <w:trPr>
          <w:trHeight w:val="370" w:hRule="exact"/>
        </w:trPr>
        <w:tc>
          <w:tcPr>
            <w:tcW w:w="22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2"/>
              <w:ind w:left="41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5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2"/>
              <w:ind w:left="41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5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2"/>
              <w:ind w:left="417"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5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2"/>
              <w:ind w:left="418"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累计注册用户数（人）</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926,516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1,491,602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772,573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846,437</w:t>
            </w:r>
          </w:p>
        </w:tc>
      </w:tr>
      <w:tr>
        <w:trPr>
          <w:trHeight w:val="40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活跃用户数（人）</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1,132,619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1,705,249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1,351,735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1,091,837</w:t>
            </w:r>
          </w:p>
        </w:tc>
      </w:tr>
      <w:tr>
        <w:trPr>
          <w:trHeight w:val="410"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付费用户数（人）</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8"/>
                <w:szCs w:val="18"/>
              </w:rPr>
            </w:pPr>
            <w:r>
              <w:rPr>
                <w:rFonts w:ascii="Times New Roman"/>
                <w:spacing w:val="-1"/>
                <w:sz w:val="18"/>
              </w:rPr>
              <w:t>67,799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71,426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61,058</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45,072</w:t>
            </w:r>
          </w:p>
        </w:tc>
      </w:tr>
      <w:tr>
        <w:trPr>
          <w:trHeight w:val="72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单个用户平均付费金额</w:t>
            </w: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ARPU</w:t>
            </w:r>
            <w:r>
              <w:rPr>
                <w:rFonts w:ascii="宋体" w:hAnsi="宋体" w:cs="宋体" w:eastAsia="宋体" w:hint="default"/>
                <w:sz w:val="18"/>
                <w:szCs w:val="18"/>
              </w:rPr>
              <w:t>）（元）</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571.63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481.39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580.71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725.72</w:t>
            </w:r>
          </w:p>
        </w:tc>
      </w:tr>
      <w:tr>
        <w:trPr>
          <w:trHeight w:val="40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充值流水（元）</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38,755,892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34,383,861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35,456,827</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32,709,793</w:t>
            </w:r>
          </w:p>
        </w:tc>
      </w:tr>
    </w:tbl>
    <w:p>
      <w:pPr>
        <w:spacing w:line="240" w:lineRule="auto" w:before="1"/>
        <w:rPr>
          <w:rFonts w:ascii="宋体" w:hAnsi="宋体" w:cs="宋体" w:eastAsia="宋体" w:hint="default"/>
          <w:sz w:val="14"/>
          <w:szCs w:val="14"/>
        </w:rPr>
      </w:pPr>
    </w:p>
    <w:p>
      <w:pPr>
        <w:pStyle w:val="Heading6"/>
        <w:spacing w:line="240" w:lineRule="auto" w:before="36"/>
        <w:ind w:left="643" w:right="1933"/>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1-4 </w:t>
      </w:r>
      <w:r>
        <w:rPr/>
        <w:t>季度《忘仙》的主要运营数据如下表所示：</w:t>
      </w:r>
    </w:p>
    <w:p>
      <w:pPr>
        <w:spacing w:line="240" w:lineRule="auto" w:before="8"/>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2235"/>
        <w:gridCol w:w="1572"/>
        <w:gridCol w:w="1572"/>
        <w:gridCol w:w="1572"/>
        <w:gridCol w:w="1573"/>
      </w:tblGrid>
      <w:tr>
        <w:trPr>
          <w:trHeight w:val="370" w:hRule="exact"/>
        </w:trPr>
        <w:tc>
          <w:tcPr>
            <w:tcW w:w="22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2"/>
              <w:ind w:left="41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5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2"/>
              <w:ind w:left="41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5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2"/>
              <w:ind w:left="417"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5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2"/>
              <w:ind w:left="418"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累计注册用户数（人）</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8"/>
                <w:szCs w:val="18"/>
              </w:rPr>
            </w:pPr>
            <w:r>
              <w:rPr>
                <w:rFonts w:ascii="Times New Roman"/>
                <w:spacing w:val="-1"/>
                <w:sz w:val="18"/>
              </w:rPr>
              <w:t>310,294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284,636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254,633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166,776</w:t>
            </w:r>
          </w:p>
        </w:tc>
      </w:tr>
      <w:tr>
        <w:trPr>
          <w:trHeight w:val="410"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活跃用户数（人）</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566,042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490,750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541,888</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499,087</w:t>
            </w:r>
          </w:p>
        </w:tc>
      </w:tr>
      <w:tr>
        <w:trPr>
          <w:trHeight w:val="40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付费用户数（人）</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8"/>
                <w:szCs w:val="18"/>
              </w:rPr>
            </w:pPr>
            <w:r>
              <w:rPr>
                <w:rFonts w:ascii="Times New Roman"/>
                <w:spacing w:val="-1"/>
                <w:sz w:val="18"/>
              </w:rPr>
              <w:t>52,523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61,053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67,438</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4"/>
              <w:jc w:val="right"/>
              <w:rPr>
                <w:rFonts w:ascii="Times New Roman" w:hAnsi="Times New Roman" w:cs="Times New Roman" w:eastAsia="Times New Roman" w:hint="default"/>
                <w:sz w:val="18"/>
                <w:szCs w:val="18"/>
              </w:rPr>
            </w:pPr>
            <w:r>
              <w:rPr>
                <w:rFonts w:ascii="Times New Roman"/>
                <w:spacing w:val="-1"/>
                <w:sz w:val="18"/>
              </w:rPr>
              <w:t>43,368</w:t>
            </w:r>
          </w:p>
        </w:tc>
      </w:tr>
      <w:tr>
        <w:trPr>
          <w:trHeight w:val="72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单个用户平均付费金额</w:t>
            </w: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ARPU</w:t>
            </w:r>
            <w:r>
              <w:rPr>
                <w:rFonts w:ascii="宋体" w:hAnsi="宋体" w:cs="宋体" w:eastAsia="宋体" w:hint="default"/>
                <w:sz w:val="18"/>
                <w:szCs w:val="18"/>
              </w:rPr>
              <w:t>）（元）</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948.35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887.12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792.24</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1,073.91</w:t>
            </w:r>
          </w:p>
        </w:tc>
      </w:tr>
      <w:tr>
        <w:trPr>
          <w:trHeight w:val="410"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充值流水（元）</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49,810,091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54,161,456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53,426,746</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46,573,188</w:t>
            </w:r>
          </w:p>
        </w:tc>
      </w:tr>
    </w:tbl>
    <w:p>
      <w:pPr>
        <w:pStyle w:val="BodyText"/>
        <w:spacing w:line="314" w:lineRule="auto" w:before="8"/>
        <w:ind w:left="943" w:right="1933" w:hanging="360"/>
        <w:jc w:val="left"/>
      </w:pPr>
      <w:r>
        <w:rPr/>
        <w:t>注：累计注册用户数：指当期累计新增注册或创建角色的用户数； 活跃用户数：指当期登录过游戏的用户数； 付费用户数：指当期充值过虚拟货币的用户数； 单个用户平均付费金额（</w:t>
      </w:r>
      <w:r>
        <w:rPr>
          <w:rFonts w:ascii="Times New Roman" w:hAnsi="Times New Roman" w:cs="Times New Roman" w:eastAsia="Times New Roman" w:hint="default"/>
        </w:rPr>
        <w:t>ARPU</w:t>
      </w:r>
      <w:r>
        <w:rPr/>
        <w:t>）（元）：当期充值流水</w:t>
      </w:r>
      <w:r>
        <w:rPr>
          <w:rFonts w:ascii="Times New Roman" w:hAnsi="Times New Roman" w:cs="Times New Roman" w:eastAsia="Times New Roman" w:hint="default"/>
        </w:rPr>
        <w:t>/</w:t>
      </w:r>
      <w:r>
        <w:rPr/>
        <w:t>当期付费用户数； 充值流水：指当期充值面值。</w:t>
      </w:r>
    </w:p>
    <w:p>
      <w:pPr>
        <w:pStyle w:val="Heading6"/>
        <w:spacing w:line="386" w:lineRule="auto" w:before="77"/>
        <w:ind w:left="643" w:right="1933"/>
        <w:jc w:val="left"/>
      </w:pPr>
      <w:r>
        <w:rPr>
          <w:rFonts w:ascii="Times New Roman" w:hAnsi="Times New Roman" w:cs="Times New Roman" w:eastAsia="Times New Roman" w:hint="default"/>
        </w:rPr>
        <w:t>2</w:t>
      </w:r>
      <w:r>
        <w:rPr/>
        <w:t>、报告期内神奇时代主要游戏产品收入及推广营销情况</w:t>
      </w:r>
      <w:r>
        <w:rPr>
          <w:w w:val="100"/>
        </w:rPr>
        <w:t> </w:t>
      </w:r>
      <w:r>
        <w:rPr>
          <w:spacing w:val="-2"/>
        </w:rPr>
        <w:t>神奇时代主要游戏产品的收入及推广营销数据如下表所示：</w:t>
      </w:r>
    </w:p>
    <w:tbl>
      <w:tblPr>
        <w:tblW w:w="0" w:type="auto"/>
        <w:jc w:val="left"/>
        <w:tblInd w:w="110" w:type="dxa"/>
        <w:tblLayout w:type="fixed"/>
        <w:tblCellMar>
          <w:top w:w="0" w:type="dxa"/>
          <w:left w:w="0" w:type="dxa"/>
          <w:bottom w:w="0" w:type="dxa"/>
          <w:right w:w="0" w:type="dxa"/>
        </w:tblCellMar>
        <w:tblLook w:val="01E0"/>
      </w:tblPr>
      <w:tblGrid>
        <w:gridCol w:w="1154"/>
        <w:gridCol w:w="1462"/>
        <w:gridCol w:w="1399"/>
        <w:gridCol w:w="1385"/>
        <w:gridCol w:w="1591"/>
        <w:gridCol w:w="1589"/>
      </w:tblGrid>
      <w:tr>
        <w:trPr>
          <w:trHeight w:val="946" w:hRule="exact"/>
        </w:trPr>
        <w:tc>
          <w:tcPr>
            <w:tcW w:w="11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游戏名称</w:t>
            </w:r>
          </w:p>
        </w:tc>
        <w:tc>
          <w:tcPr>
            <w:tcW w:w="14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收入金额</w:t>
            </w:r>
          </w:p>
          <w:p>
            <w:pPr>
              <w:pStyle w:val="TableParagraph"/>
              <w:spacing w:line="240" w:lineRule="auto" w:before="76"/>
              <w:ind w:left="45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31" w:right="156" w:hanging="180"/>
              <w:jc w:val="left"/>
              <w:rPr>
                <w:rFonts w:ascii="宋体" w:hAnsi="宋体" w:cs="宋体" w:eastAsia="宋体" w:hint="default"/>
                <w:sz w:val="18"/>
                <w:szCs w:val="18"/>
              </w:rPr>
            </w:pPr>
            <w:r>
              <w:rPr>
                <w:rFonts w:ascii="宋体" w:hAnsi="宋体" w:cs="宋体" w:eastAsia="宋体" w:hint="default"/>
                <w:sz w:val="18"/>
                <w:szCs w:val="18"/>
              </w:rPr>
              <w:t>占游戏业务收 入的比例</w:t>
            </w:r>
          </w:p>
        </w:tc>
        <w:tc>
          <w:tcPr>
            <w:tcW w:w="13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7" w:right="144" w:hanging="89"/>
              <w:jc w:val="left"/>
              <w:rPr>
                <w:rFonts w:ascii="宋体" w:hAnsi="宋体" w:cs="宋体" w:eastAsia="宋体" w:hint="default"/>
                <w:sz w:val="18"/>
                <w:szCs w:val="18"/>
              </w:rPr>
            </w:pPr>
            <w:r>
              <w:rPr>
                <w:rFonts w:ascii="宋体" w:hAnsi="宋体" w:cs="宋体" w:eastAsia="宋体" w:hint="default"/>
                <w:sz w:val="18"/>
                <w:szCs w:val="18"/>
              </w:rPr>
              <w:t>投入的推广营 销费（元）</w:t>
            </w:r>
          </w:p>
        </w:tc>
        <w:tc>
          <w:tcPr>
            <w:tcW w:w="15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8"/>
              <w:ind w:left="158" w:right="161"/>
              <w:jc w:val="both"/>
              <w:rPr>
                <w:rFonts w:ascii="宋体" w:hAnsi="宋体" w:cs="宋体" w:eastAsia="宋体" w:hint="default"/>
                <w:sz w:val="18"/>
                <w:szCs w:val="18"/>
              </w:rPr>
            </w:pPr>
            <w:r>
              <w:rPr>
                <w:rFonts w:ascii="宋体" w:hAnsi="宋体" w:cs="宋体" w:eastAsia="宋体" w:hint="default"/>
                <w:sz w:val="18"/>
                <w:szCs w:val="18"/>
              </w:rPr>
              <w:t>投入的推广营销 费占公司总游戏 推广营销费比例</w:t>
            </w:r>
          </w:p>
        </w:tc>
        <w:tc>
          <w:tcPr>
            <w:tcW w:w="15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8"/>
              <w:ind w:left="156" w:right="161"/>
              <w:jc w:val="center"/>
              <w:rPr>
                <w:rFonts w:ascii="宋体" w:hAnsi="宋体" w:cs="宋体" w:eastAsia="宋体" w:hint="default"/>
                <w:sz w:val="18"/>
                <w:szCs w:val="18"/>
              </w:rPr>
            </w:pPr>
            <w:r>
              <w:rPr>
                <w:rFonts w:ascii="宋体" w:hAnsi="宋体" w:cs="宋体" w:eastAsia="宋体" w:hint="default"/>
                <w:sz w:val="18"/>
                <w:szCs w:val="18"/>
              </w:rPr>
              <w:t>投入的推广营销 费占公司游戏收 入总额比例</w:t>
            </w:r>
          </w:p>
        </w:tc>
      </w:tr>
      <w:tr>
        <w:trPr>
          <w:trHeight w:val="367"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卧虎藏龙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Calibri" w:hAnsi="Calibri" w:cs="Calibri" w:eastAsia="Calibri" w:hint="default"/>
                <w:sz w:val="18"/>
                <w:szCs w:val="18"/>
              </w:rPr>
            </w:pPr>
            <w:r>
              <w:rPr>
                <w:rFonts w:ascii="Calibri"/>
                <w:sz w:val="18"/>
              </w:rPr>
              <w:t>109,638,709.96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Calibri" w:hAnsi="Calibri" w:cs="Calibri" w:eastAsia="Calibri" w:hint="default"/>
                <w:sz w:val="18"/>
                <w:szCs w:val="18"/>
              </w:rPr>
            </w:pPr>
            <w:r>
              <w:rPr>
                <w:rFonts w:ascii="Calibri"/>
                <w:sz w:val="18"/>
              </w:rPr>
              <w:t>43.65%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Calibri" w:hAnsi="Calibri" w:cs="Calibri" w:eastAsia="Calibri" w:hint="default"/>
                <w:sz w:val="18"/>
                <w:szCs w:val="18"/>
              </w:rPr>
            </w:pPr>
            <w:r>
              <w:rPr>
                <w:rFonts w:ascii="Calibri"/>
                <w:sz w:val="18"/>
              </w:rPr>
              <w:t>9,468,176.02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Calibri" w:hAnsi="Calibri" w:cs="Calibri" w:eastAsia="Calibri" w:hint="default"/>
                <w:sz w:val="18"/>
                <w:szCs w:val="18"/>
              </w:rPr>
            </w:pPr>
            <w:r>
              <w:rPr>
                <w:rFonts w:ascii="Calibri"/>
                <w:sz w:val="18"/>
              </w:rPr>
              <w:t>92.40%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3.77%</w:t>
            </w:r>
          </w:p>
        </w:tc>
      </w:tr>
      <w:tr>
        <w:trPr>
          <w:trHeight w:val="442"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忘仙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
              <w:jc w:val="center"/>
              <w:rPr>
                <w:rFonts w:ascii="Calibri" w:hAnsi="Calibri" w:cs="Calibri" w:eastAsia="Calibri" w:hint="default"/>
                <w:sz w:val="18"/>
                <w:szCs w:val="18"/>
              </w:rPr>
            </w:pPr>
            <w:r>
              <w:rPr>
                <w:rFonts w:ascii="Calibri"/>
                <w:sz w:val="18"/>
              </w:rPr>
              <w:t>117,221,989.44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
              <w:jc w:val="center"/>
              <w:rPr>
                <w:rFonts w:ascii="Calibri" w:hAnsi="Calibri" w:cs="Calibri" w:eastAsia="Calibri" w:hint="default"/>
                <w:sz w:val="18"/>
                <w:szCs w:val="18"/>
              </w:rPr>
            </w:pPr>
            <w:r>
              <w:rPr>
                <w:rFonts w:ascii="Calibri"/>
                <w:sz w:val="18"/>
              </w:rPr>
              <w:t>46.67%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Calibri" w:hAnsi="Calibri" w:cs="Calibri" w:eastAsia="Calibri" w:hint="default"/>
                <w:sz w:val="18"/>
                <w:szCs w:val="18"/>
              </w:rPr>
            </w:pPr>
            <w:r>
              <w:rPr>
                <w:rFonts w:ascii="Calibri"/>
                <w:sz w:val="18"/>
              </w:rPr>
              <w:t>766,299.62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
              <w:jc w:val="center"/>
              <w:rPr>
                <w:rFonts w:ascii="Calibri" w:hAnsi="Calibri" w:cs="Calibri" w:eastAsia="Calibri" w:hint="default"/>
                <w:sz w:val="18"/>
                <w:szCs w:val="18"/>
              </w:rPr>
            </w:pPr>
            <w:r>
              <w:rPr>
                <w:rFonts w:ascii="Calibri"/>
                <w:sz w:val="18"/>
              </w:rPr>
              <w:t>7.48%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8"/>
                <w:szCs w:val="18"/>
              </w:rPr>
            </w:pPr>
            <w:r>
              <w:rPr>
                <w:rFonts w:ascii="Times New Roman"/>
                <w:sz w:val="18"/>
              </w:rPr>
              <w:t>0.31%</w:t>
            </w:r>
          </w:p>
        </w:tc>
      </w:tr>
      <w:tr>
        <w:trPr>
          <w:trHeight w:val="406"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其他游戏</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Calibri" w:hAnsi="Calibri" w:cs="Calibri" w:eastAsia="Calibri" w:hint="default"/>
                <w:sz w:val="18"/>
                <w:szCs w:val="18"/>
              </w:rPr>
            </w:pPr>
            <w:r>
              <w:rPr>
                <w:rFonts w:ascii="Calibri"/>
                <w:sz w:val="18"/>
              </w:rPr>
              <w:t>24,304,279.90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Calibri" w:hAnsi="Calibri" w:cs="Calibri" w:eastAsia="Calibri" w:hint="default"/>
                <w:sz w:val="18"/>
                <w:szCs w:val="18"/>
              </w:rPr>
            </w:pPr>
            <w:r>
              <w:rPr>
                <w:rFonts w:ascii="Calibri"/>
                <w:sz w:val="18"/>
              </w:rPr>
              <w:t>9.68%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Calibri" w:hAnsi="Calibri" w:cs="Calibri" w:eastAsia="Calibri" w:hint="default"/>
                <w:sz w:val="18"/>
                <w:szCs w:val="18"/>
              </w:rPr>
            </w:pPr>
            <w:r>
              <w:rPr>
                <w:rFonts w:ascii="Calibri"/>
                <w:sz w:val="18"/>
              </w:rPr>
              <w:t>12,646.84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Calibri" w:hAnsi="Calibri" w:cs="Calibri" w:eastAsia="Calibri" w:hint="default"/>
                <w:sz w:val="18"/>
                <w:szCs w:val="18"/>
              </w:rPr>
            </w:pPr>
            <w:r>
              <w:rPr>
                <w:rFonts w:ascii="Calibri"/>
                <w:sz w:val="18"/>
              </w:rPr>
              <w:t>0.12%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0.01%</w:t>
            </w:r>
          </w:p>
        </w:tc>
      </w:tr>
      <w:tr>
        <w:trPr>
          <w:trHeight w:val="406" w:hRule="exact"/>
        </w:trPr>
        <w:tc>
          <w:tcPr>
            <w:tcW w:w="11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Calibri" w:hAnsi="Calibri" w:cs="Calibri" w:eastAsia="Calibri" w:hint="default"/>
                <w:sz w:val="18"/>
                <w:szCs w:val="18"/>
              </w:rPr>
            </w:pPr>
            <w:r>
              <w:rPr>
                <w:rFonts w:ascii="Calibri"/>
                <w:sz w:val="18"/>
              </w:rPr>
              <w:t>251,164,979.30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Calibri" w:hAnsi="Calibri" w:cs="Calibri" w:eastAsia="Calibri" w:hint="default"/>
                <w:sz w:val="18"/>
                <w:szCs w:val="18"/>
              </w:rPr>
            </w:pPr>
            <w:r>
              <w:rPr>
                <w:rFonts w:ascii="Calibri"/>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Calibri" w:hAnsi="Calibri" w:cs="Calibri" w:eastAsia="Calibri" w:hint="default"/>
                <w:sz w:val="18"/>
                <w:szCs w:val="18"/>
              </w:rPr>
            </w:pPr>
            <w:r>
              <w:rPr>
                <w:rFonts w:ascii="Calibri"/>
                <w:sz w:val="18"/>
              </w:rPr>
              <w:t>10,247,122.48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Calibri" w:hAnsi="Calibri" w:cs="Calibri" w:eastAsia="Calibri" w:hint="default"/>
                <w:sz w:val="18"/>
                <w:szCs w:val="18"/>
              </w:rPr>
            </w:pPr>
            <w:r>
              <w:rPr>
                <w:rFonts w:ascii="Calibri"/>
                <w:sz w:val="18"/>
              </w:rPr>
              <w:t>100.00%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4.08%</w:t>
            </w:r>
          </w:p>
        </w:tc>
      </w:tr>
    </w:tbl>
    <w:p>
      <w:pPr>
        <w:pStyle w:val="Heading6"/>
        <w:spacing w:line="408" w:lineRule="auto" w:before="64"/>
        <w:ind w:left="665" w:right="0" w:hanging="22"/>
        <w:jc w:val="left"/>
      </w:pPr>
      <w:r>
        <w:rPr>
          <w:rFonts w:ascii="宋体" w:hAnsi="宋体" w:cs="宋体" w:eastAsia="宋体" w:hint="default"/>
        </w:rPr>
        <w:t>3</w:t>
      </w:r>
      <w:r>
        <w:rPr/>
        <w:t>、其他说明</w:t>
      </w:r>
      <w:r>
        <w:rPr>
          <w:w w:val="100"/>
        </w:rPr>
        <w:t> </w:t>
      </w:r>
      <w:r>
        <w:rPr>
          <w:spacing w:val="-2"/>
        </w:rPr>
        <w:t>神奇时代报告期内未有开发或运营的主要游戏月度充值流水较前三个月均值下降首次</w:t>
      </w:r>
    </w:p>
    <w:p>
      <w:pPr>
        <w:pStyle w:val="Heading6"/>
        <w:spacing w:line="240" w:lineRule="auto" w:before="46"/>
        <w:ind w:left="223" w:right="1933"/>
        <w:jc w:val="left"/>
      </w:pPr>
      <w:r>
        <w:rPr/>
        <w:t>达到</w:t>
      </w:r>
      <w:r>
        <w:rPr>
          <w:spacing w:val="-53"/>
        </w:rPr>
        <w:t> </w:t>
      </w:r>
      <w:r>
        <w:rPr>
          <w:rFonts w:ascii="宋体" w:hAnsi="宋体" w:cs="宋体" w:eastAsia="宋体" w:hint="default"/>
        </w:rPr>
        <w:t>50%</w:t>
      </w:r>
      <w:r>
        <w:rPr/>
        <w:t>以上情形。</w:t>
      </w:r>
    </w:p>
    <w:p>
      <w:pPr>
        <w:pStyle w:val="Heading3"/>
        <w:spacing w:line="240" w:lineRule="auto" w:before="168"/>
        <w:ind w:left="223" w:right="1933"/>
        <w:jc w:val="left"/>
        <w:rPr>
          <w:b w:val="0"/>
          <w:bCs w:val="0"/>
        </w:rPr>
      </w:pPr>
      <w:r>
        <w:rPr/>
        <w:t>八、公司控制的结构化主体情况</w:t>
      </w:r>
      <w:r>
        <w:rPr>
          <w:b w:val="0"/>
          <w:bCs w:val="0"/>
        </w:rPr>
      </w:r>
    </w:p>
    <w:p>
      <w:pPr>
        <w:pStyle w:val="Heading6"/>
        <w:spacing w:line="240" w:lineRule="auto" w:before="179"/>
        <w:ind w:left="223" w:right="1933"/>
        <w:jc w:val="left"/>
      </w:pPr>
      <w:r>
        <w:rPr/>
        <w:t>□适用√不适用</w:t>
      </w:r>
    </w:p>
    <w:p>
      <w:pPr>
        <w:spacing w:after="0" w:line="240" w:lineRule="auto"/>
        <w:jc w:val="left"/>
        <w:sectPr>
          <w:pgSz w:w="11910" w:h="16840"/>
          <w:pgMar w:header="0" w:footer="959" w:top="1480" w:bottom="1140" w:left="1620" w:right="1460"/>
        </w:sectPr>
      </w:pPr>
    </w:p>
    <w:p>
      <w:pPr>
        <w:pStyle w:val="Heading3"/>
        <w:spacing w:line="240" w:lineRule="auto" w:before="1"/>
        <w:ind w:left="163" w:right="0"/>
        <w:jc w:val="left"/>
        <w:rPr>
          <w:b w:val="0"/>
          <w:bCs w:val="0"/>
        </w:rPr>
      </w:pPr>
      <w:r>
        <w:rPr/>
        <w:t>九、公司未来发展的展望</w:t>
      </w:r>
      <w:r>
        <w:rPr>
          <w:b w:val="0"/>
          <w:bCs w:val="0"/>
        </w:rPr>
      </w:r>
    </w:p>
    <w:p>
      <w:pPr>
        <w:pStyle w:val="Heading5"/>
        <w:spacing w:line="240" w:lineRule="auto" w:before="179"/>
        <w:ind w:left="163" w:right="0"/>
        <w:jc w:val="left"/>
        <w:rPr>
          <w:b w:val="0"/>
          <w:bCs w:val="0"/>
        </w:rPr>
      </w:pPr>
      <w:r>
        <w:rPr/>
        <w:t>（一）公司所处行业的发展趋势</w:t>
      </w:r>
      <w:r>
        <w:rPr>
          <w:b w:val="0"/>
          <w:bCs w:val="0"/>
        </w:rPr>
      </w:r>
    </w:p>
    <w:p>
      <w:pPr>
        <w:spacing w:line="240" w:lineRule="auto" w:before="10"/>
        <w:rPr>
          <w:rFonts w:ascii="宋体" w:hAnsi="宋体" w:cs="宋体" w:eastAsia="宋体" w:hint="default"/>
          <w:b/>
          <w:bCs/>
          <w:sz w:val="14"/>
          <w:szCs w:val="14"/>
        </w:rPr>
      </w:pPr>
    </w:p>
    <w:p>
      <w:pPr>
        <w:pStyle w:val="Heading5"/>
        <w:spacing w:line="240" w:lineRule="auto"/>
        <w:ind w:left="585" w:right="0"/>
        <w:jc w:val="left"/>
        <w:rPr>
          <w:b w:val="0"/>
          <w:bCs w:val="0"/>
        </w:rPr>
      </w:pPr>
      <w:r>
        <w:rPr>
          <w:rFonts w:ascii="Times New Roman" w:hAnsi="Times New Roman" w:cs="Times New Roman" w:eastAsia="Times New Roman" w:hint="default"/>
        </w:rPr>
        <w:t>1</w:t>
      </w:r>
      <w:r>
        <w:rPr/>
        <w:t>、娱乐板块</w:t>
      </w:r>
      <w:r>
        <w:rPr>
          <w:b w:val="0"/>
          <w:bCs w:val="0"/>
        </w:rPr>
      </w:r>
    </w:p>
    <w:p>
      <w:pPr>
        <w:pStyle w:val="Heading6"/>
        <w:spacing w:line="403" w:lineRule="auto" w:before="177"/>
        <w:ind w:right="210" w:firstLine="419"/>
        <w:jc w:val="both"/>
      </w:pPr>
      <w:r>
        <w:rPr/>
        <w:t>（</w:t>
      </w:r>
      <w:r>
        <w:rPr>
          <w:rFonts w:ascii="Times New Roman" w:hAnsi="Times New Roman" w:cs="Times New Roman" w:eastAsia="Times New Roman" w:hint="default"/>
        </w:rPr>
        <w:t>1</w:t>
      </w:r>
      <w:r>
        <w:rPr/>
        <w:t>）随着中国经济的不断发展，居民收入水平的不断提高，对文化娱乐产品的需求也</w:t>
      </w:r>
      <w:r>
        <w:rPr>
          <w:w w:val="100"/>
        </w:rPr>
        <w:t> </w:t>
      </w:r>
      <w:r>
        <w:rPr>
          <w:spacing w:val="-3"/>
        </w:rPr>
        <w:t>越来越旺盛。网络游戏作为大众日常娱乐的重要组成部分，发展迅速。随着国内移动网络游</w:t>
      </w:r>
      <w:r>
        <w:rPr>
          <w:spacing w:val="-31"/>
        </w:rPr>
        <w:t> </w:t>
      </w:r>
      <w:r>
        <w:rPr>
          <w:spacing w:val="-31"/>
        </w:rPr>
      </w:r>
      <w:r>
        <w:rPr>
          <w:spacing w:val="-3"/>
        </w:rPr>
        <w:t>戏市场的快速发展，制作精良，娱乐性较强的优秀移动网络游戏产品不断涌现，此类移动网</w:t>
      </w:r>
      <w:r>
        <w:rPr>
          <w:spacing w:val="-35"/>
        </w:rPr>
        <w:t> </w:t>
      </w:r>
      <w:r>
        <w:rPr>
          <w:spacing w:val="-35"/>
        </w:rPr>
      </w:r>
      <w:r>
        <w:rPr>
          <w:spacing w:val="-3"/>
        </w:rPr>
        <w:t>络游戏产品不仅能够满足国内客户的娱乐需要，同时通过细节的调整后也能获得海外客户的</w:t>
      </w:r>
      <w:r>
        <w:rPr>
          <w:spacing w:val="-27"/>
        </w:rPr>
        <w:t> </w:t>
      </w:r>
      <w:r>
        <w:rPr>
          <w:spacing w:val="-27"/>
        </w:rPr>
      </w:r>
      <w:r>
        <w:rPr/>
        <w:t>广泛认可，具有较强的市场竞争能力。</w:t>
      </w:r>
    </w:p>
    <w:p>
      <w:pPr>
        <w:pStyle w:val="Heading6"/>
        <w:spacing w:line="398" w:lineRule="auto" w:before="50"/>
        <w:ind w:right="212" w:firstLine="419"/>
        <w:jc w:val="both"/>
      </w:pPr>
      <w:r>
        <w:rPr/>
        <w:t>（</w:t>
      </w:r>
      <w:r>
        <w:rPr>
          <w:rFonts w:ascii="Times New Roman" w:hAnsi="Times New Roman" w:cs="Times New Roman" w:eastAsia="Times New Roman" w:hint="default"/>
        </w:rPr>
        <w:t>2</w:t>
      </w:r>
      <w:r>
        <w:rPr/>
        <w:t>）伴随着我国经济体制改革的全面展开以及十二五规划中所提倡的“大力发展文化</w:t>
      </w:r>
      <w:r>
        <w:rPr>
          <w:w w:val="100"/>
        </w:rPr>
        <w:t> </w:t>
      </w:r>
      <w:r>
        <w:rPr>
          <w:spacing w:val="-3"/>
        </w:rPr>
        <w:t>创意产业”的主旨的深入，传媒、文化、娱乐、游戏等相关业务得到了市场的一致看好，并</w:t>
      </w:r>
      <w:r>
        <w:rPr>
          <w:spacing w:val="-29"/>
        </w:rPr>
        <w:t> </w:t>
      </w:r>
      <w:r>
        <w:rPr>
          <w:spacing w:val="-29"/>
        </w:rPr>
      </w:r>
      <w:r>
        <w:rPr/>
        <w:t>寄予较高的发展预期。</w:t>
      </w:r>
    </w:p>
    <w:p>
      <w:pPr>
        <w:pStyle w:val="Heading6"/>
        <w:spacing w:line="388" w:lineRule="auto" w:before="54"/>
        <w:ind w:right="0" w:firstLine="419"/>
        <w:jc w:val="left"/>
      </w:pPr>
      <w:r>
        <w:rPr/>
        <w:t>国家新闻出版广电总局主管的中国音数协游戏工委发布的《</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年中国游戏产业报告》</w:t>
      </w:r>
      <w:r>
        <w:rPr>
          <w:w w:val="100"/>
        </w:rPr>
        <w:t> </w:t>
      </w:r>
      <w:r>
        <w:rPr>
          <w:spacing w:val="-4"/>
        </w:rPr>
        <w:t>显示，</w:t>
      </w:r>
      <w:r>
        <w:rPr>
          <w:rFonts w:ascii="Times New Roman" w:hAnsi="Times New Roman" w:cs="Times New Roman" w:eastAsia="Times New Roman" w:hint="default"/>
          <w:spacing w:val="-4"/>
        </w:rPr>
        <w:t>2015</w:t>
      </w:r>
      <w:r>
        <w:rPr>
          <w:rFonts w:ascii="Times New Roman" w:hAnsi="Times New Roman" w:cs="Times New Roman" w:eastAsia="Times New Roman" w:hint="default"/>
        </w:rPr>
        <w:t> </w:t>
      </w:r>
      <w:r>
        <w:rPr/>
        <w:t>年中国游戏用户数达到</w:t>
      </w:r>
      <w:r>
        <w:rPr>
          <w:spacing w:val="-49"/>
        </w:rPr>
        <w:t> </w:t>
      </w:r>
      <w:r>
        <w:rPr>
          <w:rFonts w:ascii="Times New Roman" w:hAnsi="Times New Roman" w:cs="Times New Roman" w:eastAsia="Times New Roman" w:hint="default"/>
        </w:rPr>
        <w:t>5.34 </w:t>
      </w:r>
      <w:r>
        <w:rPr>
          <w:spacing w:val="-4"/>
        </w:rPr>
        <w:t>亿人，同比增长</w:t>
      </w:r>
      <w:r>
        <w:rPr>
          <w:spacing w:val="-49"/>
        </w:rPr>
        <w:t> </w:t>
      </w:r>
      <w:r>
        <w:rPr>
          <w:rFonts w:ascii="Times New Roman" w:hAnsi="Times New Roman" w:cs="Times New Roman" w:eastAsia="Times New Roman" w:hint="default"/>
          <w:spacing w:val="-3"/>
        </w:rPr>
        <w:t>3.3%</w:t>
      </w:r>
      <w:r>
        <w:rPr>
          <w:spacing w:val="-3"/>
        </w:rPr>
        <w:t>；</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3"/>
        </w:rPr>
        <w:t> </w:t>
      </w:r>
      <w:r>
        <w:rPr/>
        <w:t>年中国游戏市场实际销</w:t>
      </w:r>
      <w:r>
        <w:rPr>
          <w:spacing w:val="-97"/>
        </w:rPr>
        <w:t> </w:t>
      </w:r>
      <w:r>
        <w:rPr>
          <w:spacing w:val="-97"/>
        </w:rPr>
      </w:r>
      <w:r>
        <w:rPr/>
        <w:t>售收入达到</w:t>
      </w:r>
      <w:r>
        <w:rPr>
          <w:spacing w:val="-45"/>
        </w:rPr>
        <w:t> </w:t>
      </w:r>
      <w:r>
        <w:rPr>
          <w:rFonts w:ascii="Times New Roman" w:hAnsi="Times New Roman" w:cs="Times New Roman" w:eastAsia="Times New Roman" w:hint="default"/>
        </w:rPr>
        <w:t>1,407</w:t>
      </w:r>
      <w:r>
        <w:rPr>
          <w:rFonts w:ascii="Times New Roman" w:hAnsi="Times New Roman" w:cs="Times New Roman" w:eastAsia="Times New Roman" w:hint="default"/>
          <w:spacing w:val="8"/>
        </w:rPr>
        <w:t> </w:t>
      </w:r>
      <w:r>
        <w:rPr>
          <w:spacing w:val="-5"/>
        </w:rPr>
        <w:t>亿元人民币，同比增长</w:t>
      </w:r>
      <w:r>
        <w:rPr>
          <w:spacing w:val="-44"/>
        </w:rPr>
        <w:t> </w:t>
      </w:r>
      <w:r>
        <w:rPr>
          <w:rFonts w:ascii="Times New Roman" w:hAnsi="Times New Roman" w:cs="Times New Roman" w:eastAsia="Times New Roman" w:hint="default"/>
          <w:spacing w:val="-3"/>
        </w:rPr>
        <w:t>22.9%</w:t>
      </w:r>
      <w:r>
        <w:rPr>
          <w:spacing w:val="-3"/>
        </w:rPr>
        <w:t>。其中中国移动游戏实际销售收入达到</w:t>
      </w:r>
      <w:r>
        <w:rPr>
          <w:spacing w:val="-44"/>
        </w:rPr>
        <w:t> </w:t>
      </w:r>
      <w:r>
        <w:rPr>
          <w:rFonts w:ascii="Times New Roman" w:hAnsi="Times New Roman" w:cs="Times New Roman" w:eastAsia="Times New Roman" w:hint="default"/>
        </w:rPr>
        <w:t>514.6</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亿元人民币，同比增长</w:t>
      </w:r>
      <w:r>
        <w:rPr>
          <w:spacing w:val="-38"/>
        </w:rPr>
        <w:t> </w:t>
      </w:r>
      <w:r>
        <w:rPr>
          <w:rFonts w:ascii="Times New Roman" w:hAnsi="Times New Roman" w:cs="Times New Roman" w:eastAsia="Times New Roman" w:hint="default"/>
        </w:rPr>
        <w:t>87.2%</w:t>
      </w:r>
      <w:r>
        <w:rPr/>
        <w:t>。其中移动游戏市场实际销售收入达到</w:t>
      </w:r>
      <w:r>
        <w:rPr>
          <w:spacing w:val="-38"/>
        </w:rPr>
        <w:t> </w:t>
      </w:r>
      <w:r>
        <w:rPr>
          <w:rFonts w:ascii="Times New Roman" w:hAnsi="Times New Roman" w:cs="Times New Roman" w:eastAsia="Times New Roman" w:hint="default"/>
        </w:rPr>
        <w:t>514.6</w:t>
      </w:r>
      <w:r>
        <w:rPr>
          <w:rFonts w:ascii="Times New Roman" w:hAnsi="Times New Roman" w:cs="Times New Roman" w:eastAsia="Times New Roman" w:hint="default"/>
          <w:spacing w:val="15"/>
        </w:rPr>
        <w:t> </w:t>
      </w:r>
      <w:r>
        <w:rPr/>
        <w:t>亿元人民币，同</w:t>
      </w:r>
      <w:r>
        <w:rPr>
          <w:w w:val="100"/>
        </w:rPr>
        <w:t> </w:t>
      </w:r>
      <w:r>
        <w:rPr/>
        <w:t>比增长</w:t>
      </w:r>
      <w:r>
        <w:rPr>
          <w:spacing w:val="-43"/>
        </w:rPr>
        <w:t> </w:t>
      </w:r>
      <w:r>
        <w:rPr>
          <w:rFonts w:ascii="Times New Roman" w:hAnsi="Times New Roman" w:cs="Times New Roman" w:eastAsia="Times New Roman" w:hint="default"/>
          <w:spacing w:val="-3"/>
        </w:rPr>
        <w:t>87.2%</w:t>
      </w:r>
      <w:r>
        <w:rPr>
          <w:spacing w:val="-3"/>
        </w:rPr>
        <w:t>。</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0"/>
        </w:rPr>
        <w:t> </w:t>
      </w:r>
      <w:r>
        <w:rPr>
          <w:spacing w:val="-3"/>
        </w:rPr>
        <w:t>年，国家新闻出版广电总局批准出版游戏约</w:t>
      </w:r>
      <w:r>
        <w:rPr>
          <w:spacing w:val="-42"/>
        </w:rPr>
        <w:t> </w:t>
      </w:r>
      <w:r>
        <w:rPr>
          <w:rFonts w:ascii="Times New Roman" w:hAnsi="Times New Roman" w:cs="Times New Roman" w:eastAsia="Times New Roman" w:hint="default"/>
        </w:rPr>
        <w:t>750</w:t>
      </w:r>
      <w:r>
        <w:rPr>
          <w:rFonts w:ascii="Times New Roman" w:hAnsi="Times New Roman" w:cs="Times New Roman" w:eastAsia="Times New Roman" w:hint="default"/>
          <w:spacing w:val="10"/>
        </w:rPr>
        <w:t> </w:t>
      </w:r>
      <w:r>
        <w:rPr>
          <w:spacing w:val="-4"/>
        </w:rPr>
        <w:t>款，其中移动游戏占比</w:t>
      </w:r>
      <w:r>
        <w:rPr>
          <w:spacing w:val="-81"/>
        </w:rPr>
        <w:t> </w:t>
      </w:r>
      <w:r>
        <w:rPr>
          <w:spacing w:val="-81"/>
        </w:rPr>
      </w:r>
      <w:r>
        <w:rPr>
          <w:rFonts w:ascii="Times New Roman" w:hAnsi="Times New Roman" w:cs="Times New Roman" w:eastAsia="Times New Roman" w:hint="default"/>
        </w:rPr>
        <w:t>49.7%</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年，批准出版游戏中，北京占比</w:t>
      </w:r>
      <w:r>
        <w:rPr>
          <w:spacing w:val="-56"/>
        </w:rPr>
        <w:t> </w:t>
      </w:r>
      <w:r>
        <w:rPr>
          <w:rFonts w:ascii="Times New Roman" w:hAnsi="Times New Roman" w:cs="Times New Roman" w:eastAsia="Times New Roman" w:hint="default"/>
        </w:rPr>
        <w:t>16.2%</w:t>
      </w:r>
      <w:r>
        <w:rPr/>
        <w:t>，上海占比</w:t>
      </w:r>
      <w:r>
        <w:rPr>
          <w:spacing w:val="-56"/>
        </w:rPr>
        <w:t> </w:t>
      </w:r>
      <w:r>
        <w:rPr>
          <w:rFonts w:ascii="Times New Roman" w:hAnsi="Times New Roman" w:cs="Times New Roman" w:eastAsia="Times New Roman" w:hint="default"/>
        </w:rPr>
        <w:t>51.2%</w:t>
      </w:r>
      <w:r>
        <w:rPr/>
        <w:t>，广东占比</w:t>
      </w:r>
      <w:r>
        <w:rPr>
          <w:spacing w:val="-55"/>
        </w:rPr>
        <w:t> </w:t>
      </w:r>
      <w:r>
        <w:rPr>
          <w:rFonts w:ascii="Times New Roman" w:hAnsi="Times New Roman" w:cs="Times New Roman" w:eastAsia="Times New Roman" w:hint="default"/>
        </w:rPr>
        <w:t>9.0%</w:t>
      </w:r>
      <w:r>
        <w:rPr/>
        <w:t>。此</w:t>
      </w:r>
      <w:r>
        <w:rPr>
          <w:spacing w:val="-3"/>
          <w:w w:val="100"/>
        </w:rPr>
        <w:t> </w:t>
      </w:r>
      <w:r>
        <w:rPr>
          <w:spacing w:val="-19"/>
          <w:w w:val="100"/>
        </w:rPr>
        <w:t>外，</w:t>
      </w:r>
      <w:r>
        <w:rPr>
          <w:rFonts w:ascii="Times New Roman" w:hAnsi="Times New Roman" w:cs="Times New Roman" w:eastAsia="Times New Roman" w:hint="default"/>
          <w:spacing w:val="-19"/>
          <w:w w:val="100"/>
        </w:rPr>
        <w:t>2015</w:t>
      </w:r>
      <w:r>
        <w:rPr>
          <w:rFonts w:ascii="Times New Roman" w:hAnsi="Times New Roman" w:cs="Times New Roman" w:eastAsia="Times New Roman" w:hint="default"/>
          <w:spacing w:val="2"/>
          <w:w w:val="100"/>
        </w:rPr>
        <w:t> </w:t>
      </w:r>
      <w:r>
        <w:rPr>
          <w:spacing w:val="-2"/>
          <w:w w:val="100"/>
        </w:rPr>
        <w:t>年中国自主研发网络游戏海外出口实际销售收入达到</w:t>
      </w:r>
      <w:r>
        <w:rPr>
          <w:spacing w:val="-48"/>
          <w:w w:val="100"/>
        </w:rPr>
        <w:t> </w:t>
      </w:r>
      <w:r>
        <w:rPr>
          <w:rFonts w:ascii="Times New Roman" w:hAnsi="Times New Roman" w:cs="Times New Roman" w:eastAsia="Times New Roman" w:hint="default"/>
          <w:spacing w:val="-1"/>
          <w:w w:val="100"/>
        </w:rPr>
        <w:t>53.1</w:t>
      </w:r>
      <w:r>
        <w:rPr>
          <w:rFonts w:ascii="Times New Roman" w:hAnsi="Times New Roman" w:cs="Times New Roman" w:eastAsia="Times New Roman" w:hint="default"/>
          <w:spacing w:val="5"/>
          <w:w w:val="100"/>
        </w:rPr>
        <w:t> </w:t>
      </w:r>
      <w:r>
        <w:rPr>
          <w:spacing w:val="-15"/>
          <w:w w:val="100"/>
        </w:rPr>
        <w:t>亿美元，同比增长</w:t>
      </w:r>
      <w:r>
        <w:rPr>
          <w:spacing w:val="-51"/>
          <w:w w:val="100"/>
        </w:rPr>
        <w:t> </w:t>
      </w:r>
      <w:r>
        <w:rPr>
          <w:rFonts w:ascii="Times New Roman" w:hAnsi="Times New Roman" w:cs="Times New Roman" w:eastAsia="Times New Roman" w:hint="default"/>
          <w:spacing w:val="-1"/>
          <w:w w:val="100"/>
        </w:rPr>
        <w:t>72.4%</w:t>
      </w:r>
      <w:r>
        <w:rPr>
          <w:spacing w:val="-1"/>
          <w:w w:val="100"/>
        </w:rPr>
        <w:t>。</w:t>
      </w:r>
      <w:r>
        <w:rPr>
          <w:spacing w:val="-104"/>
          <w:w w:val="100"/>
        </w:rPr>
        <w:t> </w:t>
      </w:r>
      <w:r>
        <w:rPr>
          <w:spacing w:val="-3"/>
        </w:rPr>
        <w:t>移动游戏在过去几年得到高速发展，而移动游戏未来的增长速度将更加迅猛，成为拉动中国</w:t>
      </w:r>
      <w:r>
        <w:rPr>
          <w:spacing w:val="-27"/>
        </w:rPr>
        <w:t> </w:t>
      </w:r>
      <w:r>
        <w:rPr>
          <w:spacing w:val="-27"/>
        </w:rPr>
      </w:r>
      <w:r>
        <w:rPr/>
        <w:t>网络游戏市场增长的主要动力。</w:t>
      </w:r>
    </w:p>
    <w:p>
      <w:pPr>
        <w:pStyle w:val="Heading5"/>
        <w:spacing w:line="240" w:lineRule="auto" w:before="63"/>
        <w:ind w:left="585" w:right="0"/>
        <w:jc w:val="left"/>
        <w:rPr>
          <w:b w:val="0"/>
          <w:bCs w:val="0"/>
        </w:rPr>
      </w:pPr>
      <w:r>
        <w:rPr>
          <w:rFonts w:ascii="Times New Roman" w:hAnsi="Times New Roman" w:cs="Times New Roman" w:eastAsia="Times New Roman" w:hint="default"/>
        </w:rPr>
        <w:t>2</w:t>
      </w:r>
      <w:r>
        <w:rPr/>
        <w:t>、教育、文化板块</w:t>
      </w:r>
      <w:r>
        <w:rPr>
          <w:b w:val="0"/>
          <w:bCs w:val="0"/>
        </w:rPr>
      </w:r>
    </w:p>
    <w:p>
      <w:pPr>
        <w:pStyle w:val="Heading6"/>
        <w:spacing w:line="386" w:lineRule="auto" w:before="178"/>
        <w:ind w:right="210" w:firstLine="419"/>
        <w:jc w:val="both"/>
      </w:pPr>
      <w:r>
        <w:rPr>
          <w:spacing w:val="-1"/>
          <w:w w:val="100"/>
        </w:rPr>
        <w:t>（</w:t>
      </w:r>
      <w:r>
        <w:rPr>
          <w:rFonts w:ascii="Times New Roman" w:hAnsi="Times New Roman" w:cs="Times New Roman" w:eastAsia="Times New Roman" w:hint="default"/>
          <w:spacing w:val="-1"/>
          <w:w w:val="100"/>
        </w:rPr>
        <w:t>1</w:t>
      </w:r>
      <w:r>
        <w:rPr>
          <w:spacing w:val="-1"/>
          <w:w w:val="100"/>
        </w:rPr>
        <w:t>）</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w w:val="100"/>
        </w:rPr>
        <w:t> </w:t>
      </w:r>
      <w:r>
        <w:rPr>
          <w:spacing w:val="-6"/>
          <w:w w:val="100"/>
        </w:rPr>
        <w:t>年是“十三五”的开局之年，“十三五”规划建议提出了到</w:t>
      </w:r>
      <w:r>
        <w:rPr>
          <w:w w:val="100"/>
        </w:rPr>
        <w:t> </w:t>
      </w:r>
      <w:r>
        <w:rPr>
          <w:rFonts w:ascii="Times New Roman" w:hAnsi="Times New Roman" w:cs="Times New Roman" w:eastAsia="Times New Roman" w:hint="default"/>
          <w:spacing w:val="-1"/>
          <w:w w:val="100"/>
        </w:rPr>
        <w:t>2020</w:t>
      </w:r>
      <w:r>
        <w:rPr>
          <w:rFonts w:ascii="Times New Roman" w:hAnsi="Times New Roman" w:cs="Times New Roman" w:eastAsia="Times New Roman" w:hint="default"/>
          <w:spacing w:val="-21"/>
          <w:w w:val="100"/>
        </w:rPr>
        <w:t> </w:t>
      </w:r>
      <w:r>
        <w:rPr>
          <w:spacing w:val="-2"/>
          <w:w w:val="100"/>
        </w:rPr>
        <w:t>年文化产业</w:t>
      </w:r>
      <w:r>
        <w:rPr>
          <w:w w:val="100"/>
        </w:rPr>
        <w:t> </w:t>
      </w:r>
      <w:r>
        <w:rPr/>
        <w:t>要成为国民经济支柱性产业的要求。自从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年“两会”上，李克强总理在政府工作报告</w:t>
      </w:r>
      <w:r>
        <w:rPr>
          <w:w w:val="100"/>
        </w:rPr>
        <w:t> </w:t>
      </w:r>
      <w:r>
        <w:rPr>
          <w:spacing w:val="-4"/>
        </w:rPr>
        <w:t>提出制定“互联网</w:t>
      </w:r>
      <w:r>
        <w:rPr>
          <w:rFonts w:ascii="Times New Roman" w:hAnsi="Times New Roman" w:cs="Times New Roman" w:eastAsia="Times New Roman" w:hint="default"/>
          <w:spacing w:val="-4"/>
        </w:rPr>
        <w:t>+</w:t>
      </w:r>
      <w:r>
        <w:rPr>
          <w:spacing w:val="-4"/>
        </w:rPr>
        <w:t>”行动计划之后，互联网</w:t>
      </w:r>
      <w:r>
        <w:rPr>
          <w:rFonts w:ascii="Times New Roman" w:hAnsi="Times New Roman" w:cs="Times New Roman" w:eastAsia="Times New Roman" w:hint="default"/>
          <w:spacing w:val="-4"/>
        </w:rPr>
        <w:t>+</w:t>
      </w:r>
      <w:r>
        <w:rPr>
          <w:spacing w:val="-4"/>
        </w:rPr>
        <w:t>文化，也成为文化产业领域的新趋势，文化产</w:t>
      </w:r>
      <w:r>
        <w:rPr>
          <w:spacing w:val="-18"/>
        </w:rPr>
        <w:t> </w:t>
      </w:r>
      <w:r>
        <w:rPr>
          <w:spacing w:val="-18"/>
        </w:rPr>
      </w:r>
      <w:r>
        <w:rPr/>
        <w:t>业越来越受到各地政府的重视，互联网催生了很多文化产业新业态，也创造了更多机会。</w:t>
      </w:r>
    </w:p>
    <w:p>
      <w:pPr>
        <w:pStyle w:val="Heading6"/>
        <w:spacing w:line="408" w:lineRule="auto" w:before="65"/>
        <w:ind w:right="210" w:firstLine="419"/>
        <w:jc w:val="both"/>
      </w:pPr>
      <w:r>
        <w:rPr>
          <w:spacing w:val="-3"/>
        </w:rPr>
        <w:t>从政策层面上来看，不但有针对网络文学、网络音乐、智慧旅游等具体互联网文化产业</w:t>
      </w:r>
      <w:r>
        <w:rPr>
          <w:w w:val="100"/>
        </w:rPr>
        <w:t> </w:t>
      </w:r>
      <w:r>
        <w:rPr>
          <w:spacing w:val="-3"/>
        </w:rPr>
        <w:t>的政策，还有规范网络转载版权秩序、打击侵权行为等维护良好市场环境的措施。此外，在</w:t>
      </w:r>
    </w:p>
    <w:p>
      <w:pPr>
        <w:pStyle w:val="Heading6"/>
        <w:spacing w:line="386" w:lineRule="auto" w:before="46"/>
        <w:ind w:right="0"/>
        <w:jc w:val="left"/>
      </w:pPr>
      <w:r>
        <w:rPr/>
        <w:t>《关于积极推进“互联网</w:t>
      </w:r>
      <w:r>
        <w:rPr>
          <w:rFonts w:ascii="Times New Roman" w:hAnsi="Times New Roman" w:cs="Times New Roman" w:eastAsia="Times New Roman" w:hint="default"/>
        </w:rPr>
        <w:t>+</w:t>
      </w:r>
      <w:r>
        <w:rPr/>
        <w:t>”行动的指导意见》和《关于推进线上线下互动加快商贸流通创</w:t>
      </w:r>
      <w:r>
        <w:rPr>
          <w:spacing w:val="-50"/>
        </w:rPr>
        <w:t> </w:t>
      </w:r>
      <w:r>
        <w:rPr>
          <w:spacing w:val="-50"/>
        </w:rPr>
      </w:r>
      <w:r>
        <w:rPr/>
        <w:t>新发展转型升级的意见》等促进互联网相关产业发展的规划中，也均提到了文化产业。</w:t>
      </w:r>
    </w:p>
    <w:p>
      <w:pPr>
        <w:pStyle w:val="Heading6"/>
        <w:spacing w:line="240" w:lineRule="auto" w:before="65"/>
        <w:ind w:left="583"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月，国家新闻出版广电总局、财政部联合印发《关于推动传统出版和新</w:t>
      </w:r>
    </w:p>
    <w:p>
      <w:pPr>
        <w:spacing w:after="0" w:line="240" w:lineRule="auto"/>
        <w:jc w:val="left"/>
        <w:sectPr>
          <w:pgSz w:w="11910" w:h="16840"/>
          <w:pgMar w:header="0" w:footer="959" w:top="1460" w:bottom="1140" w:left="1680" w:right="1480"/>
        </w:sectPr>
      </w:pPr>
    </w:p>
    <w:p>
      <w:pPr>
        <w:pStyle w:val="Heading6"/>
        <w:spacing w:line="408" w:lineRule="auto" w:before="6"/>
        <w:ind w:right="210"/>
        <w:jc w:val="both"/>
      </w:pPr>
      <w:r>
        <w:rPr>
          <w:spacing w:val="-8"/>
          <w:w w:val="100"/>
        </w:rPr>
        <w:t>兴出版融合发展的指导意见》。《意见》指出：“按照积极推进、科学发展、规范管理、确保</w:t>
      </w:r>
      <w:r>
        <w:rPr>
          <w:spacing w:val="-75"/>
          <w:w w:val="100"/>
        </w:rPr>
        <w:t> </w:t>
      </w:r>
      <w:r>
        <w:rPr>
          <w:spacing w:val="-75"/>
          <w:w w:val="100"/>
        </w:rPr>
      </w:r>
      <w:r>
        <w:rPr>
          <w:spacing w:val="-3"/>
        </w:rPr>
        <w:t>导向的要求，立足传统出版，发挥内容优势，运用先进技术，走向网络空间，切实推动传统</w:t>
      </w:r>
      <w:r>
        <w:rPr>
          <w:spacing w:val="-35"/>
        </w:rPr>
        <w:t> </w:t>
      </w:r>
      <w:r>
        <w:rPr>
          <w:spacing w:val="-35"/>
        </w:rPr>
      </w:r>
      <w:r>
        <w:rPr>
          <w:spacing w:val="-3"/>
        </w:rPr>
        <w:t>出版和新兴出版在内容、渠道、平台、经营、管理等方面深度融合，实现出版内容、技术应</w:t>
      </w:r>
      <w:r>
        <w:rPr>
          <w:spacing w:val="-29"/>
        </w:rPr>
        <w:t> </w:t>
      </w:r>
      <w:r>
        <w:rPr>
          <w:spacing w:val="-29"/>
        </w:rPr>
      </w:r>
      <w:r>
        <w:rPr>
          <w:spacing w:val="-3"/>
          <w:w w:val="100"/>
        </w:rPr>
        <w:t>用、平台终端、人才队伍的共享融通，形成一体化的组织结构、传播体系和管理机制。”为</w:t>
      </w:r>
      <w:r>
        <w:rPr>
          <w:spacing w:val="-70"/>
          <w:w w:val="100"/>
        </w:rPr>
        <w:t> </w:t>
      </w:r>
      <w:r>
        <w:rPr>
          <w:spacing w:val="-70"/>
          <w:w w:val="100"/>
        </w:rPr>
      </w:r>
      <w:r>
        <w:rPr>
          <w:spacing w:val="-3"/>
        </w:rPr>
        <w:t>传统出版业指明了发展方向，进一步推动传统出版行业积极布局，向互联网借力，建设“互</w:t>
      </w:r>
      <w:r>
        <w:rPr>
          <w:spacing w:val="-28"/>
        </w:rPr>
        <w:t> </w:t>
      </w:r>
      <w:r>
        <w:rPr>
          <w:spacing w:val="-28"/>
        </w:rPr>
      </w:r>
      <w:r>
        <w:rPr/>
        <w:t>联网</w:t>
      </w:r>
      <w:r>
        <w:rPr>
          <w:rFonts w:ascii="Times New Roman" w:hAnsi="Times New Roman" w:cs="Times New Roman" w:eastAsia="Times New Roman" w:hint="default"/>
        </w:rPr>
        <w:t>+</w:t>
      </w:r>
      <w:r>
        <w:rPr/>
        <w:t>”机制，为传统出版加上互联网之翼。</w:t>
      </w:r>
    </w:p>
    <w:p>
      <w:pPr>
        <w:pStyle w:val="Heading6"/>
        <w:spacing w:line="240" w:lineRule="auto" w:before="14"/>
        <w:ind w:left="583"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25 </w:t>
      </w:r>
      <w:r>
        <w:rPr/>
        <w:t>日财政部国家税务总局联合发布了《关于延续宣传文化增值税和</w:t>
      </w:r>
    </w:p>
    <w:p>
      <w:pPr>
        <w:pStyle w:val="Heading6"/>
        <w:spacing w:line="240" w:lineRule="auto" w:before="178"/>
        <w:ind w:right="0"/>
        <w:jc w:val="both"/>
      </w:pPr>
      <w:r>
        <w:rPr>
          <w:spacing w:val="-3"/>
        </w:rPr>
        <w:t>营业税优惠政策的通知》</w:t>
      </w:r>
      <w:r>
        <w:rPr>
          <w:rFonts w:ascii="Times New Roman" w:hAnsi="Times New Roman" w:cs="Times New Roman" w:eastAsia="Times New Roman" w:hint="default"/>
          <w:spacing w:val="-3"/>
        </w:rPr>
        <w:t>(</w:t>
      </w:r>
      <w:r>
        <w:rPr>
          <w:spacing w:val="-3"/>
        </w:rPr>
        <w:t>财税</w:t>
      </w:r>
      <w:r>
        <w:rPr>
          <w:rFonts w:ascii="Times New Roman" w:hAnsi="Times New Roman" w:cs="Times New Roman" w:eastAsia="Times New Roman" w:hint="default"/>
          <w:spacing w:val="-3"/>
        </w:rPr>
        <w:t>[2013]87</w:t>
      </w:r>
      <w:r>
        <w:rPr>
          <w:rFonts w:ascii="Times New Roman" w:hAnsi="Times New Roman" w:cs="Times New Roman" w:eastAsia="Times New Roman" w:hint="default"/>
          <w:spacing w:val="6"/>
        </w:rPr>
        <w:t> </w:t>
      </w:r>
      <w:r>
        <w:rPr>
          <w:spacing w:val="-4"/>
        </w:rPr>
        <w:t>号</w:t>
      </w:r>
      <w:r>
        <w:rPr>
          <w:rFonts w:ascii="Times New Roman" w:hAnsi="Times New Roman" w:cs="Times New Roman" w:eastAsia="Times New Roman" w:hint="default"/>
          <w:spacing w:val="-4"/>
        </w:rPr>
        <w:t>)</w:t>
      </w:r>
      <w:r>
        <w:rPr>
          <w:spacing w:val="-4"/>
        </w:rPr>
        <w:t>，根据该通知第二条规定自</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日起至</w:t>
      </w:r>
    </w:p>
    <w:p>
      <w:pPr>
        <w:pStyle w:val="Heading6"/>
        <w:spacing w:line="398" w:lineRule="auto" w:before="177"/>
        <w:ind w:right="21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spacing w:val="-5"/>
        </w:rPr>
        <w:t>日，免征图书批发、零售环节增值税。根据此项政策，民营图书发行企业在</w:t>
      </w:r>
      <w:r>
        <w:rPr>
          <w:spacing w:val="-99"/>
        </w:rPr>
        <w:t> </w:t>
      </w:r>
      <w:r>
        <w:rPr>
          <w:spacing w:val="-99"/>
        </w:rPr>
      </w:r>
      <w:r>
        <w:rPr>
          <w:spacing w:val="-3"/>
        </w:rPr>
        <w:t>图书批发、零售环节将享受与国有图书发行企业同等的税收优惠政策，有利于提升民营图书</w:t>
      </w:r>
      <w:r>
        <w:rPr>
          <w:spacing w:val="-26"/>
        </w:rPr>
        <w:t> </w:t>
      </w:r>
      <w:r>
        <w:rPr>
          <w:spacing w:val="-26"/>
        </w:rPr>
      </w:r>
      <w:r>
        <w:rPr/>
        <w:t>发行企业经济效益。</w:t>
      </w:r>
    </w:p>
    <w:p>
      <w:pPr>
        <w:spacing w:line="408" w:lineRule="auto" w:before="54"/>
        <w:ind w:left="583" w:right="0" w:firstLine="2"/>
        <w:jc w:val="left"/>
        <w:rPr>
          <w:rFonts w:ascii="宋体" w:hAnsi="宋体" w:cs="宋体" w:eastAsia="宋体" w:hint="default"/>
          <w:sz w:val="21"/>
          <w:szCs w:val="21"/>
        </w:rPr>
      </w:pPr>
      <w:r>
        <w:rPr>
          <w:rFonts w:ascii="宋体" w:hAnsi="宋体" w:cs="宋体" w:eastAsia="宋体" w:hint="default"/>
          <w:b/>
          <w:bCs/>
          <w:sz w:val="21"/>
          <w:szCs w:val="21"/>
        </w:rPr>
        <w:t>（二）公司未来发展战略</w:t>
      </w:r>
      <w:r>
        <w:rPr>
          <w:rFonts w:ascii="宋体" w:hAnsi="宋体" w:cs="宋体" w:eastAsia="宋体" w:hint="default"/>
          <w:b/>
          <w:bCs/>
          <w:w w:val="100"/>
          <w:sz w:val="21"/>
          <w:szCs w:val="21"/>
        </w:rPr>
        <w:t> </w:t>
      </w:r>
      <w:r>
        <w:rPr>
          <w:rFonts w:ascii="宋体" w:hAnsi="宋体" w:cs="宋体" w:eastAsia="宋体" w:hint="default"/>
          <w:spacing w:val="-3"/>
          <w:sz w:val="21"/>
          <w:szCs w:val="21"/>
        </w:rPr>
        <w:t>公司将抓住国家大力推进文化产业大发展、大繁荣的良好机遇，积极布局教育资源与服</w:t>
      </w:r>
    </w:p>
    <w:p>
      <w:pPr>
        <w:pStyle w:val="Heading6"/>
        <w:spacing w:line="408" w:lineRule="auto" w:before="46"/>
        <w:ind w:right="210"/>
        <w:jc w:val="both"/>
      </w:pPr>
      <w:r>
        <w:rPr>
          <w:spacing w:val="-3"/>
        </w:rPr>
        <w:t>务、移动互联网娱乐、优秀文化的传承与传播三大领域，发展成为国内一流、在国际上有一</w:t>
      </w:r>
      <w:r>
        <w:rPr>
          <w:spacing w:val="-28"/>
        </w:rPr>
        <w:t> </w:t>
      </w:r>
      <w:r>
        <w:rPr>
          <w:spacing w:val="-28"/>
        </w:rPr>
      </w:r>
      <w:r>
        <w:rPr/>
        <w:t>定知名度的文化产业集团。</w:t>
      </w:r>
    </w:p>
    <w:p>
      <w:pPr>
        <w:pStyle w:val="Heading5"/>
        <w:spacing w:line="240" w:lineRule="auto" w:before="46"/>
        <w:ind w:left="585" w:right="0"/>
        <w:jc w:val="left"/>
        <w:rPr>
          <w:b w:val="0"/>
          <w:bCs w:val="0"/>
        </w:rPr>
      </w:pPr>
      <w:r>
        <w:rPr/>
        <w:t>（三）</w:t>
      </w:r>
      <w:r>
        <w:rPr>
          <w:rFonts w:ascii="Times New Roman" w:hAnsi="Times New Roman" w:cs="Times New Roman" w:eastAsia="Times New Roman" w:hint="default"/>
        </w:rPr>
        <w:t>2016 </w:t>
      </w:r>
      <w:r>
        <w:rPr/>
        <w:t>年经营工作计划</w:t>
      </w:r>
      <w:r>
        <w:rPr>
          <w:b w:val="0"/>
          <w:bCs w:val="0"/>
        </w:rPr>
      </w:r>
    </w:p>
    <w:p>
      <w:pPr>
        <w:pStyle w:val="Heading6"/>
        <w:spacing w:line="393" w:lineRule="auto" w:before="177"/>
        <w:ind w:right="210" w:firstLine="419"/>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33"/>
        </w:rPr>
        <w:t> </w:t>
      </w:r>
      <w:r>
        <w:rPr>
          <w:spacing w:val="-4"/>
        </w:rPr>
        <w:t>年，是国家“十三五”规划的开局之年，也是天舟上市后第二个五年发展期的起始</w:t>
      </w:r>
      <w:r>
        <w:rPr>
          <w:w w:val="100"/>
        </w:rPr>
        <w:t> </w:t>
      </w:r>
      <w:r>
        <w:rPr>
          <w:spacing w:val="-3"/>
        </w:rPr>
        <w:t>之年。公司将紧密围绕发展战略，加快业务发展，推进资源整合和投资并购，进一步推动经</w:t>
      </w:r>
      <w:r>
        <w:rPr>
          <w:spacing w:val="-28"/>
        </w:rPr>
        <w:t> </w:t>
      </w:r>
      <w:r>
        <w:rPr>
          <w:spacing w:val="-28"/>
        </w:rPr>
      </w:r>
      <w:r>
        <w:rPr/>
        <w:t>营业绩的快速提升和业务结构的转型跨越。为确保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年经营目标的实现，公司将着重做</w:t>
      </w:r>
      <w:r>
        <w:rPr>
          <w:w w:val="100"/>
        </w:rPr>
        <w:t> </w:t>
      </w:r>
      <w:r>
        <w:rPr/>
        <w:t>好以下工作：</w:t>
      </w:r>
    </w:p>
    <w:p>
      <w:pPr>
        <w:pStyle w:val="Heading5"/>
        <w:spacing w:line="240" w:lineRule="auto" w:before="58"/>
        <w:ind w:left="585" w:right="0"/>
        <w:jc w:val="left"/>
        <w:rPr>
          <w:b w:val="0"/>
          <w:bCs w:val="0"/>
        </w:rPr>
      </w:pPr>
      <w:r>
        <w:rPr>
          <w:rFonts w:ascii="Times New Roman" w:hAnsi="Times New Roman" w:cs="Times New Roman" w:eastAsia="Times New Roman" w:hint="default"/>
        </w:rPr>
        <w:t>1</w:t>
      </w:r>
      <w:r>
        <w:rPr/>
        <w:t>、加快推进投资并购，持续推动外延式发展</w:t>
      </w:r>
      <w:r>
        <w:rPr>
          <w:b w:val="0"/>
          <w:bCs w:val="0"/>
        </w:rPr>
      </w:r>
    </w:p>
    <w:p>
      <w:pPr>
        <w:pStyle w:val="Heading6"/>
        <w:spacing w:line="400" w:lineRule="auto" w:before="178"/>
        <w:ind w:right="0" w:firstLine="419"/>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spacing w:val="-4"/>
        </w:rPr>
        <w:t>年，公司将重点推进并购重组游爱网络、控股派娱科技及人民今典各项工作，持续</w:t>
      </w:r>
      <w:r>
        <w:rPr>
          <w:w w:val="100"/>
        </w:rPr>
        <w:t> </w:t>
      </w:r>
      <w:r>
        <w:rPr>
          <w:spacing w:val="-3"/>
        </w:rPr>
        <w:t>通过外延方式拓展娱乐业务布局，通过投资并购多样化游戏产品类型增加新的盈利点，构建</w:t>
      </w:r>
      <w:r>
        <w:rPr>
          <w:spacing w:val="-27"/>
        </w:rPr>
        <w:t> </w:t>
      </w:r>
      <w:r>
        <w:rPr>
          <w:spacing w:val="-27"/>
        </w:rPr>
      </w:r>
      <w:r>
        <w:rPr>
          <w:spacing w:val="-5"/>
        </w:rPr>
        <w:t>手游全产业链，实现产品类型全覆盖。确保充分发挥各投资标的协同效应，将促进公司教育、</w:t>
      </w:r>
      <w:r>
        <w:rPr>
          <w:spacing w:val="-48"/>
        </w:rPr>
        <w:t> </w:t>
      </w:r>
      <w:r>
        <w:rPr>
          <w:spacing w:val="-48"/>
        </w:rPr>
      </w:r>
      <w:r>
        <w:rPr/>
        <w:t>文化、娱乐业务的良性、有效、可持续发展。</w:t>
      </w:r>
    </w:p>
    <w:p>
      <w:pPr>
        <w:spacing w:line="386" w:lineRule="auto" w:before="52"/>
        <w:ind w:left="58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、实现线下资源和线上资源的统筹发展</w:t>
      </w:r>
      <w:r>
        <w:rPr>
          <w:rFonts w:ascii="宋体" w:hAnsi="宋体" w:cs="宋体" w:eastAsia="宋体" w:hint="default"/>
          <w:b/>
          <w:bCs/>
          <w:w w:val="100"/>
          <w:sz w:val="21"/>
          <w:szCs w:val="21"/>
        </w:rPr>
        <w:t> </w:t>
      </w:r>
      <w:r>
        <w:rPr>
          <w:rFonts w:ascii="宋体" w:hAnsi="宋体" w:cs="宋体" w:eastAsia="宋体" w:hint="default"/>
          <w:spacing w:val="-2"/>
          <w:sz w:val="21"/>
          <w:szCs w:val="21"/>
        </w:rPr>
        <w:t>在教育出版领域，借助决胜网的平台和技术力量，推进线下内容资源的互联网产品化，</w:t>
      </w:r>
    </w:p>
    <w:p>
      <w:pPr>
        <w:pStyle w:val="Heading6"/>
        <w:spacing w:line="398" w:lineRule="auto" w:before="65"/>
        <w:ind w:right="210"/>
        <w:jc w:val="both"/>
      </w:pPr>
      <w:r>
        <w:rPr>
          <w:spacing w:val="-3"/>
        </w:rPr>
        <w:t>在“互联网</w:t>
      </w:r>
      <w:r>
        <w:rPr>
          <w:rFonts w:ascii="Times New Roman" w:hAnsi="Times New Roman" w:cs="Times New Roman" w:eastAsia="Times New Roman" w:hint="default"/>
          <w:spacing w:val="-3"/>
        </w:rPr>
        <w:t>+</w:t>
      </w:r>
      <w:r>
        <w:rPr>
          <w:spacing w:val="-3"/>
        </w:rPr>
        <w:t>”上找到突破口。在移动互联网娱乐领域，积极探索 </w:t>
      </w:r>
      <w:r>
        <w:rPr>
          <w:rFonts w:ascii="Times New Roman" w:hAnsi="Times New Roman" w:cs="Times New Roman" w:eastAsia="Times New Roman" w:hint="default"/>
          <w:spacing w:val="-3"/>
        </w:rPr>
        <w:t>IP </w:t>
      </w:r>
      <w:r>
        <w:rPr/>
        <w:t>资源的线下开发，借助</w:t>
      </w:r>
      <w:r>
        <w:rPr>
          <w:spacing w:val="-100"/>
        </w:rPr>
        <w:t> </w:t>
      </w:r>
      <w:r>
        <w:rPr>
          <w:spacing w:val="-100"/>
        </w:rPr>
      </w:r>
      <w:r>
        <w:rPr>
          <w:spacing w:val="-3"/>
        </w:rPr>
        <w:t>公司旗下出版企业的资源、渠道等出版发行纸质图书，以增进产品与游戏玩家和社会大众的</w:t>
      </w:r>
      <w:r>
        <w:rPr>
          <w:spacing w:val="-28"/>
        </w:rPr>
        <w:t> </w:t>
      </w:r>
      <w:r>
        <w:rPr>
          <w:spacing w:val="-28"/>
        </w:rPr>
      </w:r>
      <w:r>
        <w:rPr/>
        <w:t>黏着力。</w:t>
      </w:r>
    </w:p>
    <w:p>
      <w:pPr>
        <w:spacing w:after="0" w:line="398" w:lineRule="auto"/>
        <w:jc w:val="both"/>
        <w:sectPr>
          <w:pgSz w:w="11910" w:h="16840"/>
          <w:pgMar w:header="0" w:footer="959" w:top="1480" w:bottom="1140" w:left="1680" w:right="1480"/>
        </w:sectPr>
      </w:pPr>
    </w:p>
    <w:p>
      <w:pPr>
        <w:spacing w:line="386" w:lineRule="auto" w:before="6"/>
        <w:ind w:left="58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、实现产业链上游和下游的统筹发展</w:t>
      </w:r>
      <w:r>
        <w:rPr>
          <w:rFonts w:ascii="宋体" w:hAnsi="宋体" w:cs="宋体" w:eastAsia="宋体" w:hint="default"/>
          <w:b/>
          <w:bCs/>
          <w:w w:val="100"/>
          <w:sz w:val="21"/>
          <w:szCs w:val="21"/>
        </w:rPr>
        <w:t> </w:t>
      </w:r>
      <w:r>
        <w:rPr>
          <w:rFonts w:ascii="宋体" w:hAnsi="宋体" w:cs="宋体" w:eastAsia="宋体" w:hint="default"/>
          <w:spacing w:val="-2"/>
          <w:sz w:val="21"/>
          <w:szCs w:val="21"/>
        </w:rPr>
        <w:t>按内部市场化的原则，教育出版领域，除了做好既定市场，还要加强内容研发的力度，</w:t>
      </w:r>
    </w:p>
    <w:p>
      <w:pPr>
        <w:pStyle w:val="Heading6"/>
        <w:spacing w:line="398" w:lineRule="auto" w:before="65"/>
        <w:ind w:right="107"/>
        <w:jc w:val="both"/>
      </w:pPr>
      <w:r>
        <w:rPr>
          <w:spacing w:val="-5"/>
        </w:rPr>
        <w:t>多出精品，向市场输送热销、常销产品。在移动互联网娱乐领域，大力探索一体化发展战略，</w:t>
      </w:r>
      <w:r>
        <w:rPr>
          <w:spacing w:val="-49"/>
        </w:rPr>
        <w:t> </w:t>
      </w:r>
      <w:r>
        <w:rPr>
          <w:spacing w:val="-49"/>
        </w:rPr>
      </w:r>
      <w:r>
        <w:rPr>
          <w:spacing w:val="-3"/>
        </w:rPr>
        <w:t>未来，公司将继续深化游戏全产业链布局，发挥集团优势，实现 </w:t>
      </w:r>
      <w:r>
        <w:rPr>
          <w:rFonts w:ascii="Times New Roman" w:hAnsi="Times New Roman" w:cs="Times New Roman" w:eastAsia="Times New Roman" w:hint="default"/>
          <w:spacing w:val="-3"/>
        </w:rPr>
        <w:t>1+1</w:t>
      </w:r>
      <w:r>
        <w:rPr>
          <w:spacing w:val="-3"/>
        </w:rPr>
        <w:t>〉</w:t>
      </w:r>
      <w:r>
        <w:rPr>
          <w:rFonts w:ascii="Times New Roman" w:hAnsi="Times New Roman" w:cs="Times New Roman" w:eastAsia="Times New Roman" w:hint="default"/>
          <w:spacing w:val="-3"/>
        </w:rPr>
        <w:t>2 </w:t>
      </w:r>
      <w:r>
        <w:rPr>
          <w:spacing w:val="-3"/>
        </w:rPr>
        <w:t>的协同效果。同时，</w:t>
      </w:r>
      <w:r>
        <w:rPr>
          <w:spacing w:val="-87"/>
        </w:rPr>
        <w:t> </w:t>
      </w:r>
      <w:r>
        <w:rPr>
          <w:spacing w:val="-87"/>
        </w:rPr>
      </w:r>
      <w:r>
        <w:rPr/>
        <w:t>在泛互联网领域加大投资和布局，加强用户互动，补充公司移动互联生态。</w:t>
      </w:r>
    </w:p>
    <w:p>
      <w:pPr>
        <w:spacing w:line="386" w:lineRule="auto" w:before="54"/>
        <w:ind w:left="58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、实现省内外、海内外市场的统筹发展</w:t>
      </w:r>
      <w:r>
        <w:rPr>
          <w:rFonts w:ascii="宋体" w:hAnsi="宋体" w:cs="宋体" w:eastAsia="宋体" w:hint="default"/>
          <w:b/>
          <w:bCs/>
          <w:w w:val="100"/>
          <w:sz w:val="21"/>
          <w:szCs w:val="21"/>
        </w:rPr>
        <w:t> </w:t>
      </w:r>
      <w:r>
        <w:rPr>
          <w:rFonts w:ascii="宋体" w:hAnsi="宋体" w:cs="宋体" w:eastAsia="宋体" w:hint="default"/>
          <w:spacing w:val="-5"/>
          <w:sz w:val="21"/>
          <w:szCs w:val="21"/>
        </w:rPr>
        <w:t>教育出版领域，以湖南市场为大本营，稳中求进，取得新突破。省外市场是新的增长点，</w:t>
      </w:r>
    </w:p>
    <w:p>
      <w:pPr>
        <w:pStyle w:val="Heading6"/>
        <w:spacing w:line="398" w:lineRule="auto" w:before="65"/>
        <w:ind w:right="0"/>
        <w:jc w:val="left"/>
      </w:pPr>
      <w:r>
        <w:rPr>
          <w:spacing w:val="-3"/>
        </w:rPr>
        <w:t>目前已初步完成了全覆盖的市场布局，</w:t>
      </w:r>
      <w:r>
        <w:rPr>
          <w:rFonts w:ascii="Times New Roman" w:hAnsi="Times New Roman" w:cs="Times New Roman" w:eastAsia="Times New Roman" w:hint="default"/>
          <w:spacing w:val="-3"/>
        </w:rPr>
        <w:t>2016 </w:t>
      </w:r>
      <w:r>
        <w:rPr>
          <w:spacing w:val="-5"/>
        </w:rPr>
        <w:t>年要发力突破；海外市场方面，尽快推进完成人</w:t>
      </w:r>
      <w:r>
        <w:rPr>
          <w:spacing w:val="-80"/>
        </w:rPr>
        <w:t> </w:t>
      </w:r>
      <w:r>
        <w:rPr>
          <w:spacing w:val="-80"/>
        </w:rPr>
      </w:r>
      <w:r>
        <w:rPr>
          <w:spacing w:val="-5"/>
        </w:rPr>
        <w:t>民天舟正式注册与正常运作，发力对外专项出版业务。同时进一步扩大网络游戏的海外推广，</w:t>
      </w:r>
      <w:r>
        <w:rPr>
          <w:spacing w:val="-52"/>
        </w:rPr>
        <w:t> </w:t>
      </w:r>
      <w:r>
        <w:rPr>
          <w:spacing w:val="-52"/>
        </w:rPr>
      </w:r>
      <w:r>
        <w:rPr/>
        <w:t>不断增加市场份额与盈利水平。加强海外市场考察，加大资本“走出去”的步伐。</w:t>
      </w:r>
    </w:p>
    <w:p>
      <w:pPr>
        <w:spacing w:line="386" w:lineRule="auto" w:before="54"/>
        <w:ind w:left="58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、推进总部职能转型，落地员工持股计划</w:t>
      </w:r>
      <w:r>
        <w:rPr>
          <w:rFonts w:ascii="宋体" w:hAnsi="宋体" w:cs="宋体" w:eastAsia="宋体" w:hint="default"/>
          <w:b/>
          <w:bCs/>
          <w:w w:val="100"/>
          <w:sz w:val="21"/>
          <w:szCs w:val="21"/>
        </w:rPr>
        <w:t> </w:t>
      </w:r>
      <w:r>
        <w:rPr>
          <w:rFonts w:ascii="宋体" w:hAnsi="宋体" w:cs="宋体" w:eastAsia="宋体" w:hint="default"/>
          <w:spacing w:val="-3"/>
          <w:sz w:val="21"/>
          <w:szCs w:val="21"/>
        </w:rPr>
        <w:t>按照国内一流的文化产业集团的目标，继续推进总部职能的转型，发挥总部作为战略中</w:t>
      </w:r>
    </w:p>
    <w:p>
      <w:pPr>
        <w:pStyle w:val="Heading6"/>
        <w:spacing w:line="408" w:lineRule="auto" w:before="65"/>
        <w:ind w:right="174"/>
        <w:jc w:val="both"/>
      </w:pPr>
      <w:r>
        <w:rPr>
          <w:spacing w:val="-3"/>
        </w:rPr>
        <w:t>心、投资中心、管理中心和服务中心的功能；继续推进企业内设机构的调整工作，根据产业</w:t>
      </w:r>
      <w:r>
        <w:rPr>
          <w:spacing w:val="-28"/>
        </w:rPr>
        <w:t> </w:t>
      </w:r>
      <w:r>
        <w:rPr>
          <w:spacing w:val="-28"/>
        </w:rPr>
      </w:r>
      <w:r>
        <w:rPr>
          <w:spacing w:val="-3"/>
        </w:rPr>
        <w:t>发展的需要，匹配四大中心的要求，配套专业人才的引进，把握逐步实施的节奏。计划将运</w:t>
      </w:r>
      <w:r>
        <w:rPr>
          <w:spacing w:val="-28"/>
        </w:rPr>
        <w:t> </w:t>
      </w:r>
      <w:r>
        <w:rPr>
          <w:spacing w:val="-28"/>
        </w:rPr>
      </w:r>
      <w:r>
        <w:rPr>
          <w:spacing w:val="-2"/>
        </w:rPr>
        <w:t>营部改组为教育产业部，统筹协调教育资源与服务板块的管理和服务；将新设娱乐产业部，</w:t>
      </w:r>
      <w:r>
        <w:rPr>
          <w:spacing w:val="-31"/>
        </w:rPr>
        <w:t> </w:t>
      </w:r>
      <w:r>
        <w:rPr>
          <w:spacing w:val="-31"/>
        </w:rPr>
      </w:r>
      <w:r>
        <w:rPr>
          <w:spacing w:val="-3"/>
        </w:rPr>
        <w:t>统筹协调娱乐资源与服务板块的管理和服务；未来还将筹备设立国际部，以统筹协调公司的</w:t>
      </w:r>
      <w:r>
        <w:rPr>
          <w:spacing w:val="-27"/>
        </w:rPr>
        <w:t> </w:t>
      </w:r>
      <w:r>
        <w:rPr>
          <w:spacing w:val="-27"/>
        </w:rPr>
      </w:r>
      <w:r>
        <w:rPr>
          <w:spacing w:val="-3"/>
        </w:rPr>
        <w:t>国际化工作；完善长效激励机制，推进员工持股计划的落地与实施，进一步提升公司团队的</w:t>
      </w:r>
      <w:r>
        <w:rPr>
          <w:spacing w:val="-33"/>
        </w:rPr>
        <w:t> </w:t>
      </w:r>
      <w:r>
        <w:rPr>
          <w:spacing w:val="-33"/>
        </w:rPr>
      </w:r>
      <w:r>
        <w:rPr/>
        <w:t>凝聚力和向心力。</w:t>
      </w:r>
    </w:p>
    <w:p>
      <w:pPr>
        <w:pStyle w:val="Heading5"/>
        <w:spacing w:line="240" w:lineRule="auto" w:before="46"/>
        <w:ind w:left="585" w:right="0"/>
        <w:jc w:val="left"/>
        <w:rPr>
          <w:b w:val="0"/>
          <w:bCs w:val="0"/>
        </w:rPr>
      </w:pPr>
      <w:r>
        <w:rPr/>
        <w:t>（四）可能面对的风险</w:t>
      </w:r>
      <w:r>
        <w:rPr>
          <w:b w:val="0"/>
          <w:bCs w:val="0"/>
        </w:rPr>
      </w:r>
    </w:p>
    <w:p>
      <w:pPr>
        <w:spacing w:line="240" w:lineRule="auto" w:before="10"/>
        <w:rPr>
          <w:rFonts w:ascii="宋体" w:hAnsi="宋体" w:cs="宋体" w:eastAsia="宋体" w:hint="default"/>
          <w:b/>
          <w:bCs/>
          <w:sz w:val="14"/>
          <w:szCs w:val="14"/>
        </w:rPr>
      </w:pPr>
    </w:p>
    <w:p>
      <w:pPr>
        <w:pStyle w:val="Heading5"/>
        <w:spacing w:line="240" w:lineRule="auto"/>
        <w:ind w:left="585" w:right="0"/>
        <w:jc w:val="left"/>
        <w:rPr>
          <w:b w:val="0"/>
          <w:bCs w:val="0"/>
        </w:rPr>
      </w:pPr>
      <w:r>
        <w:rPr>
          <w:rFonts w:ascii="Times New Roman" w:hAnsi="Times New Roman" w:cs="Times New Roman" w:eastAsia="Times New Roman" w:hint="default"/>
        </w:rPr>
        <w:t>1</w:t>
      </w:r>
      <w:r>
        <w:rPr/>
        <w:t>、重大资产重组风险</w:t>
      </w:r>
      <w:r>
        <w:rPr>
          <w:b w:val="0"/>
          <w:bCs w:val="0"/>
        </w:rPr>
      </w:r>
    </w:p>
    <w:p>
      <w:pPr>
        <w:pStyle w:val="Heading6"/>
        <w:spacing w:line="396" w:lineRule="auto" w:before="177"/>
        <w:ind w:right="210" w:firstLine="419"/>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17</w:t>
      </w:r>
      <w:r>
        <w:rPr>
          <w:rFonts w:ascii="Times New Roman" w:hAnsi="Times New Roman" w:cs="Times New Roman" w:eastAsia="Times New Roman" w:hint="default"/>
          <w:spacing w:val="12"/>
        </w:rPr>
        <w:t> </w:t>
      </w:r>
      <w:r>
        <w:rPr>
          <w:spacing w:val="-5"/>
        </w:rPr>
        <w:t>日，公司召开了第二届董事会第四十三次会议，审议通过了发行股份及</w:t>
      </w:r>
      <w:r>
        <w:rPr>
          <w:w w:val="100"/>
        </w:rPr>
        <w:t> </w:t>
      </w:r>
      <w:r>
        <w:rPr/>
        <w:t>支付现金购买游爱网络</w:t>
      </w:r>
      <w:r>
        <w:rPr>
          <w:spacing w:val="-6"/>
        </w:rPr>
        <w:t> </w:t>
      </w:r>
      <w:r>
        <w:rPr>
          <w:rFonts w:ascii="Times New Roman" w:hAnsi="Times New Roman" w:cs="Times New Roman" w:eastAsia="Times New Roman" w:hint="default"/>
        </w:rPr>
        <w:t>100%</w:t>
      </w:r>
      <w:r>
        <w:rPr/>
        <w:t>股权事项的相关议案，并发布了《发行股份及支付现金购买资</w:t>
      </w:r>
      <w:r>
        <w:rPr>
          <w:w w:val="100"/>
        </w:rPr>
        <w:t> </w:t>
      </w:r>
      <w:r>
        <w:rPr>
          <w:spacing w:val="-3"/>
        </w:rPr>
        <w:t>产并募集配套资金暨关联交易预案》及相关公告。截止本公告日，本次重大资产重组事项涉</w:t>
      </w:r>
      <w:r>
        <w:rPr>
          <w:spacing w:val="-32"/>
        </w:rPr>
        <w:t> </w:t>
      </w:r>
      <w:r>
        <w:rPr>
          <w:spacing w:val="-32"/>
        </w:rPr>
      </w:r>
      <w:r>
        <w:rPr>
          <w:spacing w:val="-3"/>
        </w:rPr>
        <w:t>及的标的资产的审计、评估工作仍在进行中，报告书以及相关文件正在加紧编制和审核。目</w:t>
      </w:r>
      <w:r>
        <w:rPr>
          <w:spacing w:val="-34"/>
        </w:rPr>
        <w:t> </w:t>
      </w:r>
      <w:r>
        <w:rPr>
          <w:spacing w:val="-34"/>
        </w:rPr>
      </w:r>
      <w:r>
        <w:rPr/>
        <w:t>前该事项仍存在不确定性。公司在</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日披露的《发行股份及支付现金购买资</w:t>
      </w:r>
      <w:r>
        <w:rPr>
          <w:w w:val="100"/>
        </w:rPr>
        <w:t> </w:t>
      </w:r>
      <w:r>
        <w:rPr>
          <w:spacing w:val="-7"/>
          <w:w w:val="100"/>
        </w:rPr>
        <w:t>产并募集配套资金暨关联交易预案（修订稿）》</w:t>
      </w:r>
      <w:r>
        <w:rPr>
          <w:rFonts w:ascii="Times New Roman" w:hAnsi="Times New Roman" w:cs="Times New Roman" w:eastAsia="Times New Roman" w:hint="default"/>
          <w:spacing w:val="-7"/>
          <w:w w:val="100"/>
        </w:rPr>
        <w:t>“</w:t>
      </w:r>
      <w:r>
        <w:rPr>
          <w:spacing w:val="-7"/>
          <w:w w:val="100"/>
        </w:rPr>
        <w:t>第九节本次交易涉及的报批事项及风险提示</w:t>
      </w:r>
      <w:r>
        <w:rPr>
          <w:rFonts w:ascii="Times New Roman" w:hAnsi="Times New Roman" w:cs="Times New Roman" w:eastAsia="Times New Roman" w:hint="default"/>
          <w:spacing w:val="-7"/>
          <w:w w:val="100"/>
        </w:rPr>
        <w:t>”</w:t>
      </w:r>
      <w:r>
        <w:rPr>
          <w:rFonts w:ascii="Times New Roman" w:hAnsi="Times New Roman" w:cs="Times New Roman" w:eastAsia="Times New Roman" w:hint="default"/>
          <w:spacing w:val="-37"/>
          <w:w w:val="100"/>
        </w:rPr>
        <w:t> </w:t>
      </w:r>
      <w:r>
        <w:rPr>
          <w:spacing w:val="-3"/>
        </w:rPr>
        <w:t>中，对本次重大资产重组存在的风险因素作出了详细说明。公司积极推进重大资产重组相关</w:t>
      </w:r>
      <w:r>
        <w:rPr>
          <w:spacing w:val="-28"/>
        </w:rPr>
        <w:t> </w:t>
      </w:r>
      <w:r>
        <w:rPr>
          <w:spacing w:val="-28"/>
        </w:rPr>
      </w:r>
      <w:r>
        <w:rPr/>
        <w:t>工作，将按照法律法规的要求履行审批程序并及时披露相关公告，确保广大投资者利益。</w:t>
      </w:r>
    </w:p>
    <w:p>
      <w:pPr>
        <w:pStyle w:val="Heading5"/>
        <w:spacing w:line="240" w:lineRule="auto" w:before="57"/>
        <w:ind w:left="585" w:right="0"/>
        <w:jc w:val="left"/>
        <w:rPr>
          <w:b w:val="0"/>
          <w:bCs w:val="0"/>
        </w:rPr>
      </w:pPr>
      <w:r>
        <w:rPr>
          <w:rFonts w:ascii="Times New Roman" w:hAnsi="Times New Roman" w:cs="Times New Roman" w:eastAsia="Times New Roman" w:hint="default"/>
        </w:rPr>
        <w:t>2</w:t>
      </w:r>
      <w:r>
        <w:rPr/>
        <w:t>、投资并购整合风险</w:t>
      </w:r>
      <w:r>
        <w:rPr>
          <w:b w:val="0"/>
          <w:bCs w:val="0"/>
        </w:rPr>
      </w:r>
    </w:p>
    <w:p>
      <w:pPr>
        <w:pStyle w:val="Heading6"/>
        <w:spacing w:line="240" w:lineRule="auto" w:before="177"/>
        <w:ind w:left="583" w:right="0"/>
        <w:jc w:val="left"/>
      </w:pPr>
      <w:r>
        <w:rPr/>
        <w:t>（</w:t>
      </w:r>
      <w:r>
        <w:rPr>
          <w:rFonts w:ascii="Times New Roman" w:hAnsi="Times New Roman" w:cs="Times New Roman" w:eastAsia="Times New Roman" w:hint="default"/>
        </w:rPr>
        <w:t>1</w:t>
      </w:r>
      <w:r>
        <w:rPr/>
        <w:t>）公司积极通过投资、并购、参股等方式推进公司的战略部署，延伸业务领域。在</w:t>
      </w:r>
    </w:p>
    <w:p>
      <w:pPr>
        <w:spacing w:after="0" w:line="240" w:lineRule="auto"/>
        <w:jc w:val="left"/>
        <w:sectPr>
          <w:pgSz w:w="11910" w:h="16840"/>
          <w:pgMar w:header="0" w:footer="959" w:top="1480" w:bottom="1140" w:left="1680" w:right="1480"/>
        </w:sectPr>
      </w:pPr>
    </w:p>
    <w:p>
      <w:pPr>
        <w:pStyle w:val="Heading6"/>
        <w:spacing w:line="408" w:lineRule="auto" w:before="6"/>
        <w:ind w:right="114"/>
        <w:jc w:val="both"/>
      </w:pPr>
      <w:r>
        <w:rPr>
          <w:spacing w:val="-2"/>
        </w:rPr>
        <w:t>投资并购的过程中可能会出现决策失误风险、管理风险、经营风险或无法实现协同效应等。</w:t>
      </w:r>
      <w:r>
        <w:rPr>
          <w:spacing w:val="-31"/>
        </w:rPr>
        <w:t> </w:t>
      </w:r>
      <w:r>
        <w:rPr>
          <w:spacing w:val="-31"/>
        </w:rPr>
      </w:r>
      <w:r>
        <w:rPr>
          <w:spacing w:val="-3"/>
        </w:rPr>
        <w:t>公司在并购目标选择和团队融合这块积累了宝贵的经验，将进一步提升经营管理水平，持续</w:t>
      </w:r>
      <w:r>
        <w:rPr>
          <w:spacing w:val="-26"/>
        </w:rPr>
        <w:t> </w:t>
      </w:r>
      <w:r>
        <w:rPr>
          <w:spacing w:val="-26"/>
        </w:rPr>
      </w:r>
      <w:r>
        <w:rPr/>
        <w:t>改进或优化运营机制，尽力降低投资并购风险。</w:t>
      </w:r>
    </w:p>
    <w:p>
      <w:pPr>
        <w:pStyle w:val="Heading6"/>
        <w:spacing w:line="400" w:lineRule="auto" w:before="46"/>
        <w:ind w:right="152" w:firstLine="419"/>
        <w:jc w:val="both"/>
      </w:pPr>
      <w:r>
        <w:rPr/>
        <w:t>（</w:t>
      </w:r>
      <w:r>
        <w:rPr>
          <w:rFonts w:ascii="Times New Roman" w:hAnsi="Times New Roman" w:cs="Times New Roman" w:eastAsia="Times New Roman" w:hint="default"/>
        </w:rPr>
        <w:t>2</w:t>
      </w:r>
      <w:r>
        <w:rPr/>
        <w:t>）公司并购重组神奇时代完成后仍存在盈利预测风险、业绩承诺无法实现的风险、</w:t>
      </w:r>
      <w:r>
        <w:rPr>
          <w:w w:val="100"/>
        </w:rPr>
        <w:t> </w:t>
      </w:r>
      <w:r>
        <w:rPr>
          <w:spacing w:val="-3"/>
        </w:rPr>
        <w:t>整合风险及商誉减值风险。公司将更好地实现与重组公司有效整合，发挥协同效应；同时紧</w:t>
      </w:r>
      <w:r>
        <w:rPr>
          <w:spacing w:val="-34"/>
        </w:rPr>
        <w:t> </w:t>
      </w:r>
      <w:r>
        <w:rPr>
          <w:spacing w:val="-34"/>
        </w:rPr>
      </w:r>
      <w:r>
        <w:rPr>
          <w:spacing w:val="-3"/>
        </w:rPr>
        <w:t>密关注重组公司发展中所遇到的风险，加强业务协同、财务管控的力度，维护上市公司股东</w:t>
      </w:r>
      <w:r>
        <w:rPr>
          <w:spacing w:val="-30"/>
        </w:rPr>
        <w:t> </w:t>
      </w:r>
      <w:r>
        <w:rPr>
          <w:spacing w:val="-30"/>
        </w:rPr>
      </w:r>
      <w:r>
        <w:rPr/>
        <w:t>权益。</w:t>
      </w:r>
    </w:p>
    <w:p>
      <w:pPr>
        <w:pStyle w:val="Heading6"/>
        <w:spacing w:line="398" w:lineRule="auto" w:before="53"/>
        <w:ind w:right="150" w:firstLine="419"/>
        <w:jc w:val="both"/>
      </w:pPr>
      <w:r>
        <w:rPr/>
        <w:t>（</w:t>
      </w:r>
      <w:r>
        <w:rPr>
          <w:rFonts w:ascii="Times New Roman" w:hAnsi="Times New Roman" w:cs="Times New Roman" w:eastAsia="Times New Roman" w:hint="default"/>
        </w:rPr>
        <w:t>3</w:t>
      </w:r>
      <w:r>
        <w:rPr/>
        <w:t>）报告期内，公司拟对外投资事项尚需履行公司董事会的决策程序，交易的审批结</w:t>
      </w:r>
      <w:r>
        <w:rPr>
          <w:w w:val="100"/>
        </w:rPr>
        <w:t> </w:t>
      </w:r>
      <w:r>
        <w:rPr>
          <w:spacing w:val="-3"/>
        </w:rPr>
        <w:t>果存在不确定性风险。公司将严格按照法律法规的要求对交易后续进展情况及时披露相关公</w:t>
      </w:r>
      <w:r>
        <w:rPr>
          <w:spacing w:val="-27"/>
        </w:rPr>
        <w:t> </w:t>
      </w:r>
      <w:r>
        <w:rPr>
          <w:spacing w:val="-27"/>
        </w:rPr>
      </w:r>
      <w:r>
        <w:rPr/>
        <w:t>告，确保广大投资者利益。</w:t>
      </w:r>
    </w:p>
    <w:p>
      <w:pPr>
        <w:spacing w:line="386" w:lineRule="auto" w:before="54"/>
        <w:ind w:left="58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、人才引进和流失风险</w:t>
      </w:r>
      <w:r>
        <w:rPr>
          <w:rFonts w:ascii="宋体" w:hAnsi="宋体" w:cs="宋体" w:eastAsia="宋体" w:hint="default"/>
          <w:b/>
          <w:bCs/>
          <w:w w:val="100"/>
          <w:sz w:val="21"/>
          <w:szCs w:val="21"/>
        </w:rPr>
        <w:t> </w:t>
      </w:r>
      <w:r>
        <w:rPr>
          <w:rFonts w:ascii="宋体" w:hAnsi="宋体" w:cs="宋体" w:eastAsia="宋体" w:hint="default"/>
          <w:spacing w:val="-3"/>
          <w:sz w:val="21"/>
          <w:szCs w:val="21"/>
        </w:rPr>
        <w:t>引进和留住人才是公司发展的核心力量，也是公司长久持续发展的保障，如果公司的人</w:t>
      </w:r>
    </w:p>
    <w:p>
      <w:pPr>
        <w:pStyle w:val="Heading6"/>
        <w:spacing w:line="408" w:lineRule="auto" w:before="65"/>
        <w:ind w:right="150"/>
        <w:jc w:val="both"/>
      </w:pPr>
      <w:r>
        <w:rPr>
          <w:spacing w:val="-3"/>
        </w:rPr>
        <w:t>才资源不能跟随业务的增长而同步扩张，或者公司的核心人才队伍不稳定，都将可能对公司</w:t>
      </w:r>
      <w:r>
        <w:rPr>
          <w:spacing w:val="-26"/>
        </w:rPr>
        <w:t> </w:t>
      </w:r>
      <w:r>
        <w:rPr>
          <w:spacing w:val="-26"/>
        </w:rPr>
      </w:r>
      <w:r>
        <w:rPr>
          <w:spacing w:val="-3"/>
        </w:rPr>
        <w:t>的正常经营产生不利影响。因此，公司将积极拓展人才引进和招聘渠道，通过收购兼并吸收</w:t>
      </w:r>
      <w:r>
        <w:rPr>
          <w:spacing w:val="-31"/>
        </w:rPr>
        <w:t> </w:t>
      </w:r>
      <w:r>
        <w:rPr>
          <w:spacing w:val="-31"/>
        </w:rPr>
      </w:r>
      <w:r>
        <w:rPr>
          <w:spacing w:val="-3"/>
        </w:rPr>
        <w:t>优秀的人才团队，同时，不断完善公司激励机制、积极探讨制定股权激励制度，构建适合公</w:t>
      </w:r>
      <w:r>
        <w:rPr>
          <w:spacing w:val="-28"/>
        </w:rPr>
        <w:t> </w:t>
      </w:r>
      <w:r>
        <w:rPr>
          <w:spacing w:val="-28"/>
        </w:rPr>
      </w:r>
      <w:r>
        <w:rPr/>
        <w:t>司发展的人力资源建设规划，为员工创建良好的职业环境和事业发展舞台。</w:t>
      </w:r>
    </w:p>
    <w:p>
      <w:pPr>
        <w:spacing w:line="386" w:lineRule="auto" w:before="46"/>
        <w:ind w:left="58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、知识产权侵权或被侵权风险</w:t>
      </w:r>
      <w:r>
        <w:rPr>
          <w:rFonts w:ascii="宋体" w:hAnsi="宋体" w:cs="宋体" w:eastAsia="宋体" w:hint="default"/>
          <w:b/>
          <w:bCs/>
          <w:w w:val="100"/>
          <w:sz w:val="21"/>
          <w:szCs w:val="21"/>
        </w:rPr>
        <w:t> </w:t>
      </w:r>
      <w:r>
        <w:rPr>
          <w:rFonts w:ascii="宋体" w:hAnsi="宋体" w:cs="宋体" w:eastAsia="宋体" w:hint="default"/>
          <w:spacing w:val="-3"/>
          <w:sz w:val="21"/>
          <w:szCs w:val="21"/>
        </w:rPr>
        <w:t>随着公司业务的不断发展，产品的不断丰富，以及市场对文化产品版权保护意识的不断</w:t>
      </w:r>
    </w:p>
    <w:p>
      <w:pPr>
        <w:pStyle w:val="Heading6"/>
        <w:spacing w:line="408" w:lineRule="auto" w:before="65"/>
        <w:ind w:right="114"/>
        <w:jc w:val="both"/>
      </w:pPr>
      <w:r>
        <w:rPr>
          <w:spacing w:val="-3"/>
        </w:rPr>
        <w:t>加强，如果公司未来知识产权的相关制度不能适应市场，将面临一定的知识产权侵权或被侵</w:t>
      </w:r>
      <w:r>
        <w:rPr>
          <w:spacing w:val="-26"/>
        </w:rPr>
        <w:t> </w:t>
      </w:r>
      <w:r>
        <w:rPr>
          <w:spacing w:val="-26"/>
        </w:rPr>
      </w:r>
      <w:r>
        <w:rPr>
          <w:spacing w:val="-2"/>
        </w:rPr>
        <w:t>权风险，从而给公司的正常经营造成一定的负面影响。教育板块，公司通过设置专业岗位、</w:t>
      </w:r>
      <w:r>
        <w:rPr>
          <w:spacing w:val="-31"/>
        </w:rPr>
        <w:t> </w:t>
      </w:r>
      <w:r>
        <w:rPr>
          <w:spacing w:val="-31"/>
        </w:rPr>
      </w:r>
      <w:r>
        <w:rPr>
          <w:spacing w:val="-3"/>
        </w:rPr>
        <w:t>健全内部管理制度、强化各部门责任、加强维权等措施，有效的提升知识产权管理水平；游</w:t>
      </w:r>
      <w:r>
        <w:rPr>
          <w:spacing w:val="-28"/>
        </w:rPr>
        <w:t> </w:t>
      </w:r>
      <w:r>
        <w:rPr>
          <w:spacing w:val="-28"/>
        </w:rPr>
      </w:r>
      <w:r>
        <w:rPr>
          <w:spacing w:val="-3"/>
        </w:rPr>
        <w:t>戏板块，公司一方面对自主开发的游戏产品采取了相应的版权保护措施，包括专门制定知识</w:t>
      </w:r>
      <w:r>
        <w:rPr>
          <w:spacing w:val="-28"/>
        </w:rPr>
        <w:t> </w:t>
      </w:r>
      <w:r>
        <w:rPr>
          <w:spacing w:val="-28"/>
        </w:rPr>
      </w:r>
      <w:r>
        <w:rPr>
          <w:spacing w:val="-2"/>
        </w:rPr>
        <w:t>产权保护相关制度、对版权统一进行登记备案等；另一方面，公司在游戏产品开发流程中，</w:t>
      </w:r>
      <w:r>
        <w:rPr>
          <w:spacing w:val="-31"/>
        </w:rPr>
        <w:t> </w:t>
      </w:r>
      <w:r>
        <w:rPr>
          <w:spacing w:val="-31"/>
        </w:rPr>
      </w:r>
      <w:r>
        <w:rPr/>
        <w:t>制定了严格的质量控制制度，以杜绝知识产权侵权的发生。</w:t>
      </w:r>
    </w:p>
    <w:p>
      <w:pPr>
        <w:pStyle w:val="Heading6"/>
        <w:spacing w:line="386" w:lineRule="auto" w:before="46"/>
        <w:ind w:left="583" w:right="0" w:firstLine="2"/>
        <w:jc w:val="left"/>
      </w:pPr>
      <w:r>
        <w:rPr>
          <w:rFonts w:ascii="Times New Roman" w:hAnsi="Times New Roman" w:cs="Times New Roman" w:eastAsia="Times New Roman" w:hint="default"/>
          <w:b/>
          <w:bCs/>
        </w:rPr>
        <w:t>5</w:t>
      </w:r>
      <w:r>
        <w:rPr>
          <w:rFonts w:ascii="宋体" w:hAnsi="宋体" w:cs="宋体" w:eastAsia="宋体" w:hint="default"/>
          <w:b/>
          <w:bCs/>
        </w:rPr>
        <w:t>、教育政策风险</w:t>
      </w:r>
      <w:r>
        <w:rPr>
          <w:rFonts w:ascii="宋体" w:hAnsi="宋体" w:cs="宋体" w:eastAsia="宋体" w:hint="default"/>
          <w:b/>
          <w:bCs/>
          <w:w w:val="100"/>
        </w:rPr>
        <w:t> </w:t>
      </w:r>
      <w:r>
        <w:rPr>
          <w:spacing w:val="-3"/>
        </w:rPr>
        <w:t>根据国家教育体制改革方向，近年来教育主管部门加强了对减轻中小学生学习负担的相</w:t>
      </w:r>
    </w:p>
    <w:p>
      <w:pPr>
        <w:pStyle w:val="Heading6"/>
        <w:spacing w:line="408" w:lineRule="auto" w:before="65"/>
        <w:ind w:right="150"/>
        <w:jc w:val="both"/>
      </w:pPr>
      <w:r>
        <w:rPr>
          <w:spacing w:val="-3"/>
        </w:rPr>
        <w:t>关管理，规范教辅图书市场，要求学校对学生家庭作业等方面作出科学合理安排，切实减轻</w:t>
      </w:r>
      <w:r>
        <w:rPr>
          <w:spacing w:val="-34"/>
        </w:rPr>
        <w:t> </w:t>
      </w:r>
      <w:r>
        <w:rPr>
          <w:spacing w:val="-34"/>
        </w:rPr>
      </w:r>
      <w:r>
        <w:rPr>
          <w:spacing w:val="-3"/>
        </w:rPr>
        <w:t>课内外过重的课业负担，依法保障学生的休息权利。中小学生课业负担的减轻将可能对中小</w:t>
      </w:r>
      <w:r>
        <w:rPr>
          <w:spacing w:val="-27"/>
        </w:rPr>
        <w:t> </w:t>
      </w:r>
      <w:r>
        <w:rPr>
          <w:spacing w:val="-27"/>
        </w:rPr>
      </w:r>
      <w:r>
        <w:rPr>
          <w:spacing w:val="-3"/>
        </w:rPr>
        <w:t>学教辅类图书销售造成一定影响。教辅新政推出，政府对教辅价格的控制力度加大，教辅行</w:t>
      </w:r>
      <w:r>
        <w:rPr>
          <w:spacing w:val="-30"/>
        </w:rPr>
        <w:t> </w:t>
      </w:r>
      <w:r>
        <w:rPr>
          <w:spacing w:val="-30"/>
        </w:rPr>
      </w:r>
      <w:r>
        <w:rPr>
          <w:spacing w:val="-2"/>
        </w:rPr>
        <w:t>业利润进一步减低，且</w:t>
      </w:r>
      <w:r>
        <w:rPr>
          <w:rFonts w:ascii="Times New Roman" w:hAnsi="Times New Roman" w:cs="Times New Roman" w:eastAsia="Times New Roman" w:hint="default"/>
          <w:spacing w:val="-2"/>
        </w:rPr>
        <w:t>“</w:t>
      </w:r>
      <w:r>
        <w:rPr>
          <w:spacing w:val="-2"/>
        </w:rPr>
        <w:t>一课一辅</w:t>
      </w:r>
      <w:r>
        <w:rPr>
          <w:rFonts w:ascii="Times New Roman" w:hAnsi="Times New Roman" w:cs="Times New Roman" w:eastAsia="Times New Roman" w:hint="default"/>
          <w:spacing w:val="-2"/>
        </w:rPr>
        <w:t>”</w:t>
      </w:r>
      <w:r>
        <w:rPr>
          <w:spacing w:val="-2"/>
        </w:rPr>
        <w:t>限制了整个市场的容量，将导致教辅征订类市场萎缩。针</w:t>
      </w:r>
    </w:p>
    <w:p>
      <w:pPr>
        <w:spacing w:after="0" w:line="408" w:lineRule="auto"/>
        <w:jc w:val="both"/>
        <w:sectPr>
          <w:footerReference w:type="default" r:id="rId21"/>
          <w:pgSz w:w="11910" w:h="16840"/>
          <w:pgMar w:footer="959" w:header="0" w:top="1480" w:bottom="1140" w:left="1680" w:right="1540"/>
          <w:pgNumType w:start="37"/>
        </w:sectPr>
      </w:pPr>
    </w:p>
    <w:p>
      <w:pPr>
        <w:pStyle w:val="Heading6"/>
        <w:spacing w:line="408" w:lineRule="auto" w:before="6"/>
        <w:ind w:left="683" w:right="750"/>
        <w:jc w:val="both"/>
      </w:pPr>
      <w:r>
        <w:rPr>
          <w:spacing w:val="-3"/>
        </w:rPr>
        <w:t>对政策走势，公司教育板块教辅图书从素质教育入手，不断开发优质、高效的学习辅导读物</w:t>
      </w:r>
      <w:r>
        <w:rPr>
          <w:spacing w:val="-31"/>
        </w:rPr>
        <w:t> </w:t>
      </w:r>
      <w:r>
        <w:rPr>
          <w:spacing w:val="-31"/>
        </w:rPr>
      </w:r>
      <w:r>
        <w:rPr>
          <w:spacing w:val="-3"/>
        </w:rPr>
        <w:t>和课外读物，并积极切入教材的开发和发行，全方面服务于青少年的学习、生活、娱乐和心</w:t>
      </w:r>
      <w:r>
        <w:rPr>
          <w:spacing w:val="-28"/>
        </w:rPr>
        <w:t> </w:t>
      </w:r>
      <w:r>
        <w:rPr>
          <w:spacing w:val="-28"/>
        </w:rPr>
      </w:r>
      <w:r>
        <w:rPr/>
        <w:t>理健康，避免产品结构过分依赖教辅。</w:t>
      </w:r>
    </w:p>
    <w:p>
      <w:pPr>
        <w:spacing w:line="386" w:lineRule="auto" w:before="46"/>
        <w:ind w:left="1103" w:right="5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、游戏内容同质化的风险</w:t>
      </w:r>
      <w:r>
        <w:rPr>
          <w:rFonts w:ascii="宋体" w:hAnsi="宋体" w:cs="宋体" w:eastAsia="宋体" w:hint="default"/>
          <w:b/>
          <w:bCs/>
          <w:w w:val="100"/>
          <w:sz w:val="21"/>
          <w:szCs w:val="21"/>
        </w:rPr>
        <w:t> </w:t>
      </w:r>
      <w:r>
        <w:rPr>
          <w:rFonts w:ascii="宋体" w:hAnsi="宋体" w:cs="宋体" w:eastAsia="宋体" w:hint="default"/>
          <w:spacing w:val="-3"/>
          <w:sz w:val="21"/>
          <w:szCs w:val="21"/>
        </w:rPr>
        <w:t>移动网游戏行业具有产品更新换代快、可模仿性强、用户偏好转换快的行业特点。公司</w:t>
      </w:r>
    </w:p>
    <w:p>
      <w:pPr>
        <w:pStyle w:val="Heading6"/>
        <w:spacing w:line="408" w:lineRule="auto" w:before="65"/>
        <w:ind w:left="683" w:right="750"/>
        <w:jc w:val="both"/>
      </w:pPr>
      <w:r>
        <w:rPr>
          <w:spacing w:val="-3"/>
        </w:rPr>
        <w:t>部分游戏或部分内容与其它游戏开发商提供的游戏存在一定程度的同质化现象，可能导致公</w:t>
      </w:r>
      <w:r>
        <w:rPr>
          <w:spacing w:val="-27"/>
        </w:rPr>
        <w:t> </w:t>
      </w:r>
      <w:r>
        <w:rPr>
          <w:spacing w:val="-27"/>
        </w:rPr>
      </w:r>
      <w:r>
        <w:rPr>
          <w:spacing w:val="-3"/>
        </w:rPr>
        <w:t>司游戏用户偏好转换和流失的风险，进而影响公司的经营业绩。为此，公司在游戏产品的开</w:t>
      </w:r>
      <w:r>
        <w:rPr>
          <w:spacing w:val="-32"/>
        </w:rPr>
        <w:t> </w:t>
      </w:r>
      <w:r>
        <w:rPr>
          <w:spacing w:val="-32"/>
        </w:rPr>
      </w:r>
      <w:r>
        <w:rPr>
          <w:spacing w:val="-3"/>
        </w:rPr>
        <w:t>发过程中将不断通过丰富游戏内容和故事情节、增加游戏特效、落实游戏玩家的感受反馈信</w:t>
      </w:r>
      <w:r>
        <w:rPr>
          <w:spacing w:val="-28"/>
        </w:rPr>
        <w:t> </w:t>
      </w:r>
      <w:r>
        <w:rPr>
          <w:spacing w:val="-28"/>
        </w:rPr>
      </w:r>
      <w:r>
        <w:rPr>
          <w:spacing w:val="-3"/>
        </w:rPr>
        <w:t>息等方式来增加移动网游戏差异化特征，提升游戏玩家粘性和吸引力，降低因部分同质化现</w:t>
      </w:r>
      <w:r>
        <w:rPr>
          <w:spacing w:val="-26"/>
        </w:rPr>
        <w:t> </w:t>
      </w:r>
      <w:r>
        <w:rPr>
          <w:spacing w:val="-26"/>
        </w:rPr>
      </w:r>
      <w:r>
        <w:rPr/>
        <w:t>象带来的经营风险。</w:t>
      </w:r>
    </w:p>
    <w:p>
      <w:pPr>
        <w:pStyle w:val="Heading6"/>
        <w:spacing w:line="386" w:lineRule="auto" w:before="46"/>
        <w:ind w:left="1103" w:right="598" w:firstLine="2"/>
        <w:jc w:val="left"/>
      </w:pPr>
      <w:r>
        <w:rPr>
          <w:rFonts w:ascii="Times New Roman" w:hAnsi="Times New Roman" w:cs="Times New Roman" w:eastAsia="Times New Roman" w:hint="default"/>
          <w:b/>
          <w:bCs/>
        </w:rPr>
        <w:t>7</w:t>
      </w:r>
      <w:r>
        <w:rPr>
          <w:rFonts w:ascii="宋体" w:hAnsi="宋体" w:cs="宋体" w:eastAsia="宋体" w:hint="default"/>
          <w:b/>
          <w:bCs/>
        </w:rPr>
        <w:t>、技术风险</w:t>
      </w:r>
      <w:r>
        <w:rPr>
          <w:rFonts w:ascii="宋体" w:hAnsi="宋体" w:cs="宋体" w:eastAsia="宋体" w:hint="default"/>
          <w:b/>
          <w:bCs/>
          <w:w w:val="100"/>
        </w:rPr>
        <w:t> </w:t>
      </w:r>
      <w:r>
        <w:rPr>
          <w:spacing w:val="-3"/>
        </w:rPr>
        <w:t>移动网游戏业务运行主要依赖于网络进行开展。移动网游戏的运营容易受网络故障、服</w:t>
      </w:r>
    </w:p>
    <w:p>
      <w:pPr>
        <w:pStyle w:val="Heading6"/>
        <w:spacing w:line="408" w:lineRule="auto" w:before="65"/>
        <w:ind w:left="683" w:right="750"/>
        <w:jc w:val="both"/>
      </w:pPr>
      <w:r>
        <w:rPr>
          <w:spacing w:val="-3"/>
        </w:rPr>
        <w:t>务器硬件故障、计算机病毒、黑客攻击等因素影响，若公司及游戏推广服务商不能及时发现</w:t>
      </w:r>
      <w:r>
        <w:rPr>
          <w:spacing w:val="-36"/>
        </w:rPr>
        <w:t> </w:t>
      </w:r>
      <w:r>
        <w:rPr>
          <w:spacing w:val="-36"/>
        </w:rPr>
      </w:r>
      <w:r>
        <w:rPr>
          <w:spacing w:val="-3"/>
        </w:rPr>
        <w:t>及应对各种运营中出现的风险，可能会造成玩家无法登录或用户数据丢失，从而降低玩家的</w:t>
      </w:r>
      <w:r>
        <w:rPr>
          <w:spacing w:val="-26"/>
        </w:rPr>
        <w:t> </w:t>
      </w:r>
      <w:r>
        <w:rPr>
          <w:spacing w:val="-26"/>
        </w:rPr>
      </w:r>
      <w:r>
        <w:rPr>
          <w:spacing w:val="-3"/>
        </w:rPr>
        <w:t>体验效果，造成玩家流失的后果。公司将积极应对、有效排除上述干扰因素，减少因技术因</w:t>
      </w:r>
      <w:r>
        <w:rPr>
          <w:spacing w:val="-28"/>
        </w:rPr>
        <w:t> </w:t>
      </w:r>
      <w:r>
        <w:rPr>
          <w:spacing w:val="-28"/>
        </w:rPr>
      </w:r>
      <w:r>
        <w:rPr/>
        <w:t>素造成的负面影响。</w:t>
      </w:r>
    </w:p>
    <w:p>
      <w:pPr>
        <w:pStyle w:val="Heading3"/>
        <w:spacing w:line="240" w:lineRule="auto" w:before="20"/>
        <w:ind w:right="0"/>
        <w:jc w:val="both"/>
        <w:rPr>
          <w:b w:val="0"/>
          <w:bCs w:val="0"/>
        </w:rPr>
      </w:pPr>
      <w:r>
        <w:rPr/>
        <w:t>十、接待调研、沟通、采访等活动情况</w:t>
      </w:r>
      <w:r>
        <w:rPr>
          <w:b w:val="0"/>
          <w:bCs w:val="0"/>
        </w:rPr>
      </w:r>
    </w:p>
    <w:p>
      <w:pPr>
        <w:pStyle w:val="Heading5"/>
        <w:spacing w:line="240" w:lineRule="auto" w:before="179"/>
        <w:ind w:left="683"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8"/>
          <w:szCs w:val="8"/>
        </w:rPr>
      </w:pPr>
    </w:p>
    <w:tbl>
      <w:tblPr>
        <w:tblW w:w="0" w:type="auto"/>
        <w:jc w:val="left"/>
        <w:tblInd w:w="112" w:type="dxa"/>
        <w:tblLayout w:type="fixed"/>
        <w:tblCellMar>
          <w:top w:w="0" w:type="dxa"/>
          <w:left w:w="0" w:type="dxa"/>
          <w:bottom w:w="0" w:type="dxa"/>
          <w:right w:w="0" w:type="dxa"/>
        </w:tblCellMar>
        <w:tblLook w:val="01E0"/>
      </w:tblPr>
      <w:tblGrid>
        <w:gridCol w:w="2177"/>
        <w:gridCol w:w="2177"/>
        <w:gridCol w:w="2177"/>
        <w:gridCol w:w="3039"/>
      </w:tblGrid>
      <w:tr>
        <w:trPr>
          <w:trHeight w:val="362"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722"/>
              <w:jc w:val="right"/>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884"/>
              <w:jc w:val="right"/>
              <w:rPr>
                <w:rFonts w:ascii="宋体" w:hAnsi="宋体" w:cs="宋体" w:eastAsia="宋体" w:hint="default"/>
                <w:sz w:val="18"/>
                <w:szCs w:val="18"/>
              </w:rPr>
            </w:pPr>
            <w:r>
              <w:rPr>
                <w:rFonts w:ascii="宋体" w:hAnsi="宋体" w:cs="宋体" w:eastAsia="宋体" w:hint="default"/>
                <w:sz w:val="18"/>
                <w:szCs w:val="18"/>
              </w:rPr>
              <w:t>调研的基本情况</w:t>
            </w:r>
          </w:p>
        </w:tc>
      </w:tr>
      <w:tr>
        <w:trPr>
          <w:trHeight w:val="362"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42"/>
              <w:jc w:val="right"/>
              <w:rPr>
                <w:rFonts w:ascii="宋体" w:hAnsi="宋体" w:cs="宋体" w:eastAsia="宋体" w:hint="default"/>
                <w:sz w:val="18"/>
                <w:szCs w:val="18"/>
              </w:rPr>
            </w:pPr>
            <w:r>
              <w:rPr>
                <w:rFonts w:ascii="宋体" w:hAnsi="宋体" w:cs="宋体" w:eastAsia="宋体" w:hint="default"/>
                <w:sz w:val="18"/>
                <w:szCs w:val="18"/>
              </w:rPr>
              <w:t>公司经营情况、发展战略等</w:t>
            </w:r>
          </w:p>
        </w:tc>
      </w:tr>
      <w:tr>
        <w:trPr>
          <w:trHeight w:val="36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4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网上业绩说明会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42"/>
              <w:jc w:val="right"/>
              <w:rPr>
                <w:rFonts w:ascii="宋体" w:hAnsi="宋体" w:cs="宋体" w:eastAsia="宋体" w:hint="default"/>
                <w:sz w:val="18"/>
                <w:szCs w:val="18"/>
              </w:rPr>
            </w:pPr>
            <w:r>
              <w:rPr>
                <w:rFonts w:ascii="宋体" w:hAnsi="宋体" w:cs="宋体" w:eastAsia="宋体" w:hint="default"/>
                <w:sz w:val="18"/>
                <w:szCs w:val="18"/>
              </w:rPr>
              <w:t>公司经营情况、发展战略等</w:t>
            </w:r>
          </w:p>
        </w:tc>
      </w:tr>
      <w:tr>
        <w:trPr>
          <w:trHeight w:val="362"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42"/>
              <w:jc w:val="right"/>
              <w:rPr>
                <w:rFonts w:ascii="宋体" w:hAnsi="宋体" w:cs="宋体" w:eastAsia="宋体" w:hint="default"/>
                <w:sz w:val="18"/>
                <w:szCs w:val="18"/>
              </w:rPr>
            </w:pPr>
            <w:r>
              <w:rPr>
                <w:rFonts w:ascii="宋体" w:hAnsi="宋体" w:cs="宋体" w:eastAsia="宋体" w:hint="default"/>
                <w:sz w:val="18"/>
                <w:szCs w:val="18"/>
              </w:rPr>
              <w:t>公司经营情况、发展战略等</w:t>
            </w:r>
          </w:p>
        </w:tc>
      </w:tr>
      <w:tr>
        <w:trPr>
          <w:trHeight w:val="36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网上集体接待日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42"/>
              <w:jc w:val="right"/>
              <w:rPr>
                <w:rFonts w:ascii="宋体" w:hAnsi="宋体" w:cs="宋体" w:eastAsia="宋体" w:hint="default"/>
                <w:sz w:val="18"/>
                <w:szCs w:val="18"/>
              </w:rPr>
            </w:pPr>
            <w:r>
              <w:rPr>
                <w:rFonts w:ascii="宋体" w:hAnsi="宋体" w:cs="宋体" w:eastAsia="宋体" w:hint="default"/>
                <w:sz w:val="18"/>
                <w:szCs w:val="18"/>
              </w:rPr>
              <w:t>公司经营情况、发展战略等</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Heading5"/>
        <w:spacing w:line="240" w:lineRule="auto"/>
        <w:ind w:left="683" w:right="598"/>
        <w:jc w:val="left"/>
        <w:rPr>
          <w:b w:val="0"/>
          <w:bCs w:val="0"/>
        </w:rPr>
      </w:pP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8"/>
        <w:rPr>
          <w:rFonts w:ascii="宋体" w:hAnsi="宋体" w:cs="宋体" w:eastAsia="宋体" w:hint="default"/>
          <w:b/>
          <w:bCs/>
          <w:sz w:val="8"/>
          <w:szCs w:val="8"/>
        </w:rPr>
      </w:pPr>
    </w:p>
    <w:tbl>
      <w:tblPr>
        <w:tblW w:w="0" w:type="auto"/>
        <w:jc w:val="left"/>
        <w:tblInd w:w="112" w:type="dxa"/>
        <w:tblLayout w:type="fixed"/>
        <w:tblCellMar>
          <w:top w:w="0" w:type="dxa"/>
          <w:left w:w="0" w:type="dxa"/>
          <w:bottom w:w="0" w:type="dxa"/>
          <w:right w:w="0" w:type="dxa"/>
        </w:tblCellMar>
        <w:tblLook w:val="01E0"/>
      </w:tblPr>
      <w:tblGrid>
        <w:gridCol w:w="2177"/>
        <w:gridCol w:w="2177"/>
        <w:gridCol w:w="2177"/>
        <w:gridCol w:w="3039"/>
      </w:tblGrid>
      <w:tr>
        <w:trPr>
          <w:trHeight w:val="362"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722"/>
              <w:jc w:val="right"/>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83" w:right="0"/>
              <w:jc w:val="left"/>
              <w:rPr>
                <w:rFonts w:ascii="宋体" w:hAnsi="宋体" w:cs="宋体" w:eastAsia="宋体" w:hint="default"/>
                <w:sz w:val="18"/>
                <w:szCs w:val="18"/>
              </w:rPr>
            </w:pPr>
            <w:r>
              <w:rPr>
                <w:rFonts w:ascii="宋体" w:hAnsi="宋体" w:cs="宋体" w:eastAsia="宋体" w:hint="default"/>
                <w:sz w:val="18"/>
                <w:szCs w:val="18"/>
              </w:rPr>
              <w:t>调研的基本情况</w:t>
            </w:r>
          </w:p>
        </w:tc>
      </w:tr>
      <w:tr>
        <w:trPr>
          <w:trHeight w:val="362"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公司经营情况、投资并购情况等</w:t>
            </w:r>
          </w:p>
        </w:tc>
      </w:tr>
      <w:tr>
        <w:trPr>
          <w:trHeight w:val="36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公司经营情况、投资并购情况等</w:t>
            </w:r>
          </w:p>
        </w:tc>
      </w:tr>
      <w:tr>
        <w:trPr>
          <w:trHeight w:val="362"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55"/>
              <w:jc w:val="righ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公司经营情况、投资并购情况等</w:t>
            </w:r>
          </w:p>
        </w:tc>
      </w:tr>
    </w:tbl>
    <w:p>
      <w:pPr>
        <w:spacing w:after="0" w:line="240" w:lineRule="auto"/>
        <w:jc w:val="left"/>
        <w:rPr>
          <w:rFonts w:ascii="宋体" w:hAnsi="宋体" w:cs="宋体" w:eastAsia="宋体" w:hint="default"/>
          <w:sz w:val="18"/>
          <w:szCs w:val="18"/>
        </w:rPr>
        <w:sectPr>
          <w:pgSz w:w="11910" w:h="16840"/>
          <w:pgMar w:header="0" w:footer="959" w:top="1480" w:bottom="1160" w:left="1160" w:right="940"/>
        </w:sectPr>
      </w:pPr>
    </w:p>
    <w:p>
      <w:pPr>
        <w:spacing w:line="240" w:lineRule="auto" w:before="6"/>
        <w:rPr>
          <w:rFonts w:ascii="宋体" w:hAnsi="宋体" w:cs="宋体" w:eastAsia="宋体" w:hint="default"/>
          <w:b/>
          <w:bCs/>
          <w:sz w:val="19"/>
          <w:szCs w:val="19"/>
        </w:rPr>
      </w:pPr>
    </w:p>
    <w:p>
      <w:pPr>
        <w:pStyle w:val="Heading1"/>
        <w:spacing w:line="240" w:lineRule="auto"/>
        <w:ind w:left="3704" w:right="3853"/>
        <w:jc w:val="center"/>
        <w:rPr>
          <w:b w:val="0"/>
          <w:bCs w:val="0"/>
        </w:rPr>
      </w:pPr>
      <w:bookmarkStart w:name="_TOC_250005" w:id="5"/>
      <w:r>
        <w:rPr/>
        <w:t>第五节重要事项</w:t>
      </w:r>
      <w:bookmarkEnd w:id="5"/>
      <w:r>
        <w:rPr>
          <w:b w:val="0"/>
          <w:bCs w:val="0"/>
        </w:rPr>
      </w:r>
    </w:p>
    <w:p>
      <w:pPr>
        <w:spacing w:line="240" w:lineRule="auto" w:before="2"/>
        <w:rPr>
          <w:rFonts w:ascii="宋体" w:hAnsi="宋体" w:cs="宋体" w:eastAsia="宋体" w:hint="default"/>
          <w:b/>
          <w:bCs/>
          <w:sz w:val="39"/>
          <w:szCs w:val="39"/>
        </w:rPr>
      </w:pPr>
    </w:p>
    <w:p>
      <w:pPr>
        <w:pStyle w:val="Heading3"/>
        <w:spacing w:line="240" w:lineRule="auto"/>
        <w:ind w:left="663" w:right="0"/>
        <w:jc w:val="left"/>
        <w:rPr>
          <w:b w:val="0"/>
          <w:bCs w:val="0"/>
        </w:rPr>
      </w:pPr>
      <w:r>
        <w:rPr/>
        <w:t>一、公司普通股利润分配及资本公积金转增股本情况</w:t>
      </w:r>
      <w:r>
        <w:rPr>
          <w:b w:val="0"/>
          <w:bCs w:val="0"/>
        </w:rPr>
      </w:r>
    </w:p>
    <w:p>
      <w:pPr>
        <w:spacing w:line="240" w:lineRule="auto" w:before="9"/>
        <w:rPr>
          <w:rFonts w:ascii="宋体" w:hAnsi="宋体" w:cs="宋体" w:eastAsia="宋体" w:hint="default"/>
          <w:b/>
          <w:bCs/>
          <w:sz w:val="24"/>
          <w:szCs w:val="24"/>
        </w:rPr>
      </w:pPr>
    </w:p>
    <w:p>
      <w:pPr>
        <w:pStyle w:val="Heading6"/>
        <w:spacing w:line="374" w:lineRule="auto"/>
        <w:ind w:left="1083" w:right="0" w:hanging="420"/>
        <w:jc w:val="left"/>
      </w:pPr>
      <w:r>
        <w:rPr/>
        <w:t>报告期内普通股利润分配政策，特别是现金分红政策的制定、执行或调整情况</w:t>
      </w:r>
      <w:r>
        <w:rPr>
          <w:w w:val="100"/>
        </w:rPr>
        <w:t> </w:t>
      </w:r>
      <w:r>
        <w:rPr>
          <w:spacing w:val="-3"/>
        </w:rPr>
        <w:t>报告期内，公司落实中国证监会《关于进一步明确与细化上市公司利润分配政策的指导</w:t>
      </w:r>
    </w:p>
    <w:p>
      <w:pPr>
        <w:pStyle w:val="Heading6"/>
        <w:spacing w:line="240" w:lineRule="auto" w:before="75"/>
        <w:ind w:left="663" w:right="0"/>
        <w:jc w:val="left"/>
        <w:rPr>
          <w:rFonts w:ascii="Times New Roman" w:hAnsi="Times New Roman" w:cs="Times New Roman" w:eastAsia="Times New Roman" w:hint="default"/>
        </w:rPr>
      </w:pPr>
      <w:r>
        <w:rPr>
          <w:spacing w:val="-2"/>
        </w:rPr>
        <w:t>性意见》以及湖南证监局、深圳证券交易所的相关要求，结合公司实际经营状况，于</w:t>
      </w:r>
      <w:r>
        <w:rPr>
          <w:spacing w:val="22"/>
        </w:rPr>
        <w:t> </w:t>
      </w:r>
      <w:r>
        <w:rPr>
          <w:rFonts w:ascii="Times New Roman" w:hAnsi="Times New Roman" w:cs="Times New Roman" w:eastAsia="Times New Roman" w:hint="default"/>
          <w:spacing w:val="-1"/>
        </w:rPr>
        <w:t>2015</w:t>
      </w:r>
    </w:p>
    <w:p>
      <w:pPr>
        <w:pStyle w:val="Heading6"/>
        <w:spacing w:line="240" w:lineRule="auto" w:before="178"/>
        <w:ind w:left="663" w:right="0"/>
        <w:jc w:val="left"/>
      </w:pPr>
      <w:r>
        <w:rPr>
          <w:w w:val="100"/>
        </w:rPr>
        <w:t>年</w:t>
      </w:r>
      <w:r>
        <w:rPr>
          <w:spacing w:val="-53"/>
        </w:rPr>
        <w:t> </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spacing w:val="-3"/>
          <w:w w:val="100"/>
        </w:rPr>
        <w:t>月</w:t>
      </w:r>
      <w:r>
        <w:rPr>
          <w:w w:val="100"/>
        </w:rPr>
        <w:t>实</w:t>
      </w:r>
      <w:r>
        <w:rPr>
          <w:spacing w:val="-3"/>
          <w:w w:val="100"/>
        </w:rPr>
        <w:t>施</w:t>
      </w:r>
      <w:r>
        <w:rPr>
          <w:w w:val="100"/>
        </w:rPr>
        <w:t>了</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014</w:t>
      </w:r>
      <w:r>
        <w:rPr>
          <w:rFonts w:ascii="Times New Roman" w:hAnsi="Times New Roman" w:cs="Times New Roman" w:eastAsia="Times New Roman" w:hint="default"/>
          <w:spacing w:val="-3"/>
        </w:rPr>
        <w:t> </w:t>
      </w:r>
      <w:r>
        <w:rPr>
          <w:w w:val="100"/>
        </w:rPr>
        <w:t>年</w:t>
      </w:r>
      <w:r>
        <w:rPr>
          <w:spacing w:val="-3"/>
          <w:w w:val="100"/>
        </w:rPr>
        <w:t>度利</w:t>
      </w:r>
      <w:r>
        <w:rPr>
          <w:w w:val="100"/>
        </w:rPr>
        <w:t>润分</w:t>
      </w:r>
      <w:r>
        <w:rPr>
          <w:spacing w:val="-3"/>
          <w:w w:val="100"/>
        </w:rPr>
        <w:t>配</w:t>
      </w:r>
      <w:r>
        <w:rPr>
          <w:w w:val="100"/>
        </w:rPr>
        <w:t>方</w:t>
      </w:r>
      <w:r>
        <w:rPr>
          <w:spacing w:val="-3"/>
          <w:w w:val="100"/>
        </w:rPr>
        <w:t>案：</w:t>
      </w:r>
      <w:r>
        <w:rPr>
          <w:w w:val="100"/>
        </w:rPr>
        <w:t>每</w:t>
      </w:r>
      <w:r>
        <w:rPr>
          <w:spacing w:val="-52"/>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股</w:t>
      </w:r>
      <w:r>
        <w:rPr>
          <w:spacing w:val="-3"/>
          <w:w w:val="100"/>
        </w:rPr>
        <w:t>派发</w:t>
      </w:r>
      <w:r>
        <w:rPr>
          <w:w w:val="100"/>
        </w:rPr>
        <w:t>现金</w:t>
      </w:r>
      <w:r>
        <w:rPr>
          <w:spacing w:val="-3"/>
          <w:w w:val="100"/>
        </w:rPr>
        <w:t>股</w:t>
      </w:r>
      <w:r>
        <w:rPr>
          <w:w w:val="100"/>
        </w:rPr>
        <w:t>利</w:t>
      </w:r>
      <w:r>
        <w:rPr>
          <w:spacing w:val="-3"/>
          <w:w w:val="100"/>
        </w:rPr>
        <w:t>人民</w:t>
      </w:r>
      <w:r>
        <w:rPr>
          <w:w w:val="100"/>
        </w:rPr>
        <w:t>币</w:t>
      </w:r>
      <w:r>
        <w:rPr>
          <w:spacing w:val="-53"/>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
          <w:w w:val="100"/>
        </w:rPr>
        <w:t>元（</w:t>
      </w:r>
      <w:r>
        <w:rPr>
          <w:w w:val="100"/>
        </w:rPr>
        <w:t>含税</w:t>
      </w:r>
      <w:r>
        <w:rPr>
          <w:spacing w:val="-108"/>
          <w:w w:val="100"/>
        </w:rPr>
        <w:t>）</w:t>
      </w:r>
      <w:r>
        <w:rPr>
          <w:w w:val="100"/>
        </w:rPr>
        <w:t>，</w:t>
      </w:r>
      <w:r>
        <w:rPr>
          <w:spacing w:val="-3"/>
          <w:w w:val="100"/>
        </w:rPr>
        <w:t>以</w:t>
      </w:r>
      <w:r>
        <w:rPr>
          <w:w w:val="100"/>
        </w:rPr>
        <w:t>资</w:t>
      </w:r>
    </w:p>
    <w:p>
      <w:pPr>
        <w:pStyle w:val="Heading6"/>
        <w:spacing w:line="398" w:lineRule="auto" w:before="177"/>
        <w:ind w:left="663" w:right="0"/>
        <w:jc w:val="left"/>
      </w:pPr>
      <w:r>
        <w:rPr/>
        <w:t>本公积金每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股。公司现金分红政策的制定及执行情况，符合《公司章程》的规</w:t>
      </w:r>
      <w:r>
        <w:rPr>
          <w:w w:val="100"/>
        </w:rPr>
        <w:t> </w:t>
      </w:r>
      <w:r>
        <w:rPr>
          <w:spacing w:val="-3"/>
        </w:rPr>
        <w:t>定，分红标准和比例明确清晰，相关决策程序完备，独立董事尽职履行，充分维护了中小股</w:t>
      </w:r>
      <w:r>
        <w:rPr>
          <w:spacing w:val="-28"/>
        </w:rPr>
        <w:t> </w:t>
      </w:r>
      <w:r>
        <w:rPr>
          <w:spacing w:val="-28"/>
        </w:rPr>
      </w:r>
      <w:r>
        <w:rPr/>
        <w:t>东的合法权益。</w:t>
      </w:r>
    </w:p>
    <w:tbl>
      <w:tblPr>
        <w:tblW w:w="0" w:type="auto"/>
        <w:jc w:val="left"/>
        <w:tblInd w:w="103" w:type="dxa"/>
        <w:tblLayout w:type="fixed"/>
        <w:tblCellMar>
          <w:top w:w="0" w:type="dxa"/>
          <w:left w:w="0" w:type="dxa"/>
          <w:bottom w:w="0" w:type="dxa"/>
          <w:right w:w="0" w:type="dxa"/>
        </w:tblCellMar>
        <w:tblLook w:val="01E0"/>
      </w:tblPr>
      <w:tblGrid>
        <w:gridCol w:w="4761"/>
        <w:gridCol w:w="4796"/>
      </w:tblGrid>
      <w:tr>
        <w:trPr>
          <w:trHeight w:val="35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6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0"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left="10"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0" w:space="0" w:color="D2D2D2"/>
              <w:bottom w:val="single" w:sz="4" w:space="0" w:color="000000"/>
              <w:right w:val="single" w:sz="4" w:space="0" w:color="000000"/>
            </w:tcBorders>
          </w:tcPr>
          <w:p>
            <w:pPr>
              <w:pStyle w:val="TableParagraph"/>
              <w:spacing w:line="235" w:lineRule="exact"/>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0" w:space="0" w:color="D2D2D2"/>
              <w:bottom w:val="single" w:sz="4" w:space="0" w:color="000000"/>
              <w:right w:val="single" w:sz="4" w:space="0" w:color="000000"/>
            </w:tcBorders>
          </w:tcPr>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0" w:space="0" w:color="D2D2D2"/>
              <w:bottom w:val="single" w:sz="4" w:space="0" w:color="000000"/>
              <w:right w:val="single" w:sz="4" w:space="0" w:color="000000"/>
            </w:tcBorders>
          </w:tcPr>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ind w:left="10"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ind w:left="10"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现金分红政策未经调整或变更。</w:t>
            </w:r>
          </w:p>
        </w:tc>
      </w:tr>
    </w:tbl>
    <w:p>
      <w:pPr>
        <w:spacing w:line="240" w:lineRule="auto" w:before="2"/>
        <w:rPr>
          <w:rFonts w:ascii="宋体" w:hAnsi="宋体" w:cs="宋体" w:eastAsia="宋体" w:hint="default"/>
          <w:sz w:val="28"/>
          <w:szCs w:val="28"/>
        </w:rPr>
      </w:pPr>
    </w:p>
    <w:p>
      <w:pPr>
        <w:pStyle w:val="Heading6"/>
        <w:spacing w:line="240" w:lineRule="auto" w:before="36"/>
        <w:ind w:left="663" w:right="0"/>
        <w:jc w:val="left"/>
      </w:pPr>
      <w:r>
        <w:rPr/>
        <w:t>公司报告期利润分配预案及资本公积金转增股本预案符合公司章程等的相关规定。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37"/>
        <w:ind w:left="663" w:right="0"/>
        <w:jc w:val="left"/>
      </w:pPr>
      <w:r>
        <w:rPr/>
        <w:t>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44"/>
        <w:ind w:left="0" w:right="116"/>
        <w:jc w:val="right"/>
      </w:pPr>
      <w:r>
        <w:rPr/>
        <w:pict>
          <v:shape style="position:absolute;margin-left:64.164001pt;margin-top:-143.528259pt;width:478.6pt;height:181.6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5"/>
                    <w:gridCol w:w="5862"/>
                  </w:tblGrid>
                  <w:tr>
                    <w:trPr>
                      <w:trHeight w:val="36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r>
                  <w:tr>
                    <w:trPr>
                      <w:trHeight w:val="36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0.4</w:t>
                        </w:r>
                      </w:p>
                    </w:tc>
                  </w:tr>
                  <w:tr>
                    <w:trPr>
                      <w:trHeight w:val="36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w:t>
                        </w:r>
                      </w:p>
                    </w:tc>
                  </w:tr>
                  <w:tr>
                    <w:trPr>
                      <w:trHeight w:val="36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422,351,509</w:t>
                        </w:r>
                      </w:p>
                    </w:tc>
                  </w:tr>
                  <w:tr>
                    <w:trPr>
                      <w:trHeight w:val="36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16,894,060.36</w:t>
                        </w:r>
                      </w:p>
                    </w:tc>
                  </w:tr>
                  <w:tr>
                    <w:trPr>
                      <w:trHeight w:val="36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109,815,936.80</w:t>
                        </w:r>
                      </w:p>
                    </w:tc>
                  </w:tr>
                  <w:tr>
                    <w:trPr>
                      <w:trHeight w:val="36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100%</w:t>
                        </w:r>
                      </w:p>
                    </w:tc>
                  </w:tr>
                  <w:tr>
                    <w:trPr>
                      <w:trHeight w:val="36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4"/>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6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公司发展阶段属成长期且有重大资金支出安排的，进行利润分配时，现金分红在本次利润分配中所占比例最低应达到</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20%</w:t>
                        </w:r>
                      </w:p>
                    </w:tc>
                  </w:tr>
                  <w:tr>
                    <w:trPr>
                      <w:trHeight w:val="36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76"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p>
              </w:txbxContent>
            </v:textbox>
            <w10:wrap type="none"/>
          </v:shape>
        </w:pict>
      </w:r>
      <w:r>
        <w:rPr/>
        <w:t>。</w:t>
      </w:r>
    </w:p>
    <w:p>
      <w:pPr>
        <w:spacing w:after="0" w:line="240" w:lineRule="auto"/>
        <w:jc w:val="right"/>
        <w:sectPr>
          <w:pgSz w:w="11910" w:h="16840"/>
          <w:pgMar w:header="0" w:footer="959" w:top="1580" w:bottom="1160" w:left="1180" w:right="880"/>
        </w:sectPr>
      </w:pPr>
    </w:p>
    <w:p>
      <w:pPr>
        <w:spacing w:line="240" w:lineRule="auto" w:before="11"/>
        <w:rPr>
          <w:rFonts w:ascii="宋体" w:hAnsi="宋体" w:cs="宋体" w:eastAsia="宋体" w:hint="default"/>
          <w:sz w:val="5"/>
          <w:szCs w:val="5"/>
        </w:rPr>
      </w:pPr>
    </w:p>
    <w:p>
      <w:pPr>
        <w:spacing w:line="1901" w:lineRule="exact"/>
        <w:ind w:left="112" w:right="0" w:firstLine="0"/>
        <w:rPr>
          <w:rFonts w:ascii="宋体" w:hAnsi="宋体" w:cs="宋体" w:eastAsia="宋体" w:hint="default"/>
          <w:sz w:val="20"/>
          <w:szCs w:val="20"/>
        </w:rPr>
      </w:pPr>
      <w:r>
        <w:rPr>
          <w:rFonts w:ascii="宋体" w:hAnsi="宋体" w:cs="宋体" w:eastAsia="宋体" w:hint="default"/>
          <w:position w:val="-37"/>
          <w:sz w:val="20"/>
          <w:szCs w:val="20"/>
        </w:rPr>
        <w:pict>
          <v:group style="width:481.9pt;height:95.1pt;mso-position-horizontal-relative:char;mso-position-vertical-relative:line" coordorigin="0,0" coordsize="9638,1902">
            <v:group style="position:absolute;left:10;top:10;width:9559;height:2" coordorigin="10,10" coordsize="9559,2">
              <v:shape style="position:absolute;left:10;top:10;width:9559;height:2" coordorigin="10,10" coordsize="9559,0" path="m10,10l9568,10e" filled="false" stroked="true" strokeweight=".48pt" strokecolor="#000000">
                <v:path arrowok="t"/>
              </v:shape>
            </v:group>
            <v:group style="position:absolute;left:5;top:5;width:2;height:1892" coordorigin="5,5" coordsize="2,1892">
              <v:shape style="position:absolute;left:5;top:5;width:2;height:1892" coordorigin="5,5" coordsize="0,1892" path="m5,5l5,1896e" filled="false" stroked="true" strokeweight=".48pt" strokecolor="#000000">
                <v:path arrowok="t"/>
              </v:shape>
            </v:group>
            <v:group style="position:absolute;left:10;top:1892;width:9559;height:2" coordorigin="10,1892" coordsize="9559,2">
              <v:shape style="position:absolute;left:10;top:1892;width:9559;height:2" coordorigin="10,1892" coordsize="9559,0" path="m10,1892l9568,1892e" filled="false" stroked="true" strokeweight=".48pt" strokecolor="#000000">
                <v:path arrowok="t"/>
              </v:shape>
            </v:group>
            <v:group style="position:absolute;left:9573;top:5;width:2;height:1892" coordorigin="9573,5" coordsize="2,1892">
              <v:shape style="position:absolute;left:9573;top:5;width:2;height:1892" coordorigin="9573,5" coordsize="0,1892" path="m9573,5l9573,1896e" filled="false" stroked="true" strokeweight=".48004pt" strokecolor="#000000">
                <v:path arrowok="t"/>
              </v:shape>
              <v:shape style="position:absolute;left:0;top:0;width:9638;height:1902" type="#_x0000_t202" filled="false" stroked="false">
                <v:textbox inset="0,0,0,0">
                  <w:txbxContent>
                    <w:p>
                      <w:pPr>
                        <w:spacing w:line="316" w:lineRule="auto" w:before="23"/>
                        <w:ind w:left="211" w:right="14" w:firstLine="360"/>
                        <w:jc w:val="left"/>
                        <w:rPr>
                          <w:rFonts w:ascii="宋体" w:hAnsi="宋体" w:cs="宋体" w:eastAsia="宋体" w:hint="default"/>
                          <w:sz w:val="18"/>
                          <w:szCs w:val="18"/>
                        </w:rPr>
                      </w:pPr>
                      <w:r>
                        <w:rPr>
                          <w:rFonts w:ascii="宋体" w:hAnsi="宋体" w:cs="宋体" w:eastAsia="宋体" w:hint="default"/>
                          <w:sz w:val="18"/>
                          <w:szCs w:val="18"/>
                        </w:rPr>
                        <w:t>经天职国际会计师事务所（特殊普通合伙）审计，</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年度母公司实现净利润</w:t>
                      </w:r>
                      <w:r>
                        <w:rPr>
                          <w:rFonts w:ascii="宋体" w:hAnsi="宋体" w:cs="宋体" w:eastAsia="宋体" w:hint="default"/>
                          <w:spacing w:val="-48"/>
                          <w:sz w:val="18"/>
                          <w:szCs w:val="18"/>
                        </w:rPr>
                        <w:t> </w:t>
                      </w:r>
                      <w:r>
                        <w:rPr>
                          <w:rFonts w:ascii="宋体" w:hAnsi="宋体" w:cs="宋体" w:eastAsia="宋体" w:hint="default"/>
                          <w:sz w:val="18"/>
                          <w:szCs w:val="18"/>
                        </w:rPr>
                        <w:t>43,434,910.20</w:t>
                      </w:r>
                      <w:r>
                        <w:rPr>
                          <w:rFonts w:ascii="宋体" w:hAnsi="宋体" w:cs="宋体" w:eastAsia="宋体" w:hint="default"/>
                          <w:spacing w:val="-45"/>
                          <w:sz w:val="18"/>
                          <w:szCs w:val="18"/>
                        </w:rPr>
                        <w:t> </w:t>
                      </w:r>
                      <w:r>
                        <w:rPr>
                          <w:rFonts w:ascii="宋体" w:hAnsi="宋体" w:cs="宋体" w:eastAsia="宋体" w:hint="default"/>
                          <w:sz w:val="18"/>
                          <w:szCs w:val="18"/>
                        </w:rPr>
                        <w:t>元，按《公司章程》 规定，提取</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z w:val="18"/>
                          <w:szCs w:val="18"/>
                        </w:rPr>
                        <w:t>法定盈余公积金</w:t>
                      </w:r>
                      <w:r>
                        <w:rPr>
                          <w:rFonts w:ascii="宋体" w:hAnsi="宋体" w:cs="宋体" w:eastAsia="宋体" w:hint="default"/>
                          <w:spacing w:val="-48"/>
                          <w:sz w:val="18"/>
                          <w:szCs w:val="18"/>
                        </w:rPr>
                        <w:t> </w:t>
                      </w:r>
                      <w:r>
                        <w:rPr>
                          <w:rFonts w:ascii="宋体" w:hAnsi="宋体" w:cs="宋体" w:eastAsia="宋体" w:hint="default"/>
                          <w:sz w:val="18"/>
                          <w:szCs w:val="18"/>
                        </w:rPr>
                        <w:t>4,343,491.02</w:t>
                      </w:r>
                      <w:r>
                        <w:rPr>
                          <w:rFonts w:ascii="宋体" w:hAnsi="宋体" w:cs="宋体" w:eastAsia="宋体" w:hint="default"/>
                          <w:spacing w:val="-47"/>
                          <w:sz w:val="18"/>
                          <w:szCs w:val="18"/>
                        </w:rPr>
                        <w:t> </w:t>
                      </w:r>
                      <w:r>
                        <w:rPr>
                          <w:rFonts w:ascii="宋体" w:hAnsi="宋体" w:cs="宋体" w:eastAsia="宋体" w:hint="default"/>
                          <w:spacing w:val="-3"/>
                          <w:sz w:val="18"/>
                          <w:szCs w:val="18"/>
                        </w:rPr>
                        <w:t>元后，加上</w:t>
                      </w:r>
                      <w:r>
                        <w:rPr>
                          <w:rFonts w:ascii="宋体" w:hAnsi="宋体" w:cs="宋体" w:eastAsia="宋体" w:hint="default"/>
                          <w:spacing w:val="-49"/>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年未分配利润余额，</w:t>
                      </w: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年末累计实际可供全体股东分 配利润为</w:t>
                      </w:r>
                      <w:r>
                        <w:rPr>
                          <w:rFonts w:ascii="宋体" w:hAnsi="宋体" w:cs="宋体" w:eastAsia="宋体" w:hint="default"/>
                          <w:spacing w:val="-49"/>
                          <w:sz w:val="18"/>
                          <w:szCs w:val="18"/>
                        </w:rPr>
                        <w:t> </w:t>
                      </w:r>
                      <w:r>
                        <w:rPr>
                          <w:rFonts w:ascii="宋体" w:hAnsi="宋体" w:cs="宋体" w:eastAsia="宋体" w:hint="default"/>
                          <w:sz w:val="18"/>
                          <w:szCs w:val="18"/>
                        </w:rPr>
                        <w:t>109,815,936.80</w:t>
                      </w:r>
                      <w:r>
                        <w:rPr>
                          <w:rFonts w:ascii="宋体" w:hAnsi="宋体" w:cs="宋体" w:eastAsia="宋体" w:hint="default"/>
                          <w:spacing w:val="-46"/>
                          <w:sz w:val="18"/>
                          <w:szCs w:val="18"/>
                        </w:rPr>
                        <w:t> </w:t>
                      </w:r>
                      <w:r>
                        <w:rPr>
                          <w:rFonts w:ascii="宋体" w:hAnsi="宋体" w:cs="宋体" w:eastAsia="宋体" w:hint="default"/>
                          <w:sz w:val="18"/>
                          <w:szCs w:val="18"/>
                        </w:rPr>
                        <w:t>元，资本公积金余额为</w:t>
                      </w:r>
                      <w:r>
                        <w:rPr>
                          <w:rFonts w:ascii="宋体" w:hAnsi="宋体" w:cs="宋体" w:eastAsia="宋体" w:hint="default"/>
                          <w:spacing w:val="-48"/>
                          <w:sz w:val="18"/>
                          <w:szCs w:val="18"/>
                        </w:rPr>
                        <w:t> </w:t>
                      </w:r>
                      <w:r>
                        <w:rPr>
                          <w:rFonts w:ascii="宋体" w:hAnsi="宋体" w:cs="宋体" w:eastAsia="宋体" w:hint="default"/>
                          <w:sz w:val="18"/>
                          <w:szCs w:val="18"/>
                        </w:rPr>
                        <w:t>1,135,277,366.50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before="19"/>
                        <w:ind w:left="391" w:right="0" w:firstLine="0"/>
                        <w:jc w:val="left"/>
                        <w:rPr>
                          <w:rFonts w:ascii="宋体" w:hAnsi="宋体" w:cs="宋体" w:eastAsia="宋体" w:hint="default"/>
                          <w:sz w:val="18"/>
                          <w:szCs w:val="18"/>
                        </w:rPr>
                      </w:pPr>
                      <w:r>
                        <w:rPr>
                          <w:rFonts w:ascii="宋体" w:hAnsi="宋体" w:cs="宋体" w:eastAsia="宋体" w:hint="default"/>
                          <w:sz w:val="18"/>
                          <w:szCs w:val="18"/>
                        </w:rPr>
                        <w:t>经研究，公司</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年度的利润分配预案为：以公司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年末股本</w:t>
                      </w:r>
                      <w:r>
                        <w:rPr>
                          <w:rFonts w:ascii="宋体" w:hAnsi="宋体" w:cs="宋体" w:eastAsia="宋体" w:hint="default"/>
                          <w:spacing w:val="-47"/>
                          <w:sz w:val="18"/>
                          <w:szCs w:val="18"/>
                        </w:rPr>
                        <w:t> </w:t>
                      </w:r>
                      <w:r>
                        <w:rPr>
                          <w:rFonts w:ascii="宋体" w:hAnsi="宋体" w:cs="宋体" w:eastAsia="宋体" w:hint="default"/>
                          <w:sz w:val="18"/>
                          <w:szCs w:val="18"/>
                        </w:rPr>
                        <w:t>422,351,509</w:t>
                      </w:r>
                      <w:r>
                        <w:rPr>
                          <w:rFonts w:ascii="宋体" w:hAnsi="宋体" w:cs="宋体" w:eastAsia="宋体" w:hint="default"/>
                          <w:spacing w:val="-45"/>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股派发</w:t>
                      </w:r>
                    </w:p>
                    <w:p>
                      <w:pPr>
                        <w:spacing w:before="76"/>
                        <w:ind w:left="31" w:right="0" w:firstLine="0"/>
                        <w:jc w:val="left"/>
                        <w:rPr>
                          <w:rFonts w:ascii="宋体" w:hAnsi="宋体" w:cs="宋体" w:eastAsia="宋体" w:hint="default"/>
                          <w:sz w:val="18"/>
                          <w:szCs w:val="18"/>
                        </w:rPr>
                      </w:pPr>
                      <w:r>
                        <w:rPr>
                          <w:rFonts w:ascii="宋体" w:hAnsi="宋体" w:cs="宋体" w:eastAsia="宋体" w:hint="default"/>
                          <w:sz w:val="18"/>
                          <w:szCs w:val="18"/>
                        </w:rPr>
                        <w:t>现金股利人民币</w:t>
                      </w:r>
                      <w:r>
                        <w:rPr>
                          <w:rFonts w:ascii="宋体" w:hAnsi="宋体" w:cs="宋体" w:eastAsia="宋体" w:hint="default"/>
                          <w:spacing w:val="-45"/>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4</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pacing w:val="-8"/>
                          <w:sz w:val="18"/>
                          <w:szCs w:val="18"/>
                        </w:rPr>
                        <w:t>元</w:t>
                      </w:r>
                      <w:r>
                        <w:rPr>
                          <w:rFonts w:ascii="宋体" w:hAnsi="宋体" w:cs="宋体" w:eastAsia="宋体" w:hint="default"/>
                          <w:sz w:val="18"/>
                          <w:szCs w:val="18"/>
                        </w:rPr>
                        <w:t>（含</w:t>
                      </w:r>
                      <w:r>
                        <w:rPr>
                          <w:rFonts w:ascii="宋体" w:hAnsi="宋体" w:cs="宋体" w:eastAsia="宋体" w:hint="default"/>
                          <w:spacing w:val="-3"/>
                          <w:sz w:val="18"/>
                          <w:szCs w:val="18"/>
                        </w:rPr>
                        <w:t>税</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合计派发现金</w:t>
                      </w:r>
                      <w:r>
                        <w:rPr>
                          <w:rFonts w:ascii="宋体" w:hAnsi="宋体" w:cs="宋体" w:eastAsia="宋体" w:hint="default"/>
                          <w:spacing w:val="-44"/>
                          <w:sz w:val="18"/>
                          <w:szCs w:val="18"/>
                        </w:rPr>
                        <w:t> </w:t>
                      </w:r>
                      <w:r>
                        <w:rPr>
                          <w:rFonts w:ascii="宋体" w:hAnsi="宋体" w:cs="宋体" w:eastAsia="宋体" w:hint="default"/>
                          <w:spacing w:val="1"/>
                          <w:sz w:val="18"/>
                          <w:szCs w:val="18"/>
                        </w:rPr>
                        <w:t>16</w:t>
                      </w:r>
                      <w:r>
                        <w:rPr>
                          <w:rFonts w:ascii="宋体" w:hAnsi="宋体" w:cs="宋体" w:eastAsia="宋体" w:hint="default"/>
                          <w:spacing w:val="-2"/>
                          <w:sz w:val="18"/>
                          <w:szCs w:val="18"/>
                        </w:rPr>
                        <w:t>,</w:t>
                      </w:r>
                      <w:r>
                        <w:rPr>
                          <w:rFonts w:ascii="宋体" w:hAnsi="宋体" w:cs="宋体" w:eastAsia="宋体" w:hint="default"/>
                          <w:spacing w:val="1"/>
                          <w:sz w:val="18"/>
                          <w:szCs w:val="18"/>
                        </w:rPr>
                        <w:t>8</w:t>
                      </w:r>
                      <w:r>
                        <w:rPr>
                          <w:rFonts w:ascii="宋体" w:hAnsi="宋体" w:cs="宋体" w:eastAsia="宋体" w:hint="default"/>
                          <w:spacing w:val="-2"/>
                          <w:sz w:val="18"/>
                          <w:szCs w:val="18"/>
                        </w:rPr>
                        <w:t>9</w:t>
                      </w:r>
                      <w:r>
                        <w:rPr>
                          <w:rFonts w:ascii="宋体" w:hAnsi="宋体" w:cs="宋体" w:eastAsia="宋体" w:hint="default"/>
                          <w:spacing w:val="1"/>
                          <w:sz w:val="18"/>
                          <w:szCs w:val="18"/>
                        </w:rPr>
                        <w:t>4</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6</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元</w:t>
                      </w:r>
                      <w:r>
                        <w:rPr>
                          <w:rFonts w:ascii="宋体" w:hAnsi="宋体" w:cs="宋体" w:eastAsia="宋体" w:hint="default"/>
                          <w:spacing w:val="-8"/>
                          <w:sz w:val="18"/>
                          <w:szCs w:val="18"/>
                        </w:rPr>
                        <w:t>。</w:t>
                      </w:r>
                      <w:r>
                        <w:rPr>
                          <w:rFonts w:ascii="宋体" w:hAnsi="宋体" w:cs="宋体" w:eastAsia="宋体" w:hint="default"/>
                          <w:sz w:val="18"/>
                          <w:szCs w:val="18"/>
                        </w:rPr>
                        <w:t>同时</w:t>
                      </w:r>
                      <w:r>
                        <w:rPr>
                          <w:rFonts w:ascii="宋体" w:hAnsi="宋体" w:cs="宋体" w:eastAsia="宋体" w:hint="default"/>
                          <w:spacing w:val="-8"/>
                          <w:sz w:val="18"/>
                          <w:szCs w:val="18"/>
                        </w:rPr>
                        <w:t>，</w:t>
                      </w:r>
                      <w:r>
                        <w:rPr>
                          <w:rFonts w:ascii="宋体" w:hAnsi="宋体" w:cs="宋体" w:eastAsia="宋体" w:hint="default"/>
                          <w:sz w:val="18"/>
                          <w:szCs w:val="18"/>
                        </w:rPr>
                        <w:t>以</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年末</w:t>
                      </w:r>
                      <w:r>
                        <w:rPr>
                          <w:rFonts w:ascii="宋体" w:hAnsi="宋体" w:cs="宋体" w:eastAsia="宋体" w:hint="default"/>
                          <w:spacing w:val="-3"/>
                          <w:sz w:val="18"/>
                          <w:szCs w:val="18"/>
                        </w:rPr>
                        <w:t>的</w:t>
                      </w:r>
                      <w:r>
                        <w:rPr>
                          <w:rFonts w:ascii="宋体" w:hAnsi="宋体" w:cs="宋体" w:eastAsia="宋体" w:hint="default"/>
                          <w:sz w:val="18"/>
                          <w:szCs w:val="18"/>
                        </w:rPr>
                        <w:t>总股本</w:t>
                      </w:r>
                      <w:r>
                        <w:rPr>
                          <w:rFonts w:ascii="宋体" w:hAnsi="宋体" w:cs="宋体" w:eastAsia="宋体" w:hint="default"/>
                          <w:spacing w:val="-44"/>
                          <w:sz w:val="18"/>
                          <w:szCs w:val="18"/>
                        </w:rPr>
                        <w:t> </w:t>
                      </w:r>
                      <w:r>
                        <w:rPr>
                          <w:rFonts w:ascii="宋体" w:hAnsi="宋体" w:cs="宋体" w:eastAsia="宋体" w:hint="default"/>
                          <w:spacing w:val="1"/>
                          <w:sz w:val="18"/>
                          <w:szCs w:val="18"/>
                        </w:rPr>
                        <w:t>4</w:t>
                      </w:r>
                      <w:r>
                        <w:rPr>
                          <w:rFonts w:ascii="宋体" w:hAnsi="宋体" w:cs="宋体" w:eastAsia="宋体" w:hint="default"/>
                          <w:spacing w:val="-2"/>
                          <w:sz w:val="18"/>
                          <w:szCs w:val="18"/>
                        </w:rPr>
                        <w:t>2</w:t>
                      </w:r>
                      <w:r>
                        <w:rPr>
                          <w:rFonts w:ascii="宋体" w:hAnsi="宋体" w:cs="宋体" w:eastAsia="宋体" w:hint="default"/>
                          <w:spacing w:val="1"/>
                          <w:sz w:val="18"/>
                          <w:szCs w:val="18"/>
                        </w:rPr>
                        <w:t>2</w:t>
                      </w:r>
                      <w:r>
                        <w:rPr>
                          <w:rFonts w:ascii="宋体" w:hAnsi="宋体" w:cs="宋体" w:eastAsia="宋体" w:hint="default"/>
                          <w:spacing w:val="-1"/>
                          <w:sz w:val="18"/>
                          <w:szCs w:val="18"/>
                        </w:rPr>
                        <w:t>,</w:t>
                      </w:r>
                      <w:r>
                        <w:rPr>
                          <w:rFonts w:ascii="宋体" w:hAnsi="宋体" w:cs="宋体" w:eastAsia="宋体" w:hint="default"/>
                          <w:spacing w:val="1"/>
                          <w:sz w:val="18"/>
                          <w:szCs w:val="18"/>
                        </w:rPr>
                        <w:t>3</w:t>
                      </w:r>
                      <w:r>
                        <w:rPr>
                          <w:rFonts w:ascii="宋体" w:hAnsi="宋体" w:cs="宋体" w:eastAsia="宋体" w:hint="default"/>
                          <w:spacing w:val="-2"/>
                          <w:sz w:val="18"/>
                          <w:szCs w:val="18"/>
                        </w:rPr>
                        <w:t>5</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5</w:t>
                      </w:r>
                      <w:r>
                        <w:rPr>
                          <w:rFonts w:ascii="宋体" w:hAnsi="宋体" w:cs="宋体" w:eastAsia="宋体" w:hint="default"/>
                          <w:spacing w:val="-2"/>
                          <w:sz w:val="18"/>
                          <w:szCs w:val="18"/>
                        </w:rPr>
                        <w:t>0</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股为基数，</w:t>
                      </w:r>
                    </w:p>
                    <w:p>
                      <w:pPr>
                        <w:spacing w:before="76"/>
                        <w:ind w:left="31" w:right="0" w:firstLine="0"/>
                        <w:jc w:val="left"/>
                        <w:rPr>
                          <w:rFonts w:ascii="宋体" w:hAnsi="宋体" w:cs="宋体" w:eastAsia="宋体" w:hint="default"/>
                          <w:sz w:val="18"/>
                          <w:szCs w:val="18"/>
                        </w:rPr>
                      </w:pPr>
                      <w:r>
                        <w:rPr>
                          <w:rFonts w:ascii="宋体" w:hAnsi="宋体" w:cs="宋体" w:eastAsia="宋体" w:hint="default"/>
                          <w:sz w:val="18"/>
                          <w:szCs w:val="18"/>
                        </w:rPr>
                        <w:t>以资本公积金每</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股，预案实施后，公司总股本由</w:t>
                      </w:r>
                      <w:r>
                        <w:rPr>
                          <w:rFonts w:ascii="宋体" w:hAnsi="宋体" w:cs="宋体" w:eastAsia="宋体" w:hint="default"/>
                          <w:spacing w:val="-47"/>
                          <w:sz w:val="18"/>
                          <w:szCs w:val="18"/>
                        </w:rPr>
                        <w:t> </w:t>
                      </w:r>
                      <w:r>
                        <w:rPr>
                          <w:rFonts w:ascii="宋体" w:hAnsi="宋体" w:cs="宋体" w:eastAsia="宋体" w:hint="default"/>
                          <w:sz w:val="18"/>
                          <w:szCs w:val="18"/>
                        </w:rPr>
                        <w:t>422,351,509</w:t>
                      </w:r>
                      <w:r>
                        <w:rPr>
                          <w:rFonts w:ascii="宋体" w:hAnsi="宋体" w:cs="宋体" w:eastAsia="宋体" w:hint="default"/>
                          <w:spacing w:val="-44"/>
                          <w:sz w:val="18"/>
                          <w:szCs w:val="18"/>
                        </w:rPr>
                        <w:t> </w:t>
                      </w:r>
                      <w:r>
                        <w:rPr>
                          <w:rFonts w:ascii="宋体" w:hAnsi="宋体" w:cs="宋体" w:eastAsia="宋体" w:hint="default"/>
                          <w:sz w:val="18"/>
                          <w:szCs w:val="18"/>
                        </w:rPr>
                        <w:t>股增至</w:t>
                      </w:r>
                      <w:r>
                        <w:rPr>
                          <w:rFonts w:ascii="宋体" w:hAnsi="宋体" w:cs="宋体" w:eastAsia="宋体" w:hint="default"/>
                          <w:spacing w:val="-47"/>
                          <w:sz w:val="18"/>
                          <w:szCs w:val="18"/>
                        </w:rPr>
                        <w:t> </w:t>
                      </w:r>
                      <w:r>
                        <w:rPr>
                          <w:rFonts w:ascii="宋体" w:hAnsi="宋体" w:cs="宋体" w:eastAsia="宋体" w:hint="default"/>
                          <w:sz w:val="18"/>
                          <w:szCs w:val="18"/>
                        </w:rPr>
                        <w:t>506,821,811</w:t>
                      </w:r>
                      <w:r>
                        <w:rPr>
                          <w:rFonts w:ascii="宋体" w:hAnsi="宋体" w:cs="宋体" w:eastAsia="宋体" w:hint="default"/>
                          <w:spacing w:val="-45"/>
                          <w:sz w:val="18"/>
                          <w:szCs w:val="18"/>
                        </w:rPr>
                        <w:t> </w:t>
                      </w:r>
                      <w:r>
                        <w:rPr>
                          <w:rFonts w:ascii="宋体" w:hAnsi="宋体" w:cs="宋体" w:eastAsia="宋体" w:hint="default"/>
                          <w:sz w:val="18"/>
                          <w:szCs w:val="18"/>
                        </w:rPr>
                        <w:t>股。</w:t>
                      </w:r>
                    </w:p>
                  </w:txbxContent>
                </v:textbox>
                <w10:wrap type="none"/>
              </v:shape>
            </v:group>
          </v:group>
        </w:pict>
      </w:r>
      <w:r>
        <w:rPr>
          <w:rFonts w:ascii="宋体" w:hAnsi="宋体" w:cs="宋体" w:eastAsia="宋体" w:hint="default"/>
          <w:position w:val="-37"/>
          <w:sz w:val="20"/>
          <w:szCs w:val="20"/>
        </w:rPr>
      </w:r>
    </w:p>
    <w:p>
      <w:pPr>
        <w:pStyle w:val="Heading6"/>
        <w:spacing w:line="274" w:lineRule="exact"/>
        <w:ind w:left="683" w:right="687"/>
        <w:jc w:val="left"/>
      </w:pPr>
      <w:r>
        <w:rPr>
          <w:w w:val="100"/>
        </w:rPr>
        <w:t>公</w:t>
      </w:r>
      <w:r>
        <w:rPr>
          <w:spacing w:val="-3"/>
          <w:w w:val="100"/>
        </w:rPr>
        <w:t>司</w:t>
      </w:r>
      <w:r>
        <w:rPr>
          <w:w w:val="100"/>
        </w:rPr>
        <w:t>近</w:t>
      </w:r>
      <w:r>
        <w:rPr>
          <w:spacing w:val="-53"/>
        </w:rPr>
        <w:t> </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spacing w:val="-32"/>
          <w:w w:val="100"/>
        </w:rPr>
        <w:t>年</w:t>
      </w:r>
      <w:r>
        <w:rPr>
          <w:w w:val="100"/>
        </w:rPr>
        <w:t>（</w:t>
      </w:r>
      <w:r>
        <w:rPr>
          <w:spacing w:val="-3"/>
          <w:w w:val="100"/>
        </w:rPr>
        <w:t>包</w:t>
      </w:r>
      <w:r>
        <w:rPr>
          <w:w w:val="100"/>
        </w:rPr>
        <w:t>括</w:t>
      </w:r>
      <w:r>
        <w:rPr>
          <w:spacing w:val="-3"/>
          <w:w w:val="100"/>
        </w:rPr>
        <w:t>本</w:t>
      </w:r>
      <w:r>
        <w:rPr>
          <w:w w:val="100"/>
        </w:rPr>
        <w:t>报</w:t>
      </w:r>
      <w:r>
        <w:rPr>
          <w:spacing w:val="-3"/>
          <w:w w:val="100"/>
        </w:rPr>
        <w:t>告</w:t>
      </w:r>
      <w:r>
        <w:rPr>
          <w:w w:val="100"/>
        </w:rPr>
        <w:t>期</w:t>
      </w:r>
      <w:r>
        <w:rPr>
          <w:spacing w:val="-29"/>
          <w:w w:val="100"/>
        </w:rPr>
        <w:t>）</w:t>
      </w:r>
      <w:r>
        <w:rPr>
          <w:spacing w:val="-3"/>
          <w:w w:val="100"/>
        </w:rPr>
        <w:t>的</w:t>
      </w:r>
      <w:r>
        <w:rPr>
          <w:w w:val="100"/>
        </w:rPr>
        <w:t>普</w:t>
      </w:r>
      <w:r>
        <w:rPr>
          <w:spacing w:val="-3"/>
          <w:w w:val="100"/>
        </w:rPr>
        <w:t>通</w:t>
      </w:r>
      <w:r>
        <w:rPr>
          <w:w w:val="100"/>
        </w:rPr>
        <w:t>股</w:t>
      </w:r>
      <w:r>
        <w:rPr>
          <w:spacing w:val="-3"/>
          <w:w w:val="100"/>
        </w:rPr>
        <w:t>股</w:t>
      </w:r>
      <w:r>
        <w:rPr>
          <w:w w:val="100"/>
        </w:rPr>
        <w:t>利</w:t>
      </w:r>
      <w:r>
        <w:rPr>
          <w:spacing w:val="-3"/>
          <w:w w:val="100"/>
        </w:rPr>
        <w:t>分</w:t>
      </w:r>
      <w:r>
        <w:rPr>
          <w:w w:val="100"/>
        </w:rPr>
        <w:t>配</w:t>
      </w:r>
      <w:r>
        <w:rPr>
          <w:spacing w:val="-3"/>
          <w:w w:val="100"/>
        </w:rPr>
        <w:t>方</w:t>
      </w:r>
      <w:r>
        <w:rPr>
          <w:spacing w:val="-29"/>
          <w:w w:val="100"/>
        </w:rPr>
        <w:t>案</w:t>
      </w:r>
      <w:r>
        <w:rPr>
          <w:w w:val="100"/>
        </w:rPr>
        <w:t>（</w:t>
      </w:r>
      <w:r>
        <w:rPr>
          <w:spacing w:val="-3"/>
          <w:w w:val="100"/>
        </w:rPr>
        <w:t>预</w:t>
      </w:r>
      <w:r>
        <w:rPr>
          <w:w w:val="100"/>
        </w:rPr>
        <w:t>案</w:t>
      </w:r>
      <w:r>
        <w:rPr>
          <w:spacing w:val="-106"/>
          <w:w w:val="100"/>
        </w:rPr>
        <w:t>）</w:t>
      </w:r>
      <w:r>
        <w:rPr>
          <w:spacing w:val="-32"/>
          <w:w w:val="100"/>
        </w:rPr>
        <w:t>、</w:t>
      </w:r>
      <w:r>
        <w:rPr>
          <w:w w:val="100"/>
        </w:rPr>
        <w:t>资</w:t>
      </w:r>
      <w:r>
        <w:rPr>
          <w:spacing w:val="-3"/>
          <w:w w:val="100"/>
        </w:rPr>
        <w:t>本</w:t>
      </w:r>
      <w:r>
        <w:rPr>
          <w:w w:val="100"/>
        </w:rPr>
        <w:t>公</w:t>
      </w:r>
      <w:r>
        <w:rPr>
          <w:spacing w:val="-3"/>
          <w:w w:val="100"/>
        </w:rPr>
        <w:t>积</w:t>
      </w:r>
      <w:r>
        <w:rPr>
          <w:w w:val="100"/>
        </w:rPr>
        <w:t>金</w:t>
      </w:r>
      <w:r>
        <w:rPr>
          <w:spacing w:val="-3"/>
          <w:w w:val="100"/>
        </w:rPr>
        <w:t>转</w:t>
      </w:r>
      <w:r>
        <w:rPr>
          <w:w w:val="100"/>
        </w:rPr>
        <w:t>增股</w:t>
      </w:r>
      <w:r>
        <w:rPr>
          <w:spacing w:val="-3"/>
          <w:w w:val="100"/>
        </w:rPr>
        <w:t>本</w:t>
      </w:r>
      <w:r>
        <w:rPr>
          <w:w w:val="100"/>
        </w:rPr>
        <w:t>方</w:t>
      </w:r>
      <w:r>
        <w:rPr>
          <w:spacing w:val="-32"/>
          <w:w w:val="100"/>
        </w:rPr>
        <w:t>案</w:t>
      </w:r>
      <w:r>
        <w:rPr>
          <w:w w:val="100"/>
        </w:rPr>
        <w:t>（预</w:t>
      </w:r>
    </w:p>
    <w:p>
      <w:pPr>
        <w:pStyle w:val="Heading6"/>
        <w:spacing w:line="240" w:lineRule="auto" w:before="21"/>
        <w:ind w:left="683" w:right="3641"/>
        <w:jc w:val="left"/>
      </w:pPr>
      <w:r>
        <w:rPr/>
        <w:t>案）情况</w:t>
      </w:r>
    </w:p>
    <w:p>
      <w:pPr>
        <w:pStyle w:val="Heading6"/>
        <w:spacing w:line="386" w:lineRule="auto" w:before="154"/>
        <w:ind w:left="683" w:right="812" w:firstLine="419"/>
        <w:jc w:val="both"/>
      </w:pPr>
      <w:r>
        <w:rPr>
          <w:spacing w:val="-2"/>
        </w:rPr>
        <w:t>（</w:t>
      </w:r>
      <w:r>
        <w:rPr>
          <w:rFonts w:ascii="Times New Roman" w:hAnsi="Times New Roman" w:cs="Times New Roman" w:eastAsia="Times New Roman" w:hint="default"/>
          <w:spacing w:val="-2"/>
        </w:rPr>
        <w:t>1</w:t>
      </w:r>
      <w:r>
        <w:rPr>
          <w:spacing w:val="-2"/>
        </w:rPr>
        <w:t>）根据公司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日召开的</w:t>
      </w:r>
      <w:r>
        <w:rPr>
          <w:rFonts w:ascii="Times New Roman" w:hAnsi="Times New Roman" w:cs="Times New Roman" w:eastAsia="Times New Roman" w:hint="default"/>
          <w:spacing w:val="-2"/>
        </w:rPr>
        <w:t>2013</w:t>
      </w:r>
      <w:r>
        <w:rPr>
          <w:spacing w:val="-2"/>
        </w:rPr>
        <w:t>年度股东大会决议，公司以</w:t>
      </w:r>
      <w:r>
        <w:rPr>
          <w:rFonts w:ascii="Times New Roman" w:hAnsi="Times New Roman" w:cs="Times New Roman" w:eastAsia="Times New Roman" w:hint="default"/>
          <w:spacing w:val="-2"/>
        </w:rPr>
        <w:t>2013</w:t>
      </w:r>
      <w:r>
        <w:rPr>
          <w:spacing w:val="-2"/>
        </w:rPr>
        <w:t>年末的总股本</w:t>
      </w:r>
      <w:r>
        <w:rPr>
          <w:w w:val="100"/>
        </w:rPr>
        <w:t> </w:t>
      </w:r>
      <w:r>
        <w:rPr>
          <w:rFonts w:ascii="Times New Roman" w:hAnsi="Times New Roman" w:cs="Times New Roman" w:eastAsia="Times New Roman" w:hint="default"/>
          <w:spacing w:val="-7"/>
        </w:rPr>
        <w:t>152,100,000</w:t>
      </w:r>
      <w:r>
        <w:rPr>
          <w:spacing w:val="-7"/>
        </w:rPr>
        <w:t>股为基数，向全体股东每</w:t>
      </w:r>
      <w:r>
        <w:rPr>
          <w:rFonts w:ascii="Times New Roman" w:hAnsi="Times New Roman" w:cs="Times New Roman" w:eastAsia="Times New Roman" w:hint="default"/>
          <w:spacing w:val="-7"/>
        </w:rPr>
        <w:t>10</w:t>
      </w:r>
      <w:r>
        <w:rPr>
          <w:spacing w:val="-7"/>
        </w:rPr>
        <w:t>股派发现金股利</w:t>
      </w:r>
      <w:r>
        <w:rPr>
          <w:rFonts w:ascii="Times New Roman" w:hAnsi="Times New Roman" w:cs="Times New Roman" w:eastAsia="Times New Roman" w:hint="default"/>
          <w:spacing w:val="-7"/>
        </w:rPr>
        <w:t>0.5</w:t>
      </w:r>
      <w:r>
        <w:rPr>
          <w:spacing w:val="-7"/>
        </w:rPr>
        <w:t>元（含税），共计派送现金</w:t>
      </w:r>
      <w:r>
        <w:rPr>
          <w:rFonts w:ascii="Times New Roman" w:hAnsi="Times New Roman" w:cs="Times New Roman" w:eastAsia="Times New Roman" w:hint="default"/>
          <w:spacing w:val="-7"/>
        </w:rPr>
        <w:t>7,605,000</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元。同时，以</w:t>
      </w:r>
      <w:r>
        <w:rPr>
          <w:rFonts w:ascii="Times New Roman" w:hAnsi="Times New Roman" w:cs="Times New Roman" w:eastAsia="Times New Roman" w:hint="default"/>
        </w:rPr>
        <w:t>2013</w:t>
      </w:r>
      <w:r>
        <w:rPr/>
        <w:t>年末的总股本</w:t>
      </w:r>
      <w:r>
        <w:rPr>
          <w:rFonts w:ascii="Times New Roman" w:hAnsi="Times New Roman" w:cs="Times New Roman" w:eastAsia="Times New Roman" w:hint="default"/>
        </w:rPr>
        <w:t>152,100,000</w:t>
      </w:r>
      <w:r>
        <w:rPr/>
        <w:t>股为基数，以资本公积金每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股。方案</w:t>
      </w:r>
      <w:r>
        <w:rPr>
          <w:w w:val="100"/>
        </w:rPr>
        <w:t> </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日实施后，公司总股本由</w:t>
      </w:r>
      <w:r>
        <w:rPr>
          <w:rFonts w:ascii="Times New Roman" w:hAnsi="Times New Roman" w:cs="Times New Roman" w:eastAsia="Times New Roman" w:hint="default"/>
        </w:rPr>
        <w:t>152,100,000</w:t>
      </w:r>
      <w:r>
        <w:rPr/>
        <w:t>股增至</w:t>
      </w:r>
      <w:r>
        <w:rPr>
          <w:rFonts w:ascii="Times New Roman" w:hAnsi="Times New Roman" w:cs="Times New Roman" w:eastAsia="Times New Roman" w:hint="default"/>
        </w:rPr>
        <w:t>228,150,000</w:t>
      </w:r>
      <w:r>
        <w:rPr/>
        <w:t>股。</w:t>
      </w:r>
    </w:p>
    <w:p>
      <w:pPr>
        <w:pStyle w:val="Heading6"/>
        <w:spacing w:line="386" w:lineRule="auto" w:before="35"/>
        <w:ind w:left="683" w:right="687" w:firstLine="419"/>
        <w:jc w:val="left"/>
      </w:pPr>
      <w:r>
        <w:rPr/>
        <w:t>（</w:t>
      </w:r>
      <w:r>
        <w:rPr>
          <w:rFonts w:ascii="Times New Roman" w:hAnsi="Times New Roman" w:cs="Times New Roman" w:eastAsia="Times New Roman" w:hint="default"/>
        </w:rPr>
        <w:t>2</w:t>
      </w:r>
      <w:r>
        <w:rPr/>
        <w:t>）根据公司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日召开的</w:t>
      </w:r>
      <w:r>
        <w:rPr>
          <w:rFonts w:ascii="Times New Roman" w:hAnsi="Times New Roman" w:cs="Times New Roman" w:eastAsia="Times New Roman" w:hint="default"/>
        </w:rPr>
        <w:t>2014</w:t>
      </w:r>
      <w:r>
        <w:rPr/>
        <w:t>年度股东大会决议，公司以</w:t>
      </w:r>
      <w:r>
        <w:rPr>
          <w:rFonts w:ascii="Times New Roman" w:hAnsi="Times New Roman" w:cs="Times New Roman" w:eastAsia="Times New Roman" w:hint="default"/>
        </w:rPr>
        <w:t>2014</w:t>
      </w:r>
      <w:r>
        <w:rPr/>
        <w:t>年末股本</w:t>
      </w:r>
      <w:r>
        <w:rPr>
          <w:w w:val="100"/>
        </w:rPr>
        <w:t> </w:t>
      </w:r>
      <w:r>
        <w:rPr>
          <w:rFonts w:ascii="Times New Roman" w:hAnsi="Times New Roman" w:cs="Times New Roman" w:eastAsia="Times New Roman" w:hint="default"/>
          <w:spacing w:val="-2"/>
        </w:rPr>
        <w:t>351,959,591</w:t>
      </w:r>
      <w:r>
        <w:rPr>
          <w:spacing w:val="-2"/>
        </w:rPr>
        <w:t>股为基数，向全体股东每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0.35</w:t>
      </w:r>
      <w:r>
        <w:rPr>
          <w:spacing w:val="-2"/>
        </w:rPr>
        <w:t>元（含税），合计派发现</w:t>
      </w:r>
      <w:r>
        <w:rPr>
          <w:spacing w:val="-11"/>
        </w:rPr>
        <w:t> </w:t>
      </w:r>
      <w:r>
        <w:rPr>
          <w:spacing w:val="-11"/>
        </w:rPr>
      </w:r>
      <w:r>
        <w:rPr>
          <w:spacing w:val="-2"/>
        </w:rPr>
        <w:t>金</w:t>
      </w:r>
      <w:r>
        <w:rPr>
          <w:rFonts w:ascii="Times New Roman" w:hAnsi="Times New Roman" w:cs="Times New Roman" w:eastAsia="Times New Roman" w:hint="default"/>
          <w:spacing w:val="-2"/>
        </w:rPr>
        <w:t>12,318,585.69</w:t>
      </w:r>
      <w:r>
        <w:rPr>
          <w:spacing w:val="-2"/>
        </w:rPr>
        <w:t>元。同时，以</w:t>
      </w:r>
      <w:r>
        <w:rPr>
          <w:rFonts w:ascii="Times New Roman" w:hAnsi="Times New Roman" w:cs="Times New Roman" w:eastAsia="Times New Roman" w:hint="default"/>
          <w:spacing w:val="-2"/>
        </w:rPr>
        <w:t>2014</w:t>
      </w:r>
      <w:r>
        <w:rPr>
          <w:spacing w:val="-2"/>
        </w:rPr>
        <w:t>年末的总股本</w:t>
      </w:r>
      <w:r>
        <w:rPr>
          <w:rFonts w:ascii="Times New Roman" w:hAnsi="Times New Roman" w:cs="Times New Roman" w:eastAsia="Times New Roman" w:hint="default"/>
          <w:spacing w:val="-2"/>
        </w:rPr>
        <w:t>351,959,591</w:t>
      </w:r>
      <w:r>
        <w:rPr>
          <w:spacing w:val="-2"/>
        </w:rPr>
        <w:t>股为基数，以资本公积金每</w:t>
      </w:r>
      <w:r>
        <w:rPr>
          <w:rFonts w:ascii="Times New Roman" w:hAnsi="Times New Roman" w:cs="Times New Roman" w:eastAsia="Times New Roman" w:hint="default"/>
          <w:spacing w:val="-2"/>
        </w:rPr>
        <w:t>10</w:t>
      </w:r>
      <w:r>
        <w:rPr>
          <w:spacing w:val="-2"/>
        </w:rPr>
        <w:t>股</w:t>
      </w:r>
      <w:r>
        <w:rPr>
          <w:spacing w:val="-6"/>
        </w:rPr>
        <w:t> </w:t>
      </w:r>
      <w:r>
        <w:rPr/>
        <w:t>转增</w:t>
      </w:r>
      <w:r>
        <w:rPr>
          <w:rFonts w:ascii="Times New Roman" w:hAnsi="Times New Roman" w:cs="Times New Roman" w:eastAsia="Times New Roman" w:hint="default"/>
        </w:rPr>
        <w:t>2</w:t>
      </w:r>
      <w:r>
        <w:rPr/>
        <w:t>股。方案于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日实施后，公司总股本由</w:t>
      </w:r>
      <w:r>
        <w:rPr>
          <w:rFonts w:ascii="Times New Roman" w:hAnsi="Times New Roman" w:cs="Times New Roman" w:eastAsia="Times New Roman" w:hint="default"/>
        </w:rPr>
        <w:t>351,959,591</w:t>
      </w:r>
      <w:r>
        <w:rPr/>
        <w:t>股增至</w:t>
      </w:r>
      <w:r>
        <w:rPr>
          <w:rFonts w:ascii="Times New Roman" w:hAnsi="Times New Roman" w:cs="Times New Roman" w:eastAsia="Times New Roman" w:hint="default"/>
        </w:rPr>
        <w:t>422,351,509</w:t>
      </w:r>
      <w:r>
        <w:rPr/>
        <w:t>股。</w:t>
      </w:r>
    </w:p>
    <w:p>
      <w:pPr>
        <w:pStyle w:val="Heading6"/>
        <w:spacing w:line="386" w:lineRule="auto" w:before="33"/>
        <w:ind w:left="657" w:right="687" w:firstLine="419"/>
        <w:jc w:val="left"/>
      </w:pPr>
      <w:r>
        <w:rPr>
          <w:spacing w:val="-2"/>
        </w:rPr>
        <w:t>（</w:t>
      </w:r>
      <w:r>
        <w:rPr>
          <w:rFonts w:ascii="Times New Roman" w:hAnsi="Times New Roman" w:cs="Times New Roman" w:eastAsia="Times New Roman" w:hint="default"/>
          <w:spacing w:val="-2"/>
        </w:rPr>
        <w:t>3</w:t>
      </w:r>
      <w:r>
        <w:rPr>
          <w:spacing w:val="-2"/>
        </w:rPr>
        <w:t>）公司</w:t>
      </w:r>
      <w:r>
        <w:rPr>
          <w:rFonts w:ascii="Times New Roman" w:hAnsi="Times New Roman" w:cs="Times New Roman" w:eastAsia="Times New Roman" w:hint="default"/>
          <w:spacing w:val="-2"/>
        </w:rPr>
        <w:t>2015</w:t>
      </w:r>
      <w:r>
        <w:rPr>
          <w:spacing w:val="-2"/>
        </w:rPr>
        <w:t>年度的利润分配预案为：以公司</w:t>
      </w:r>
      <w:r>
        <w:rPr>
          <w:rFonts w:ascii="Times New Roman" w:hAnsi="Times New Roman" w:cs="Times New Roman" w:eastAsia="Times New Roman" w:hint="default"/>
          <w:spacing w:val="-2"/>
        </w:rPr>
        <w:t>2015</w:t>
      </w:r>
      <w:r>
        <w:rPr>
          <w:spacing w:val="-2"/>
        </w:rPr>
        <w:t>年末股本</w:t>
      </w:r>
      <w:r>
        <w:rPr>
          <w:rFonts w:ascii="Times New Roman" w:hAnsi="Times New Roman" w:cs="Times New Roman" w:eastAsia="Times New Roman" w:hint="default"/>
          <w:spacing w:val="-2"/>
        </w:rPr>
        <w:t>422,351,509</w:t>
      </w:r>
      <w:r>
        <w:rPr>
          <w:spacing w:val="-2"/>
        </w:rPr>
        <w:t>股为基数，向</w:t>
      </w:r>
      <w:r>
        <w:rPr>
          <w:w w:val="100"/>
        </w:rPr>
        <w:t> </w:t>
      </w:r>
      <w:r>
        <w:rPr>
          <w:spacing w:val="-2"/>
        </w:rPr>
        <w:t>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0.40</w:t>
      </w:r>
      <w:r>
        <w:rPr>
          <w:spacing w:val="-2"/>
        </w:rPr>
        <w:t>元（含税），合计派发现金</w:t>
      </w:r>
      <w:r>
        <w:rPr>
          <w:rFonts w:ascii="Times New Roman" w:hAnsi="Times New Roman" w:cs="Times New Roman" w:eastAsia="Times New Roman" w:hint="default"/>
          <w:spacing w:val="-2"/>
        </w:rPr>
        <w:t>16,894,060.36</w:t>
      </w:r>
      <w:r>
        <w:rPr>
          <w:spacing w:val="-2"/>
        </w:rPr>
        <w:t>元。同时</w:t>
      </w:r>
    </w:p>
    <w:p>
      <w:pPr>
        <w:pStyle w:val="Heading6"/>
        <w:spacing w:line="386" w:lineRule="auto" w:before="35"/>
        <w:ind w:left="657" w:right="687"/>
        <w:jc w:val="left"/>
      </w:pPr>
      <w:r>
        <w:rPr>
          <w:spacing w:val="-2"/>
        </w:rPr>
        <w:t>，以</w:t>
      </w:r>
      <w:r>
        <w:rPr>
          <w:rFonts w:ascii="Times New Roman" w:hAnsi="Times New Roman" w:cs="Times New Roman" w:eastAsia="Times New Roman" w:hint="default"/>
          <w:spacing w:val="-2"/>
        </w:rPr>
        <w:t>2015</w:t>
      </w:r>
      <w:r>
        <w:rPr>
          <w:spacing w:val="-2"/>
        </w:rPr>
        <w:t>年末的总股本</w:t>
      </w:r>
      <w:r>
        <w:rPr>
          <w:rFonts w:ascii="Times New Roman" w:hAnsi="Times New Roman" w:cs="Times New Roman" w:eastAsia="Times New Roman" w:hint="default"/>
          <w:spacing w:val="-2"/>
        </w:rPr>
        <w:t>422,351,509</w:t>
      </w:r>
      <w:r>
        <w:rPr>
          <w:spacing w:val="-2"/>
        </w:rPr>
        <w:t>股为基数，以资本公积金每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2</w:t>
      </w:r>
      <w:r>
        <w:rPr>
          <w:spacing w:val="-2"/>
        </w:rPr>
        <w:t>股，预案实施后，</w:t>
      </w:r>
      <w:r>
        <w:rPr>
          <w:spacing w:val="-22"/>
        </w:rPr>
        <w:t> </w:t>
      </w:r>
      <w:r>
        <w:rPr>
          <w:spacing w:val="-22"/>
        </w:rPr>
      </w:r>
      <w:r>
        <w:rPr/>
        <w:t>公司总股本由</w:t>
      </w:r>
      <w:r>
        <w:rPr>
          <w:rFonts w:ascii="Times New Roman" w:hAnsi="Times New Roman" w:cs="Times New Roman" w:eastAsia="Times New Roman" w:hint="default"/>
        </w:rPr>
        <w:t>422,351,509</w:t>
      </w:r>
      <w:r>
        <w:rPr/>
        <w:t>股增至</w:t>
      </w:r>
      <w:r>
        <w:rPr>
          <w:rFonts w:ascii="Times New Roman" w:hAnsi="Times New Roman" w:cs="Times New Roman" w:eastAsia="Times New Roman" w:hint="default"/>
        </w:rPr>
        <w:t>506,821,811</w:t>
      </w:r>
      <w:r>
        <w:rPr/>
        <w:t>股。</w:t>
      </w:r>
    </w:p>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59" w:top="1340" w:bottom="1160" w:left="1160" w:right="880"/>
        </w:sectPr>
      </w:pPr>
    </w:p>
    <w:p>
      <w:pPr>
        <w:pStyle w:val="Heading6"/>
        <w:spacing w:line="240" w:lineRule="auto" w:before="36"/>
        <w:ind w:left="683" w:right="0"/>
        <w:jc w:val="left"/>
      </w:pPr>
      <w:r>
        <w:rPr>
          <w:spacing w:val="-2"/>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pStyle w:val="BodyText"/>
        <w:spacing w:line="240" w:lineRule="auto"/>
        <w:ind w:left="683" w:right="0"/>
        <w:jc w:val="left"/>
      </w:pPr>
      <w:r>
        <w:rPr/>
        <w:t>单位：元</w:t>
      </w:r>
    </w:p>
    <w:p>
      <w:pPr>
        <w:spacing w:after="0" w:line="240" w:lineRule="auto"/>
        <w:jc w:val="left"/>
        <w:sectPr>
          <w:type w:val="continuous"/>
          <w:pgSz w:w="11910" w:h="16840"/>
          <w:pgMar w:top="1580" w:bottom="1140" w:left="1160" w:right="880"/>
          <w:cols w:num="2" w:equalWidth="0">
            <w:col w:w="5519" w:space="2127"/>
            <w:col w:w="2224"/>
          </w:cols>
        </w:sectPr>
      </w:pPr>
    </w:p>
    <w:p>
      <w:pPr>
        <w:spacing w:line="240" w:lineRule="auto" w:before="2"/>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69" w:right="72"/>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72" w:right="70"/>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8"/>
              <w:ind w:left="609" w:right="74"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8"/>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8"/>
              <w:ind w:left="431" w:right="72"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53"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16,894,060.36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176,217,902.06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12,318,585.69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118,257,749.77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10.42%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7,605,000.00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20,323,994.26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1140" w:left="1160" w:right="880"/>
        </w:sectPr>
      </w:pPr>
    </w:p>
    <w:p>
      <w:pPr>
        <w:pStyle w:val="Heading3"/>
        <w:spacing w:line="240" w:lineRule="auto" w:before="4"/>
        <w:ind w:right="0"/>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5"/>
        <w:spacing w:line="256" w:lineRule="auto"/>
        <w:ind w:left="683"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w:t>
      </w:r>
      <w:r>
        <w:rPr>
          <w:spacing w:val="-68"/>
        </w:rPr>
        <w:t> </w:t>
      </w:r>
      <w:r>
        <w:rPr>
          <w:spacing w:val="-68"/>
        </w:rPr>
      </w:r>
      <w:r>
        <w:rPr/>
        <w:t>内履行完毕及截至报告期末尚未履行完毕的承诺事项</w:t>
      </w:r>
      <w:r>
        <w:rPr>
          <w:b w:val="0"/>
          <w:bCs w:val="0"/>
        </w:rPr>
      </w:r>
    </w:p>
    <w:p>
      <w:pPr>
        <w:spacing w:line="240" w:lineRule="auto" w:before="10"/>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1560"/>
        <w:gridCol w:w="1133"/>
        <w:gridCol w:w="994"/>
        <w:gridCol w:w="2268"/>
        <w:gridCol w:w="991"/>
        <w:gridCol w:w="949"/>
        <w:gridCol w:w="1106"/>
      </w:tblGrid>
      <w:tr>
        <w:trPr>
          <w:trHeight w:val="36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1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9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171"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李桂华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319" w:lineRule="auto"/>
              <w:ind w:left="23"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both"/>
              <w:rPr>
                <w:rFonts w:ascii="宋体" w:hAnsi="宋体" w:cs="宋体" w:eastAsia="宋体" w:hint="default"/>
                <w:sz w:val="18"/>
                <w:szCs w:val="18"/>
              </w:rPr>
            </w:pPr>
            <w:r>
              <w:rPr>
                <w:rFonts w:ascii="宋体" w:hAnsi="宋体" w:cs="宋体" w:eastAsia="宋体" w:hint="default"/>
                <w:sz w:val="18"/>
                <w:szCs w:val="18"/>
              </w:rPr>
              <w:t>本次交易获得的天舟文化</w:t>
            </w:r>
          </w:p>
          <w:p>
            <w:pPr>
              <w:pStyle w:val="TableParagraph"/>
              <w:spacing w:line="240" w:lineRule="auto" w:before="76"/>
              <w:ind w:left="2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21,082,742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股的股份自股份</w:t>
            </w:r>
          </w:p>
          <w:p>
            <w:pPr>
              <w:pStyle w:val="TableParagraph"/>
              <w:spacing w:line="309" w:lineRule="auto" w:before="63"/>
              <w:ind w:left="21" w:right="72"/>
              <w:jc w:val="left"/>
              <w:rPr>
                <w:rFonts w:ascii="宋体" w:hAnsi="宋体" w:cs="宋体" w:eastAsia="宋体" w:hint="default"/>
                <w:sz w:val="18"/>
                <w:szCs w:val="18"/>
              </w:rPr>
            </w:pPr>
            <w:r>
              <w:rPr>
                <w:rFonts w:ascii="宋体" w:hAnsi="宋体" w:cs="宋体" w:eastAsia="宋体" w:hint="default"/>
                <w:sz w:val="18"/>
                <w:szCs w:val="18"/>
              </w:rPr>
              <w:t>登记日起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 让；于本次交易获得的天舟 文化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20,447,991 </w:t>
            </w:r>
            <w:r>
              <w:rPr>
                <w:rFonts w:ascii="宋体" w:hAnsi="宋体" w:cs="宋体" w:eastAsia="宋体" w:hint="default"/>
                <w:sz w:val="18"/>
                <w:szCs w:val="18"/>
              </w:rPr>
              <w:t>股的股份自</w:t>
            </w:r>
          </w:p>
          <w:p>
            <w:pPr>
              <w:pStyle w:val="TableParagraph"/>
              <w:spacing w:line="309" w:lineRule="auto" w:before="5"/>
              <w:ind w:left="21" w:right="21"/>
              <w:jc w:val="both"/>
              <w:rPr>
                <w:rFonts w:ascii="宋体" w:hAnsi="宋体" w:cs="宋体" w:eastAsia="宋体" w:hint="default"/>
                <w:sz w:val="18"/>
                <w:szCs w:val="18"/>
              </w:rPr>
            </w:pPr>
            <w:r>
              <w:rPr>
                <w:rFonts w:ascii="宋体" w:hAnsi="宋体" w:cs="宋体" w:eastAsia="宋体" w:hint="default"/>
                <w:sz w:val="18"/>
                <w:szCs w:val="18"/>
              </w:rPr>
              <w:t>股份登记日起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个月内不得 转让；于本次交易获得的天 舟文化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17,436,171 </w:t>
            </w:r>
            <w:r>
              <w:rPr>
                <w:rFonts w:ascii="宋体" w:hAnsi="宋体" w:cs="宋体" w:eastAsia="宋体" w:hint="default"/>
                <w:sz w:val="18"/>
                <w:szCs w:val="18"/>
              </w:rPr>
              <w:t>股的股份</w:t>
            </w:r>
          </w:p>
          <w:p>
            <w:pPr>
              <w:pStyle w:val="TableParagraph"/>
              <w:spacing w:line="300" w:lineRule="auto" w:before="5"/>
              <w:ind w:left="21" w:right="19"/>
              <w:jc w:val="both"/>
              <w:rPr>
                <w:rFonts w:ascii="宋体" w:hAnsi="宋体" w:cs="宋体" w:eastAsia="宋体" w:hint="default"/>
                <w:sz w:val="18"/>
                <w:szCs w:val="18"/>
              </w:rPr>
            </w:pPr>
            <w:r>
              <w:rPr>
                <w:rFonts w:ascii="宋体" w:hAnsi="宋体" w:cs="宋体" w:eastAsia="宋体" w:hint="default"/>
                <w:sz w:val="18"/>
                <w:szCs w:val="18"/>
              </w:rPr>
              <w:t>自股份登记日起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个月内不 得转让。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319" w:lineRule="auto"/>
              <w:ind w:left="21" w:right="23"/>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严格履行了 承诺事项。</w:t>
            </w:r>
          </w:p>
        </w:tc>
      </w:tr>
      <w:tr>
        <w:trPr>
          <w:trHeight w:val="1298" w:hRule="exact"/>
        </w:trPr>
        <w:tc>
          <w:tcPr>
            <w:tcW w:w="1560"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林丹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09" w:lineRule="auto"/>
              <w:ind w:left="21" w:right="19"/>
              <w:jc w:val="both"/>
              <w:rPr>
                <w:rFonts w:ascii="宋体" w:hAnsi="宋体" w:cs="宋体" w:eastAsia="宋体" w:hint="default"/>
                <w:sz w:val="18"/>
                <w:szCs w:val="18"/>
              </w:rPr>
            </w:pPr>
            <w:r>
              <w:rPr>
                <w:rFonts w:ascii="宋体" w:hAnsi="宋体" w:cs="宋体" w:eastAsia="宋体" w:hint="default"/>
                <w:sz w:val="18"/>
                <w:szCs w:val="18"/>
              </w:rPr>
              <w:t>本次交易获得的天舟文化股 份自股份登记日起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个月内 不得转让。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23"/>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严格履行了 承诺事项。</w:t>
            </w:r>
          </w:p>
        </w:tc>
      </w:tr>
      <w:tr>
        <w:trPr>
          <w:trHeight w:val="1078"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10" w:space="0" w:color="D2D2D2"/>
              <w:right w:val="single" w:sz="4" w:space="0" w:color="000000"/>
            </w:tcBorders>
          </w:tcPr>
          <w:p>
            <w:pPr>
              <w:pStyle w:val="TableParagraph"/>
              <w:spacing w:line="316" w:lineRule="auto" w:before="8"/>
              <w:ind w:left="14" w:right="20"/>
              <w:jc w:val="left"/>
              <w:rPr>
                <w:rFonts w:ascii="宋体" w:hAnsi="宋体" w:cs="宋体" w:eastAsia="宋体" w:hint="default"/>
                <w:sz w:val="18"/>
                <w:szCs w:val="18"/>
              </w:rPr>
            </w:pPr>
            <w:r>
              <w:rPr>
                <w:rFonts w:ascii="宋体" w:hAnsi="宋体" w:cs="宋体" w:eastAsia="宋体" w:hint="default"/>
                <w:sz w:val="18"/>
                <w:szCs w:val="18"/>
              </w:rPr>
              <w:t>李广欣、王玉 刚、杨锦、储 达平、张环 宇、北京神奇 博信投资管 理中心（有限 合伙）</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9" w:lineRule="auto" w:before="161"/>
              <w:ind w:left="21" w:right="19"/>
              <w:jc w:val="both"/>
              <w:rPr>
                <w:rFonts w:ascii="宋体" w:hAnsi="宋体" w:cs="宋体" w:eastAsia="宋体" w:hint="default"/>
                <w:sz w:val="18"/>
                <w:szCs w:val="18"/>
              </w:rPr>
            </w:pPr>
            <w:r>
              <w:rPr>
                <w:rFonts w:ascii="宋体" w:hAnsi="宋体" w:cs="宋体" w:eastAsia="宋体" w:hint="default"/>
                <w:sz w:val="18"/>
                <w:szCs w:val="18"/>
              </w:rPr>
              <w:t>本次交易获得的天舟文化股 份自股份登记日起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个月内 不得转让；</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21" w:right="-5"/>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方严格履行 了承诺事项。</w:t>
            </w:r>
          </w:p>
        </w:tc>
      </w:tr>
      <w:tr>
        <w:trPr>
          <w:trHeight w:val="665"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
              <w:ind w:left="21" w:right="86"/>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1133" w:type="dxa"/>
            <w:vMerge/>
            <w:tcBorders>
              <w:left w:val="single" w:sz="10"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2268"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492" w:hRule="exact"/>
        </w:trPr>
        <w:tc>
          <w:tcPr>
            <w:tcW w:w="1560" w:type="dxa"/>
            <w:vMerge w:val="restart"/>
            <w:tcBorders>
              <w:top w:val="nil" w:sz="6" w:space="0" w:color="auto"/>
              <w:left w:val="single" w:sz="4" w:space="0" w:color="000000"/>
              <w:right w:val="single" w:sz="4" w:space="0" w:color="000000"/>
            </w:tcBorders>
            <w:shd w:val="clear" w:color="auto" w:fill="D2D2D2"/>
          </w:tcPr>
          <w:p>
            <w:pPr/>
          </w:p>
        </w:tc>
        <w:tc>
          <w:tcPr>
            <w:tcW w:w="1133" w:type="dxa"/>
            <w:vMerge/>
            <w:tcBorders>
              <w:left w:val="single" w:sz="10"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49"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1298" w:hRule="exact"/>
        </w:trPr>
        <w:tc>
          <w:tcPr>
            <w:tcW w:w="1560"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20"/>
              <w:jc w:val="left"/>
              <w:rPr>
                <w:rFonts w:ascii="宋体" w:hAnsi="宋体" w:cs="宋体" w:eastAsia="宋体" w:hint="default"/>
                <w:sz w:val="18"/>
                <w:szCs w:val="18"/>
              </w:rPr>
            </w:pPr>
            <w:r>
              <w:rPr>
                <w:rFonts w:ascii="宋体" w:hAnsi="宋体" w:cs="宋体" w:eastAsia="宋体" w:hint="default"/>
                <w:sz w:val="18"/>
                <w:szCs w:val="18"/>
              </w:rPr>
              <w:t>财通基金管 理有限公司、 茅惠芳、陈伟 娟、章浩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09" w:lineRule="auto"/>
              <w:ind w:left="21" w:right="19"/>
              <w:jc w:val="both"/>
              <w:rPr>
                <w:rFonts w:ascii="宋体" w:hAnsi="宋体" w:cs="宋体" w:eastAsia="宋体" w:hint="default"/>
                <w:sz w:val="18"/>
                <w:szCs w:val="18"/>
              </w:rPr>
            </w:pPr>
            <w:r>
              <w:rPr>
                <w:rFonts w:ascii="宋体" w:hAnsi="宋体" w:cs="宋体" w:eastAsia="宋体" w:hint="default"/>
                <w:sz w:val="18"/>
                <w:szCs w:val="18"/>
              </w:rPr>
              <w:t>本次交易获得的天舟文化股 份自股份登记日起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个月内 不得转让。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5"/>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方严格履行 了承诺事项。</w:t>
            </w:r>
          </w:p>
        </w:tc>
      </w:tr>
      <w:tr>
        <w:trPr>
          <w:trHeight w:val="3755"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316" w:lineRule="auto"/>
              <w:ind w:left="21" w:right="20"/>
              <w:jc w:val="left"/>
              <w:rPr>
                <w:rFonts w:ascii="宋体" w:hAnsi="宋体" w:cs="宋体" w:eastAsia="宋体" w:hint="default"/>
                <w:sz w:val="18"/>
                <w:szCs w:val="18"/>
              </w:rPr>
            </w:pPr>
            <w:r>
              <w:rPr>
                <w:rFonts w:ascii="宋体" w:hAnsi="宋体" w:cs="宋体" w:eastAsia="宋体" w:hint="default"/>
                <w:sz w:val="18"/>
                <w:szCs w:val="18"/>
              </w:rPr>
              <w:t>王玉刚、杨 锦、储达平、 张环宇、北京 神奇博信投 资管理中心</w:t>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任职承诺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1" w:right="19"/>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、自股份登记日起在神奇时</w:t>
            </w:r>
            <w:r>
              <w:rPr>
                <w:rFonts w:ascii="宋体" w:hAnsi="宋体" w:cs="宋体" w:eastAsia="宋体" w:hint="default"/>
                <w:sz w:val="18"/>
                <w:szCs w:val="18"/>
              </w:rPr>
              <w:t> 代工作不少于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个月。在该</w:t>
            </w:r>
            <w:r>
              <w:rPr>
                <w:rFonts w:ascii="宋体" w:hAnsi="宋体" w:cs="宋体" w:eastAsia="宋体" w:hint="default"/>
                <w:sz w:val="18"/>
                <w:szCs w:val="18"/>
              </w:rPr>
              <w:t> 承诺任职期内，不得在神奇 时代同业或类似业务的企业 任职、兼职，不得直接或间 接投资与神奇时代相同或类 似产业，否则，违反承诺的 所得归属于神奇时代所有；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、在承诺的任职期限届满后</w:t>
            </w:r>
            <w:r>
              <w:rPr>
                <w:rFonts w:ascii="宋体" w:hAnsi="宋体" w:cs="宋体" w:eastAsia="宋体" w:hint="default"/>
                <w:sz w:val="18"/>
                <w:szCs w:val="18"/>
              </w:rPr>
              <w:t> 离职的，离职后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年内应承 担竞业禁止义务（即不得在 神奇时代同业或类似业务的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316" w:lineRule="auto"/>
              <w:ind w:left="21" w:right="-5"/>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方严格履行 了承诺事项。</w:t>
            </w:r>
          </w:p>
        </w:tc>
      </w:tr>
    </w:tbl>
    <w:p>
      <w:pPr>
        <w:spacing w:after="0" w:line="316" w:lineRule="auto"/>
        <w:jc w:val="left"/>
        <w:rPr>
          <w:rFonts w:ascii="宋体" w:hAnsi="宋体" w:cs="宋体" w:eastAsia="宋体" w:hint="default"/>
          <w:sz w:val="18"/>
          <w:szCs w:val="18"/>
        </w:rPr>
        <w:sectPr>
          <w:pgSz w:w="11910" w:h="16840"/>
          <w:pgMar w:header="0" w:footer="959" w:top="1380" w:bottom="1160" w:left="1160" w:right="1500"/>
        </w:sectPr>
      </w:pPr>
    </w:p>
    <w:p>
      <w:pPr>
        <w:spacing w:line="240" w:lineRule="auto" w:before="1"/>
        <w:rPr>
          <w:rFonts w:ascii="Times New Roman" w:hAnsi="Times New Roman" w:cs="Times New Roman" w:eastAsia="Times New Roman" w:hint="default"/>
          <w:sz w:val="7"/>
          <w:szCs w:val="7"/>
        </w:rPr>
      </w:pPr>
      <w:r>
        <w:rPr/>
        <w:pict>
          <v:shape style="position:absolute;margin-left:310.604004pt;margin-top:627.099976pt;width:100.35pt;height:139.5pt;mso-position-horizontal-relative:page;mso-position-vertical-relative:page;z-index:-10386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6"/>
                      <w:szCs w:val="26"/>
                    </w:rPr>
                  </w:pPr>
                </w:p>
                <w:p>
                  <w:pPr>
                    <w:pStyle w:val="BodyText"/>
                    <w:spacing w:line="240" w:lineRule="auto"/>
                    <w:ind w:left="0" w:right="0"/>
                    <w:jc w:val="left"/>
                  </w:pPr>
                  <w:r>
                    <w:rPr/>
                    <w:t>（合伙企业）</w:t>
                  </w:r>
                </w:p>
              </w:txbxContent>
            </v:textbox>
            <w10:wrap type="none"/>
          </v:shape>
        </w:pict>
      </w:r>
      <w:r>
        <w:rPr/>
        <w:pict>
          <v:group style="position:absolute;margin-left:361.869995pt;margin-top:609.459961pt;width:49.1pt;height:157.1pt;mso-position-horizontal-relative:page;mso-position-vertical-relative:page;z-index:-1038664" coordorigin="7237,12189" coordsize="982,3142">
            <v:group style="position:absolute;left:7237;top:12542;width:982;height:2790" coordorigin="7237,12542" coordsize="982,2790">
              <v:shape style="position:absolute;left:7237;top:12542;width:982;height:2790" coordorigin="7237,12542" coordsize="982,2790" path="m7237,15331l8219,15331,8219,12542,7237,12542,7237,15331xe" filled="true" fillcolor="#ffffff" stroked="false">
                <v:path arrowok="t"/>
                <v:fill type="solid"/>
              </v:shape>
            </v:group>
            <v:group style="position:absolute;left:7259;top:12189;width:936;height:353" coordorigin="7259,12189" coordsize="936,353">
              <v:shape style="position:absolute;left:7259;top:12189;width:936;height:353" coordorigin="7259,12189" coordsize="936,353" path="m7259,12542l8195,12542,8195,12189,7259,12189,7259,12542xe" filled="true" fillcolor="#ffffff" stroked="false">
                <v:path arrowok="t"/>
                <v:fill type="solid"/>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1560"/>
        <w:gridCol w:w="1133"/>
        <w:gridCol w:w="994"/>
        <w:gridCol w:w="2268"/>
        <w:gridCol w:w="991"/>
        <w:gridCol w:w="949"/>
        <w:gridCol w:w="1109"/>
      </w:tblGrid>
      <w:tr>
        <w:trPr>
          <w:trHeight w:val="98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74"/>
              <w:jc w:val="both"/>
              <w:rPr>
                <w:rFonts w:ascii="宋体" w:hAnsi="宋体" w:cs="宋体" w:eastAsia="宋体" w:hint="default"/>
                <w:sz w:val="18"/>
                <w:szCs w:val="18"/>
              </w:rPr>
            </w:pPr>
            <w:r>
              <w:rPr>
                <w:rFonts w:ascii="宋体" w:hAnsi="宋体" w:cs="宋体" w:eastAsia="宋体" w:hint="default"/>
                <w:sz w:val="18"/>
                <w:szCs w:val="18"/>
              </w:rPr>
              <w:t>企业任职、兼职，不得直接 或间接投资与神奇时代相同 </w:t>
            </w:r>
            <w:r>
              <w:rPr>
                <w:rFonts w:ascii="宋体" w:hAnsi="宋体" w:cs="宋体" w:eastAsia="宋体" w:hint="default"/>
                <w:spacing w:val="-14"/>
                <w:sz w:val="18"/>
                <w:szCs w:val="18"/>
              </w:rPr>
              <w:t>或类似产业）。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1560"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李广欣</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任职承诺</w:t>
            </w:r>
          </w:p>
        </w:tc>
        <w:tc>
          <w:tcPr>
            <w:tcW w:w="2268"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8"/>
              <w:ind w:left="21"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、自股份登记日起在神奇时</w:t>
            </w:r>
            <w:r>
              <w:rPr>
                <w:rFonts w:ascii="宋体" w:hAnsi="宋体" w:cs="宋体" w:eastAsia="宋体" w:hint="default"/>
                <w:sz w:val="18"/>
                <w:szCs w:val="18"/>
              </w:rPr>
              <w:t> 代工作不少于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个月。在该</w:t>
            </w:r>
            <w:r>
              <w:rPr>
                <w:rFonts w:ascii="宋体" w:hAnsi="宋体" w:cs="宋体" w:eastAsia="宋体" w:hint="default"/>
                <w:sz w:val="18"/>
                <w:szCs w:val="18"/>
              </w:rPr>
              <w:t> 承诺任职期内，不得在神奇 时代同业或类似业务的企业 任职、兼职，不得直接或间 接投资与神奇时代相竞争的 公司，否则，违反承诺的所 得归属于神奇时代所有；</w:t>
            </w:r>
            <w:r>
              <w:rPr>
                <w:rFonts w:ascii="Times New Roman" w:hAnsi="Times New Roman" w:cs="Times New Roman" w:eastAsia="Times New Roman" w:hint="default"/>
                <w:sz w:val="18"/>
                <w:szCs w:val="18"/>
              </w:rPr>
              <w:t>2</w:t>
            </w:r>
            <w:r>
              <w:rPr>
                <w:rFonts w:ascii="宋体" w:hAnsi="宋体" w:cs="宋体" w:eastAsia="宋体" w:hint="default"/>
                <w:sz w:val="18"/>
                <w:szCs w:val="18"/>
              </w:rPr>
              <w:t>、 在协议承诺的任职期限届满 后离职的，离职后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年内应 承担竞业禁止义务（即不得 在神奇时代同业或类似业务 的企业任职、兼职，不得直 接或间接投资与神奇时代相 </w:t>
            </w:r>
            <w:r>
              <w:rPr>
                <w:rFonts w:ascii="宋体" w:hAnsi="宋体" w:cs="宋体" w:eastAsia="宋体" w:hint="default"/>
                <w:spacing w:val="-12"/>
                <w:sz w:val="18"/>
                <w:szCs w:val="18"/>
              </w:rPr>
              <w:t>同或类似产业）。</w:t>
            </w:r>
          </w:p>
        </w:tc>
        <w:tc>
          <w:tcPr>
            <w:tcW w:w="99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9" w:lineRule="auto"/>
              <w:ind w:left="21" w:right="24"/>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严格履行了 承诺事项。</w:t>
            </w:r>
          </w:p>
        </w:tc>
      </w:tr>
      <w:tr>
        <w:trPr>
          <w:trHeight w:val="1920" w:hRule="exact"/>
        </w:trPr>
        <w:tc>
          <w:tcPr>
            <w:tcW w:w="1560"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王玉刚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23"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1" w:right="19"/>
              <w:jc w:val="both"/>
              <w:rPr>
                <w:rFonts w:ascii="宋体" w:hAnsi="宋体" w:cs="宋体" w:eastAsia="宋体" w:hint="default"/>
                <w:sz w:val="18"/>
                <w:szCs w:val="18"/>
              </w:rPr>
            </w:pPr>
            <w:r>
              <w:rPr>
                <w:rFonts w:ascii="宋体" w:hAnsi="宋体" w:cs="宋体" w:eastAsia="宋体" w:hint="default"/>
                <w:sz w:val="18"/>
                <w:szCs w:val="18"/>
              </w:rPr>
              <w:t>本次交易获得的天舟文化股 份自股份登记日起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个月内 不得转让，转让限制期满后 在上市公司及其控股子公司 任职期间每年转让的股份数 量不超过剩余股份的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1" w:right="24"/>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严格履行了 承诺事项。</w:t>
            </w:r>
          </w:p>
        </w:tc>
      </w:tr>
      <w:tr>
        <w:trPr>
          <w:trHeight w:val="625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1" w:right="20"/>
              <w:jc w:val="left"/>
              <w:rPr>
                <w:rFonts w:ascii="宋体" w:hAnsi="宋体" w:cs="宋体" w:eastAsia="宋体" w:hint="default"/>
                <w:sz w:val="18"/>
                <w:szCs w:val="18"/>
              </w:rPr>
            </w:pPr>
            <w:r>
              <w:rPr>
                <w:rFonts w:ascii="宋体" w:hAnsi="宋体" w:cs="宋体" w:eastAsia="宋体" w:hint="default"/>
                <w:sz w:val="18"/>
                <w:szCs w:val="18"/>
              </w:rPr>
              <w:t>李桂华、李广 欣、王玉刚、 林丹、杨锦、 储达平、张环 宇、北京神奇 博信投资管 理中心（有限 合伙）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59"/>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226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10"/>
              <w:ind w:left="21" w:right="-3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、避免同业竞争承诺：本次</w:t>
            </w:r>
            <w:r>
              <w:rPr>
                <w:rFonts w:ascii="宋体" w:hAnsi="宋体" w:cs="宋体" w:eastAsia="宋体" w:hint="default"/>
                <w:sz w:val="18"/>
                <w:szCs w:val="18"/>
              </w:rPr>
              <w:t> 交易完成后，本人（合伙企 业）及本人（合伙企业）控 制的其他企业不会直接或间 接经营任何与天舟文化及其 下属公司经营的业务构成竞 争或可能构成竞争的业务， 亦不会投资任何与天舟文化 及其下属公司经营的业务构 成竞争或可能构成竞争的其 </w:t>
            </w:r>
            <w:r>
              <w:rPr>
                <w:rFonts w:ascii="宋体" w:hAnsi="宋体" w:cs="宋体" w:eastAsia="宋体" w:hint="default"/>
                <w:spacing w:val="-6"/>
                <w:sz w:val="18"/>
                <w:szCs w:val="18"/>
              </w:rPr>
              <w:t>他企业；如本人（合伙企业）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及本人（合伙企业）控制的</w:t>
            </w:r>
            <w:r>
              <w:rPr>
                <w:rFonts w:ascii="宋体" w:hAnsi="宋体" w:cs="宋体" w:eastAsia="宋体" w:hint="default"/>
                <w:sz w:val="18"/>
                <w:szCs w:val="18"/>
              </w:rPr>
              <w:t> 企业的现有业务或该等企业 为进一步拓展业务范围，与 天舟文化及其下属公司经营 </w:t>
            </w:r>
            <w:r>
              <w:rPr>
                <w:rFonts w:ascii="宋体" w:hAnsi="宋体" w:cs="宋体" w:eastAsia="宋体" w:hint="default"/>
                <w:spacing w:val="-10"/>
                <w:sz w:val="18"/>
                <w:szCs w:val="18"/>
              </w:rPr>
              <w:t>的业务产生竞争，则本人（合</w:t>
            </w:r>
            <w:r>
              <w:rPr>
                <w:rFonts w:ascii="宋体" w:hAnsi="宋体" w:cs="宋体" w:eastAsia="宋体" w:hint="default"/>
                <w:sz w:val="18"/>
                <w:szCs w:val="18"/>
              </w:rPr>
              <w:t> </w:t>
            </w:r>
            <w:r>
              <w:rPr>
                <w:rFonts w:ascii="宋体" w:hAnsi="宋体" w:cs="宋体" w:eastAsia="宋体" w:hint="default"/>
                <w:spacing w:val="-3"/>
                <w:sz w:val="18"/>
                <w:szCs w:val="18"/>
              </w:rPr>
              <w:t>伙企业）及本人</w:t>
            </w:r>
            <w:r>
              <w:rPr>
                <w:rFonts w:ascii="宋体" w:hAnsi="宋体" w:cs="宋体" w:eastAsia="宋体" w:hint="default"/>
                <w:sz w:val="18"/>
                <w:szCs w:val="18"/>
              </w:rPr>
              <w:t> 控制的企业将采取停止经营 产生竞争的业务的方式，或 者采取将产生竞争的业务纳</w:t>
            </w:r>
          </w:p>
        </w:tc>
        <w:tc>
          <w:tcPr>
            <w:tcW w:w="99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1" w:right="-3"/>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方严格履行 了承诺事项。</w:t>
            </w:r>
          </w:p>
        </w:tc>
      </w:tr>
    </w:tbl>
    <w:p>
      <w:pPr>
        <w:spacing w:after="0" w:line="316" w:lineRule="auto"/>
        <w:jc w:val="left"/>
        <w:rPr>
          <w:rFonts w:ascii="宋体" w:hAnsi="宋体" w:cs="宋体" w:eastAsia="宋体" w:hint="default"/>
          <w:sz w:val="18"/>
          <w:szCs w:val="18"/>
        </w:rPr>
        <w:sectPr>
          <w:pgSz w:w="11910" w:h="16840"/>
          <w:pgMar w:header="0" w:footer="959" w:top="1340" w:bottom="1140" w:left="1160" w:right="1500"/>
        </w:sectPr>
      </w:pPr>
    </w:p>
    <w:p>
      <w:pPr>
        <w:spacing w:line="240" w:lineRule="auto" w:before="1"/>
        <w:rPr>
          <w:rFonts w:ascii="Times New Roman" w:hAnsi="Times New Roman" w:cs="Times New Roman" w:eastAsia="Times New Roman"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1560"/>
        <w:gridCol w:w="1133"/>
        <w:gridCol w:w="994"/>
        <w:gridCol w:w="2268"/>
        <w:gridCol w:w="991"/>
        <w:gridCol w:w="949"/>
        <w:gridCol w:w="1106"/>
      </w:tblGrid>
      <w:tr>
        <w:trPr>
          <w:trHeight w:val="1923"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75"/>
              <w:jc w:val="both"/>
              <w:rPr>
                <w:rFonts w:ascii="宋体" w:hAnsi="宋体" w:cs="宋体" w:eastAsia="宋体" w:hint="default"/>
                <w:sz w:val="18"/>
                <w:szCs w:val="18"/>
              </w:rPr>
            </w:pPr>
            <w:r>
              <w:rPr>
                <w:rFonts w:ascii="宋体" w:hAnsi="宋体" w:cs="宋体" w:eastAsia="宋体" w:hint="default"/>
                <w:sz w:val="18"/>
                <w:szCs w:val="18"/>
              </w:rPr>
              <w:t>入天舟文化的方式，或者采 取将产生竞争的业务转让给 无关联关系第三方等合法方 式，使本人及本人控制的企 业不再从事与天舟文化主营 业务相同或类似的业务。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1560"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肖志鸿、肖欢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1" w:right="58"/>
              <w:jc w:val="both"/>
              <w:rPr>
                <w:rFonts w:ascii="宋体" w:hAnsi="宋体" w:cs="宋体" w:eastAsia="宋体" w:hint="default"/>
                <w:sz w:val="18"/>
                <w:szCs w:val="18"/>
              </w:rPr>
            </w:pPr>
            <w:r>
              <w:rPr>
                <w:rFonts w:ascii="宋体" w:hAnsi="宋体" w:cs="宋体" w:eastAsia="宋体" w:hint="default"/>
                <w:sz w:val="18"/>
                <w:szCs w:val="18"/>
              </w:rPr>
              <w:t>自发行人股票上市三十六个 月后，本人（或肖志鸿）在 公司任职期间，每年转让的 股份不超过本人持有公司股 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；在本人（或 肖志鸿）离职后半年内，不 转让发行前本人持有（或间 接持有）的公司股份。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21" w:right="-5"/>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方严格履行 了承诺事项。</w:t>
            </w:r>
          </w:p>
        </w:tc>
      </w:tr>
      <w:tr>
        <w:trPr>
          <w:trHeight w:val="2232" w:hRule="exact"/>
        </w:trPr>
        <w:tc>
          <w:tcPr>
            <w:tcW w:w="1560"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1" w:right="20"/>
              <w:jc w:val="left"/>
              <w:rPr>
                <w:rFonts w:ascii="宋体" w:hAnsi="宋体" w:cs="宋体" w:eastAsia="宋体" w:hint="default"/>
                <w:sz w:val="18"/>
                <w:szCs w:val="18"/>
              </w:rPr>
            </w:pPr>
            <w:r>
              <w:rPr>
                <w:rFonts w:ascii="宋体" w:hAnsi="宋体" w:cs="宋体" w:eastAsia="宋体" w:hint="default"/>
                <w:sz w:val="18"/>
                <w:szCs w:val="18"/>
              </w:rPr>
              <w:t>赵伟立、陈晶 德、陈四清、 喻宇汉、周 艳、李强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1" w:right="59"/>
              <w:jc w:val="both"/>
              <w:rPr>
                <w:rFonts w:ascii="宋体" w:hAnsi="宋体" w:cs="宋体" w:eastAsia="宋体" w:hint="default"/>
                <w:sz w:val="18"/>
                <w:szCs w:val="18"/>
              </w:rPr>
            </w:pPr>
            <w:r>
              <w:rPr>
                <w:rFonts w:ascii="宋体" w:hAnsi="宋体" w:cs="宋体" w:eastAsia="宋体" w:hint="default"/>
                <w:sz w:val="18"/>
                <w:szCs w:val="18"/>
              </w:rPr>
              <w:t>自发行人股票上市十二个月 后，本人在公司任职期间， 每年转让的股份不超过本人 持有公司股份总数的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在本人离职后半年内，不转 让发行前本人持有的公司股 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1" w:right="-5"/>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方严格履行 了承诺事项。</w:t>
            </w:r>
          </w:p>
        </w:tc>
      </w:tr>
      <w:tr>
        <w:trPr>
          <w:trHeight w:val="161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1" w:right="22"/>
              <w:jc w:val="left"/>
              <w:rPr>
                <w:rFonts w:ascii="宋体" w:hAnsi="宋体" w:cs="宋体" w:eastAsia="宋体" w:hint="default"/>
                <w:sz w:val="18"/>
                <w:szCs w:val="18"/>
              </w:rPr>
            </w:pPr>
            <w:r>
              <w:rPr>
                <w:rFonts w:ascii="宋体" w:hAnsi="宋体" w:cs="宋体" w:eastAsia="宋体" w:hint="default"/>
                <w:sz w:val="18"/>
                <w:szCs w:val="18"/>
              </w:rPr>
              <w:t>湖南天鸿投 资集团有限 公司、肖志鸿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59"/>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1" w:right="75"/>
              <w:jc w:val="left"/>
              <w:rPr>
                <w:rFonts w:ascii="宋体" w:hAnsi="宋体" w:cs="宋体" w:eastAsia="宋体" w:hint="default"/>
                <w:sz w:val="18"/>
                <w:szCs w:val="18"/>
              </w:rPr>
            </w:pPr>
            <w:r>
              <w:rPr>
                <w:rFonts w:ascii="宋体" w:hAnsi="宋体" w:cs="宋体" w:eastAsia="宋体" w:hint="default"/>
                <w:sz w:val="18"/>
                <w:szCs w:val="18"/>
              </w:rPr>
              <w:t>避免与本公司发生同业竞争 作出承诺。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1" w:right="-5"/>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方严格履行 了承诺事项。</w:t>
            </w:r>
          </w:p>
        </w:tc>
      </w:tr>
      <w:tr>
        <w:trPr>
          <w:trHeight w:val="192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1" w:right="86"/>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1" w:right="20"/>
              <w:jc w:val="left"/>
              <w:rPr>
                <w:rFonts w:ascii="宋体" w:hAnsi="宋体" w:cs="宋体" w:eastAsia="宋体" w:hint="default"/>
                <w:sz w:val="18"/>
                <w:szCs w:val="18"/>
              </w:rPr>
            </w:pPr>
            <w:r>
              <w:rPr>
                <w:rFonts w:ascii="宋体" w:hAnsi="宋体" w:cs="宋体" w:eastAsia="宋体" w:hint="default"/>
                <w:sz w:val="18"/>
                <w:szCs w:val="18"/>
              </w:rPr>
              <w:t>湖南天鸿投 资集团有限 </w:t>
            </w:r>
            <w:r>
              <w:rPr>
                <w:rFonts w:ascii="宋体" w:hAnsi="宋体" w:cs="宋体" w:eastAsia="宋体" w:hint="default"/>
                <w:spacing w:val="-19"/>
                <w:sz w:val="18"/>
                <w:szCs w:val="18"/>
              </w:rPr>
              <w:t>公司、持股</w:t>
            </w:r>
            <w:r>
              <w:rPr>
                <w:rFonts w:ascii="宋体" w:hAnsi="宋体" w:cs="宋体" w:eastAsia="宋体" w:hint="default"/>
                <w:spacing w:val="-60"/>
                <w:sz w:val="18"/>
                <w:szCs w:val="18"/>
              </w:rPr>
              <w:t> </w:t>
            </w:r>
            <w:r>
              <w:rPr>
                <w:rFonts w:ascii="Times New Roman" w:hAnsi="Times New Roman" w:cs="Times New Roman" w:eastAsia="Times New Roman" w:hint="default"/>
                <w:spacing w:val="1"/>
                <w:sz w:val="18"/>
                <w:szCs w:val="18"/>
              </w:rPr>
              <w:t>5% </w:t>
            </w:r>
            <w:r>
              <w:rPr>
                <w:rFonts w:ascii="宋体" w:hAnsi="宋体" w:cs="宋体" w:eastAsia="宋体" w:hint="default"/>
                <w:sz w:val="18"/>
                <w:szCs w:val="18"/>
              </w:rPr>
              <w:t>以上股东、董 事、监事和高 级管理人员</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4" w:lineRule="auto"/>
              <w:ind w:left="21" w:right="21"/>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日起未来六 个月内不以任何方式减持直 接或间接所持有的公司股 份。若违反上述承诺，减持 股份所得全部归公司所有。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1" w:right="-5"/>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期末，各承诺</w:t>
            </w:r>
            <w:r>
              <w:rPr>
                <w:rFonts w:ascii="宋体" w:hAnsi="宋体" w:cs="宋体" w:eastAsia="宋体" w:hint="default"/>
                <w:sz w:val="18"/>
                <w:szCs w:val="18"/>
              </w:rPr>
              <w:t> 方严格履行 了承诺事项。</w:t>
            </w:r>
          </w:p>
        </w:tc>
      </w:tr>
      <w:tr>
        <w:trPr>
          <w:trHeight w:val="36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44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1" w:right="86"/>
              <w:jc w:val="both"/>
              <w:rPr>
                <w:rFonts w:ascii="宋体" w:hAnsi="宋体" w:cs="宋体" w:eastAsia="宋体" w:hint="default"/>
                <w:sz w:val="18"/>
                <w:szCs w:val="18"/>
              </w:rPr>
            </w:pPr>
            <w:r>
              <w:rPr>
                <w:rFonts w:ascii="宋体" w:hAnsi="宋体" w:cs="宋体" w:eastAsia="宋体" w:hint="default"/>
                <w:sz w:val="18"/>
                <w:szCs w:val="18"/>
              </w:rPr>
              <w:t>如承诺超期未履行 完毕的，应当详细 说明未完成履行的 具体原因及下一步 的工作计划</w:t>
            </w:r>
          </w:p>
        </w:tc>
        <w:tc>
          <w:tcPr>
            <w:tcW w:w="744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5"/>
        <w:spacing w:line="256" w:lineRule="auto" w:before="36"/>
        <w:ind w:left="683"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w:t>
      </w:r>
      <w:r>
        <w:rPr>
          <w:spacing w:val="-71"/>
        </w:rPr>
        <w:t> </w:t>
      </w:r>
      <w:r>
        <w:rPr>
          <w:spacing w:val="-71"/>
        </w:rPr>
      </w:r>
      <w:r>
        <w:rPr/>
        <w:t>原盈利预测及其原因做出说明</w:t>
      </w:r>
      <w:r>
        <w:rPr>
          <w:b w:val="0"/>
          <w:bCs w:val="0"/>
        </w:rPr>
      </w:r>
    </w:p>
    <w:p>
      <w:pPr>
        <w:spacing w:line="240" w:lineRule="auto" w:before="8"/>
        <w:rPr>
          <w:rFonts w:ascii="宋体" w:hAnsi="宋体" w:cs="宋体" w:eastAsia="宋体" w:hint="default"/>
          <w:b/>
          <w:bCs/>
          <w:sz w:val="26"/>
          <w:szCs w:val="26"/>
        </w:rPr>
      </w:pPr>
    </w:p>
    <w:tbl>
      <w:tblPr>
        <w:tblW w:w="0" w:type="auto"/>
        <w:jc w:val="left"/>
        <w:tblInd w:w="123" w:type="dxa"/>
        <w:tblLayout w:type="fixed"/>
        <w:tblCellMar>
          <w:top w:w="0" w:type="dxa"/>
          <w:left w:w="0" w:type="dxa"/>
          <w:bottom w:w="0" w:type="dxa"/>
          <w:right w:w="0" w:type="dxa"/>
        </w:tblCellMar>
        <w:tblLook w:val="01E0"/>
      </w:tblPr>
      <w:tblGrid>
        <w:gridCol w:w="1294"/>
        <w:gridCol w:w="1178"/>
        <w:gridCol w:w="1181"/>
        <w:gridCol w:w="1181"/>
        <w:gridCol w:w="1180"/>
        <w:gridCol w:w="1180"/>
        <w:gridCol w:w="1184"/>
        <w:gridCol w:w="685"/>
      </w:tblGrid>
      <w:tr>
        <w:trPr>
          <w:trHeight w:val="342"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94" w:right="0"/>
              <w:jc w:val="left"/>
              <w:rPr>
                <w:rFonts w:ascii="宋体" w:hAnsi="宋体" w:cs="宋体" w:eastAsia="宋体" w:hint="default"/>
                <w:sz w:val="18"/>
                <w:szCs w:val="18"/>
              </w:rPr>
            </w:pPr>
            <w:r>
              <w:rPr>
                <w:rFonts w:ascii="宋体" w:hAnsi="宋体" w:cs="宋体" w:eastAsia="宋体" w:hint="default"/>
                <w:sz w:val="18"/>
                <w:szCs w:val="18"/>
              </w:rPr>
              <w:t>盈利预测资产</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44"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44" w:right="0"/>
              <w:jc w:val="left"/>
              <w:rPr>
                <w:rFonts w:ascii="宋体" w:hAnsi="宋体" w:cs="宋体" w:eastAsia="宋体" w:hint="default"/>
                <w:sz w:val="18"/>
                <w:szCs w:val="18"/>
              </w:rPr>
            </w:pPr>
            <w:r>
              <w:rPr>
                <w:rFonts w:ascii="宋体" w:hAnsi="宋体" w:cs="宋体" w:eastAsia="宋体" w:hint="default"/>
                <w:sz w:val="18"/>
                <w:szCs w:val="18"/>
              </w:rPr>
              <w:t>当期预测业绩</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44" w:right="0"/>
              <w:jc w:val="left"/>
              <w:rPr>
                <w:rFonts w:ascii="宋体" w:hAnsi="宋体" w:cs="宋体" w:eastAsia="宋体" w:hint="default"/>
                <w:sz w:val="18"/>
                <w:szCs w:val="18"/>
              </w:rPr>
            </w:pPr>
            <w:r>
              <w:rPr>
                <w:rFonts w:ascii="宋体" w:hAnsi="宋体" w:cs="宋体" w:eastAsia="宋体" w:hint="default"/>
                <w:sz w:val="18"/>
                <w:szCs w:val="18"/>
              </w:rPr>
              <w:t>当期实际业绩</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45" w:right="0"/>
              <w:jc w:val="left"/>
              <w:rPr>
                <w:rFonts w:ascii="宋体" w:hAnsi="宋体" w:cs="宋体" w:eastAsia="宋体" w:hint="default"/>
                <w:sz w:val="18"/>
                <w:szCs w:val="18"/>
              </w:rPr>
            </w:pPr>
            <w:r>
              <w:rPr>
                <w:rFonts w:ascii="宋体" w:hAnsi="宋体" w:cs="宋体" w:eastAsia="宋体" w:hint="default"/>
                <w:sz w:val="18"/>
                <w:szCs w:val="18"/>
              </w:rPr>
              <w:t>未达预测的原</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44" w:right="0"/>
              <w:jc w:val="left"/>
              <w:rPr>
                <w:rFonts w:ascii="宋体" w:hAnsi="宋体" w:cs="宋体" w:eastAsia="宋体" w:hint="default"/>
                <w:sz w:val="18"/>
                <w:szCs w:val="18"/>
              </w:rPr>
            </w:pPr>
            <w:r>
              <w:rPr>
                <w:rFonts w:ascii="宋体" w:hAnsi="宋体" w:cs="宋体" w:eastAsia="宋体" w:hint="default"/>
                <w:sz w:val="18"/>
                <w:szCs w:val="18"/>
              </w:rPr>
              <w:t>原预测披露日</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66" w:right="0"/>
              <w:jc w:val="left"/>
              <w:rPr>
                <w:rFonts w:ascii="宋体" w:hAnsi="宋体" w:cs="宋体" w:eastAsia="宋体" w:hint="default"/>
                <w:sz w:val="18"/>
                <w:szCs w:val="18"/>
              </w:rPr>
            </w:pPr>
            <w:r>
              <w:rPr>
                <w:rFonts w:ascii="宋体" w:hAnsi="宋体" w:cs="宋体" w:eastAsia="宋体" w:hint="default"/>
                <w:sz w:val="18"/>
                <w:szCs w:val="18"/>
              </w:rPr>
              <w:t>原预测</w:t>
            </w:r>
          </w:p>
        </w:tc>
      </w:tr>
    </w:tbl>
    <w:p>
      <w:pPr>
        <w:spacing w:after="0" w:line="240" w:lineRule="auto"/>
        <w:jc w:val="left"/>
        <w:rPr>
          <w:rFonts w:ascii="宋体" w:hAnsi="宋体" w:cs="宋体" w:eastAsia="宋体" w:hint="default"/>
          <w:sz w:val="18"/>
          <w:szCs w:val="18"/>
        </w:rPr>
        <w:sectPr>
          <w:pgSz w:w="11910" w:h="16840"/>
          <w:pgMar w:header="0" w:footer="959" w:top="1340" w:bottom="1140" w:left="1160" w:right="1440"/>
        </w:sectPr>
      </w:pPr>
    </w:p>
    <w:p>
      <w:pPr>
        <w:spacing w:line="240" w:lineRule="auto" w:before="3"/>
        <w:rPr>
          <w:rFonts w:ascii="宋体" w:hAnsi="宋体" w:cs="宋体" w:eastAsia="宋体" w:hint="default"/>
          <w:b/>
          <w:bCs/>
          <w:sz w:val="6"/>
          <w:szCs w:val="6"/>
        </w:rPr>
      </w:pPr>
    </w:p>
    <w:tbl>
      <w:tblPr>
        <w:tblW w:w="0" w:type="auto"/>
        <w:jc w:val="left"/>
        <w:tblInd w:w="112" w:type="dxa"/>
        <w:tblLayout w:type="fixed"/>
        <w:tblCellMar>
          <w:top w:w="0" w:type="dxa"/>
          <w:left w:w="0" w:type="dxa"/>
          <w:bottom w:w="0" w:type="dxa"/>
          <w:right w:w="0" w:type="dxa"/>
        </w:tblCellMar>
        <w:tblLook w:val="01E0"/>
      </w:tblPr>
      <w:tblGrid>
        <w:gridCol w:w="1306"/>
        <w:gridCol w:w="1178"/>
        <w:gridCol w:w="1181"/>
        <w:gridCol w:w="1181"/>
        <w:gridCol w:w="1179"/>
        <w:gridCol w:w="1181"/>
        <w:gridCol w:w="1181"/>
        <w:gridCol w:w="686"/>
      </w:tblGrid>
      <w:tr>
        <w:trPr>
          <w:trHeight w:val="67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（万元）</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5" w:right="0"/>
              <w:jc w:val="left"/>
              <w:rPr>
                <w:rFonts w:ascii="宋体" w:hAnsi="宋体" w:cs="宋体" w:eastAsia="宋体" w:hint="default"/>
                <w:sz w:val="18"/>
                <w:szCs w:val="18"/>
              </w:rPr>
            </w:pPr>
            <w:r>
              <w:rPr>
                <w:rFonts w:ascii="宋体" w:hAnsi="宋体" w:cs="宋体" w:eastAsia="宋体" w:hint="default"/>
                <w:sz w:val="18"/>
                <w:szCs w:val="18"/>
              </w:rPr>
              <w:t>因（如适用）</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7" w:right="6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1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105" w:right="108"/>
              <w:jc w:val="left"/>
              <w:rPr>
                <w:rFonts w:ascii="宋体" w:hAnsi="宋体" w:cs="宋体" w:eastAsia="宋体" w:hint="default"/>
                <w:sz w:val="18"/>
                <w:szCs w:val="18"/>
              </w:rPr>
            </w:pPr>
            <w:r>
              <w:rPr>
                <w:rFonts w:ascii="宋体" w:hAnsi="宋体" w:cs="宋体" w:eastAsia="宋体" w:hint="default"/>
                <w:sz w:val="18"/>
                <w:szCs w:val="18"/>
              </w:rPr>
              <w:t>北京神奇时代 网络有限公司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15,014.92</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14,827.17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神奇时代</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316" w:lineRule="auto" w:before="63"/>
              <w:ind w:left="134" w:right="43" w:hanging="89"/>
              <w:jc w:val="left"/>
              <w:rPr>
                <w:rFonts w:ascii="宋体" w:hAnsi="宋体" w:cs="宋体" w:eastAsia="宋体" w:hint="default"/>
                <w:sz w:val="18"/>
                <w:szCs w:val="18"/>
              </w:rPr>
            </w:pPr>
            <w:r>
              <w:rPr>
                <w:rFonts w:ascii="宋体" w:hAnsi="宋体" w:cs="宋体" w:eastAsia="宋体" w:hint="default"/>
                <w:sz w:val="18"/>
                <w:szCs w:val="18"/>
              </w:rPr>
              <w:t>度累计超额完 成承诺业绩</w:t>
            </w:r>
          </w:p>
          <w:p>
            <w:pPr>
              <w:pStyle w:val="TableParagraph"/>
              <w:spacing w:line="240" w:lineRule="auto" w:before="19"/>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62" w:lineRule="auto"/>
              <w:ind w:left="36" w:right="35" w:firstLine="1"/>
              <w:jc w:val="center"/>
              <w:rPr>
                <w:rFonts w:ascii="Times New Roman" w:hAnsi="Times New Roman" w:cs="Times New Roman" w:eastAsia="Times New Roman" w:hint="default"/>
                <w:sz w:val="18"/>
                <w:szCs w:val="18"/>
              </w:rPr>
            </w:pPr>
            <w:hyperlink r:id="rId20">
              <w:r>
                <w:rPr>
                  <w:rFonts w:ascii="Times New Roman"/>
                  <w:sz w:val="18"/>
                </w:rPr>
                <w:t>http://w</w:t>
              </w:r>
            </w:hyperlink>
            <w:r>
              <w:rPr>
                <w:rFonts w:ascii="Times New Roman"/>
                <w:w w:val="99"/>
                <w:sz w:val="18"/>
              </w:rPr>
              <w:t> </w:t>
            </w:r>
            <w:r>
              <w:rPr>
                <w:rFonts w:ascii="Times New Roman"/>
                <w:spacing w:val="-2"/>
                <w:sz w:val="18"/>
              </w:rPr>
              <w:t>ww.cnin</w:t>
            </w:r>
            <w:r>
              <w:rPr>
                <w:rFonts w:ascii="Times New Roman"/>
                <w:sz w:val="18"/>
              </w:rPr>
              <w:t> fo.com. cn</w:t>
            </w:r>
          </w:p>
        </w:tc>
      </w:tr>
    </w:tbl>
    <w:p>
      <w:pPr>
        <w:spacing w:line="240" w:lineRule="auto" w:before="12"/>
        <w:rPr>
          <w:rFonts w:ascii="宋体" w:hAnsi="宋体" w:cs="宋体" w:eastAsia="宋体" w:hint="default"/>
          <w:b/>
          <w:bCs/>
          <w:sz w:val="28"/>
          <w:szCs w:val="28"/>
        </w:rPr>
      </w:pPr>
    </w:p>
    <w:p>
      <w:pPr>
        <w:pStyle w:val="Heading6"/>
        <w:spacing w:line="240" w:lineRule="auto" w:before="36"/>
        <w:ind w:left="683" w:right="598"/>
        <w:jc w:val="left"/>
      </w:pPr>
      <w:r>
        <w:rPr/>
        <w:t>公司股东、交易对手方对公司或相关资产年度经营业绩作出的承诺情况</w:t>
      </w:r>
    </w:p>
    <w:p>
      <w:pPr>
        <w:spacing w:line="240" w:lineRule="auto" w:before="10"/>
        <w:rPr>
          <w:rFonts w:ascii="宋体" w:hAnsi="宋体" w:cs="宋体" w:eastAsia="宋体" w:hint="default"/>
          <w:sz w:val="14"/>
          <w:szCs w:val="14"/>
        </w:rPr>
      </w:pPr>
    </w:p>
    <w:p>
      <w:pPr>
        <w:pStyle w:val="Heading6"/>
        <w:spacing w:line="240" w:lineRule="auto"/>
        <w:ind w:left="683" w:right="598"/>
        <w:jc w:val="left"/>
      </w:pPr>
      <w:r>
        <w:rPr/>
        <w:t>□适用√不适用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3"/>
        <w:spacing w:line="240" w:lineRule="auto"/>
        <w:ind w:right="598"/>
        <w:jc w:val="left"/>
        <w:rPr>
          <w:b w:val="0"/>
          <w:bCs w:val="0"/>
        </w:rPr>
      </w:pPr>
      <w:r>
        <w:rPr/>
        <w:t>三、控股股东及其关联方对上市公司的非经营性占用资金情况</w:t>
      </w:r>
      <w:r>
        <w:rPr>
          <w:b w:val="0"/>
          <w:bCs w:val="0"/>
        </w:rPr>
      </w:r>
    </w:p>
    <w:p>
      <w:pPr>
        <w:spacing w:line="240" w:lineRule="auto" w:before="10"/>
        <w:rPr>
          <w:rFonts w:ascii="宋体" w:hAnsi="宋体" w:cs="宋体" w:eastAsia="宋体" w:hint="default"/>
          <w:b/>
          <w:bCs/>
          <w:sz w:val="30"/>
          <w:szCs w:val="30"/>
        </w:rPr>
      </w:pPr>
    </w:p>
    <w:p>
      <w:pPr>
        <w:pStyle w:val="Heading6"/>
        <w:spacing w:line="408" w:lineRule="auto"/>
        <w:ind w:left="683" w:right="1017"/>
        <w:jc w:val="left"/>
      </w:pPr>
      <w:r>
        <w:rPr/>
        <w:t>□适用√不适用</w:t>
      </w:r>
      <w:r>
        <w:rPr>
          <w:spacing w:val="-103"/>
        </w:rPr>
        <w:t> </w:t>
      </w:r>
      <w:r>
        <w:rPr>
          <w:spacing w:val="-103"/>
        </w:rPr>
      </w:r>
      <w:r>
        <w:rPr>
          <w:spacing w:val="-2"/>
        </w:rPr>
        <w:t>公司报告期不存在控股股东及其关联方对上市公司的非经营性占用资金。</w:t>
      </w:r>
    </w:p>
    <w:p>
      <w:pPr>
        <w:spacing w:line="240" w:lineRule="auto" w:before="8"/>
        <w:rPr>
          <w:rFonts w:ascii="宋体" w:hAnsi="宋体" w:cs="宋体" w:eastAsia="宋体" w:hint="default"/>
          <w:sz w:val="18"/>
          <w:szCs w:val="18"/>
        </w:rPr>
      </w:pPr>
    </w:p>
    <w:p>
      <w:pPr>
        <w:pStyle w:val="Heading3"/>
        <w:spacing w:line="240" w:lineRule="auto"/>
        <w:ind w:right="598"/>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7"/>
        <w:rPr>
          <w:rFonts w:ascii="宋体" w:hAnsi="宋体" w:cs="宋体" w:eastAsia="宋体" w:hint="default"/>
          <w:b/>
          <w:bCs/>
          <w:sz w:val="23"/>
          <w:szCs w:val="23"/>
        </w:rPr>
      </w:pPr>
    </w:p>
    <w:p>
      <w:pPr>
        <w:pStyle w:val="Heading6"/>
        <w:spacing w:line="240" w:lineRule="auto"/>
        <w:ind w:left="683" w:right="598"/>
        <w:jc w:val="left"/>
      </w:pPr>
      <w:r>
        <w:rPr/>
        <w:t>□适用√不适用</w:t>
      </w:r>
    </w:p>
    <w:p>
      <w:pPr>
        <w:spacing w:line="240" w:lineRule="auto" w:before="11"/>
        <w:rPr>
          <w:rFonts w:ascii="宋体" w:hAnsi="宋体" w:cs="宋体" w:eastAsia="宋体" w:hint="default"/>
          <w:sz w:val="25"/>
          <w:szCs w:val="25"/>
        </w:rPr>
      </w:pPr>
    </w:p>
    <w:p>
      <w:pPr>
        <w:pStyle w:val="Heading3"/>
        <w:spacing w:line="314" w:lineRule="exact"/>
        <w:ind w:right="598"/>
        <w:jc w:val="left"/>
        <w:rPr>
          <w:b w:val="0"/>
          <w:bCs w:val="0"/>
        </w:rPr>
      </w:pPr>
      <w:r>
        <w:rPr>
          <w:spacing w:val="2"/>
          <w:w w:val="95"/>
        </w:rPr>
        <w:t>五、董事会、监事会、独立董事（如有）对会计师事务所本报告期</w:t>
      </w:r>
      <w:r>
        <w:rPr>
          <w:rFonts w:ascii="Times New Roman" w:hAnsi="Times New Roman" w:cs="Times New Roman" w:eastAsia="Times New Roman" w:hint="default"/>
          <w:spacing w:val="2"/>
          <w:w w:val="95"/>
        </w:rPr>
        <w:t>“</w:t>
      </w:r>
      <w:r>
        <w:rPr>
          <w:spacing w:val="2"/>
          <w:w w:val="95"/>
        </w:rPr>
        <w:t>非标准审计</w:t>
      </w:r>
      <w:r>
        <w:rPr>
          <w:spacing w:val="36"/>
          <w:w w:val="95"/>
        </w:rPr>
        <w:t> </w:t>
      </w:r>
      <w:r>
        <w:rPr/>
        <w:t>报告</w:t>
      </w:r>
      <w:r>
        <w:rPr>
          <w:rFonts w:ascii="Times New Roman" w:hAnsi="Times New Roman" w:cs="Times New Roman" w:eastAsia="Times New Roman" w:hint="default"/>
        </w:rPr>
        <w:t>”</w:t>
      </w:r>
      <w:r>
        <w:rPr/>
        <w:t>的说明</w:t>
      </w:r>
      <w:r>
        <w:rPr>
          <w:b w:val="0"/>
          <w:bCs w:val="0"/>
        </w:rPr>
      </w:r>
    </w:p>
    <w:p>
      <w:pPr>
        <w:spacing w:line="240" w:lineRule="auto" w:before="9"/>
        <w:rPr>
          <w:rFonts w:ascii="宋体" w:hAnsi="宋体" w:cs="宋体" w:eastAsia="宋体" w:hint="default"/>
          <w:b/>
          <w:bCs/>
          <w:sz w:val="22"/>
          <w:szCs w:val="22"/>
        </w:rPr>
      </w:pPr>
    </w:p>
    <w:p>
      <w:pPr>
        <w:pStyle w:val="Heading6"/>
        <w:spacing w:line="240" w:lineRule="auto"/>
        <w:ind w:left="683" w:right="598"/>
        <w:jc w:val="left"/>
      </w:pPr>
      <w:r>
        <w:rPr/>
        <w:t>□适用√不适用</w:t>
      </w:r>
    </w:p>
    <w:p>
      <w:pPr>
        <w:spacing w:line="240" w:lineRule="auto" w:before="8"/>
        <w:rPr>
          <w:rFonts w:ascii="宋体" w:hAnsi="宋体" w:cs="宋体" w:eastAsia="宋体" w:hint="default"/>
          <w:sz w:val="23"/>
          <w:szCs w:val="23"/>
        </w:rPr>
      </w:pPr>
    </w:p>
    <w:p>
      <w:pPr>
        <w:pStyle w:val="Heading3"/>
        <w:spacing w:line="240" w:lineRule="auto"/>
        <w:ind w:right="598"/>
        <w:jc w:val="left"/>
        <w:rPr>
          <w:b w:val="0"/>
          <w:bCs w:val="0"/>
        </w:rPr>
      </w:pPr>
      <w:r>
        <w:rPr/>
        <w:t>六、董事会关于报告期会计政策、会计估计变更或重大会计差错更正的说明</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left="683" w:right="598"/>
        <w:jc w:val="left"/>
      </w:pPr>
      <w:r>
        <w:rPr/>
        <w:t>□适用√不适用</w:t>
      </w:r>
    </w:p>
    <w:p>
      <w:pPr>
        <w:spacing w:line="240" w:lineRule="auto" w:before="11"/>
        <w:rPr>
          <w:rFonts w:ascii="宋体" w:hAnsi="宋体" w:cs="宋体" w:eastAsia="宋体" w:hint="default"/>
          <w:sz w:val="23"/>
          <w:szCs w:val="23"/>
        </w:rPr>
      </w:pPr>
    </w:p>
    <w:p>
      <w:pPr>
        <w:pStyle w:val="Heading3"/>
        <w:spacing w:line="240" w:lineRule="auto"/>
        <w:ind w:right="598"/>
        <w:jc w:val="left"/>
        <w:rPr>
          <w:b w:val="0"/>
          <w:bCs w:val="0"/>
        </w:rPr>
      </w:pPr>
      <w:r>
        <w:rPr/>
        <w:t>七、与上年度财务报告相比，合并报表范围发生变化的情况说明</w:t>
      </w:r>
      <w:r>
        <w:rPr>
          <w:b w:val="0"/>
          <w:bCs w:val="0"/>
        </w:rPr>
      </w:r>
    </w:p>
    <w:p>
      <w:pPr>
        <w:spacing w:line="240" w:lineRule="auto" w:before="10"/>
        <w:rPr>
          <w:rFonts w:ascii="宋体" w:hAnsi="宋体" w:cs="宋体" w:eastAsia="宋体" w:hint="default"/>
          <w:b/>
          <w:bCs/>
          <w:sz w:val="30"/>
          <w:szCs w:val="30"/>
        </w:rPr>
      </w:pPr>
    </w:p>
    <w:p>
      <w:pPr>
        <w:pStyle w:val="Heading6"/>
        <w:spacing w:line="408" w:lineRule="auto"/>
        <w:ind w:left="683" w:right="4413"/>
        <w:jc w:val="left"/>
      </w:pPr>
      <w:r>
        <w:rPr/>
        <w:t>□适用√不适用</w:t>
      </w:r>
      <w:r>
        <w:rPr>
          <w:spacing w:val="-103"/>
        </w:rPr>
        <w:t> </w:t>
      </w:r>
      <w:r>
        <w:rPr>
          <w:spacing w:val="-103"/>
        </w:rPr>
      </w:r>
      <w:r>
        <w:rPr>
          <w:spacing w:val="-2"/>
        </w:rPr>
        <w:t>公司报告期无合并报表范围发生变化的情况。</w:t>
      </w:r>
    </w:p>
    <w:p>
      <w:pPr>
        <w:spacing w:line="240" w:lineRule="auto" w:before="8"/>
        <w:rPr>
          <w:rFonts w:ascii="宋体" w:hAnsi="宋体" w:cs="宋体" w:eastAsia="宋体" w:hint="default"/>
          <w:sz w:val="18"/>
          <w:szCs w:val="18"/>
        </w:rPr>
      </w:pPr>
    </w:p>
    <w:p>
      <w:pPr>
        <w:pStyle w:val="Heading3"/>
        <w:spacing w:line="240" w:lineRule="auto"/>
        <w:ind w:right="598"/>
        <w:jc w:val="left"/>
        <w:rPr>
          <w:b w:val="0"/>
          <w:bCs w:val="0"/>
        </w:rPr>
      </w:pPr>
      <w:r>
        <w:rPr/>
        <w:t>八、聘任、解聘会计师事务所情况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683" w:right="598"/>
        <w:jc w:val="left"/>
      </w:pPr>
      <w:r>
        <w:rPr/>
        <w:t>现聘任的会计师事务所</w:t>
      </w:r>
    </w:p>
    <w:p>
      <w:pPr>
        <w:spacing w:line="240" w:lineRule="auto" w:before="12"/>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3874"/>
        <w:gridCol w:w="5694"/>
      </w:tblGrid>
      <w:tr>
        <w:trPr>
          <w:trHeight w:val="36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天职国际会计师事务所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36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6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0" w:footer="959" w:top="1340" w:bottom="1140" w:left="1160" w:right="940"/>
        </w:sectPr>
      </w:pPr>
    </w:p>
    <w:p>
      <w:pPr>
        <w:spacing w:line="240" w:lineRule="auto" w:before="3"/>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3874"/>
        <w:gridCol w:w="5694"/>
      </w:tblGrid>
      <w:tr>
        <w:trPr>
          <w:trHeight w:val="36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刘宇科、李明、伍舫</w:t>
            </w:r>
          </w:p>
        </w:tc>
      </w:tr>
    </w:tbl>
    <w:p>
      <w:pPr>
        <w:pStyle w:val="Heading6"/>
        <w:spacing w:line="240" w:lineRule="auto" w:before="64"/>
        <w:ind w:left="683" w:right="598"/>
        <w:jc w:val="left"/>
      </w:pPr>
      <w:r>
        <w:rPr/>
        <w:t>是否改聘会计师事务所</w:t>
      </w:r>
    </w:p>
    <w:p>
      <w:pPr>
        <w:spacing w:line="240" w:lineRule="auto" w:before="10"/>
        <w:rPr>
          <w:rFonts w:ascii="宋体" w:hAnsi="宋体" w:cs="宋体" w:eastAsia="宋体" w:hint="default"/>
          <w:sz w:val="14"/>
          <w:szCs w:val="14"/>
        </w:rPr>
      </w:pPr>
    </w:p>
    <w:p>
      <w:pPr>
        <w:pStyle w:val="Heading6"/>
        <w:spacing w:line="240" w:lineRule="auto"/>
        <w:ind w:left="683" w:right="598"/>
        <w:jc w:val="left"/>
      </w:pPr>
      <w:r>
        <w:rPr/>
        <w:t>□是√否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6"/>
        <w:spacing w:line="408" w:lineRule="auto"/>
        <w:ind w:left="683" w:right="598"/>
        <w:jc w:val="left"/>
      </w:pPr>
      <w:r>
        <w:rPr/>
        <w:t>聘请内部控制审计会计师事务所、财务顾问或保荐人情况</w:t>
      </w:r>
      <w:r>
        <w:rPr>
          <w:w w:val="100"/>
        </w:rPr>
        <w:t> </w:t>
      </w:r>
      <w:r>
        <w:rPr>
          <w:spacing w:val="-3"/>
        </w:rPr>
        <w:t>公司报告期内因重大资产重组事项，聘请国金证券股份有限公司为公司财务顾问，期间尚未</w:t>
      </w:r>
      <w:r>
        <w:rPr>
          <w:spacing w:val="-26"/>
        </w:rPr>
        <w:t> </w:t>
      </w:r>
      <w:r>
        <w:rPr>
          <w:spacing w:val="-26"/>
        </w:rPr>
      </w:r>
      <w:r>
        <w:rPr/>
        <w:t>支付财务顾问费用。</w:t>
      </w:r>
    </w:p>
    <w:p>
      <w:pPr>
        <w:spacing w:line="240" w:lineRule="auto" w:before="9"/>
        <w:rPr>
          <w:rFonts w:ascii="宋体" w:hAnsi="宋体" w:cs="宋体" w:eastAsia="宋体" w:hint="default"/>
          <w:sz w:val="18"/>
          <w:szCs w:val="18"/>
        </w:rPr>
      </w:pPr>
    </w:p>
    <w:p>
      <w:pPr>
        <w:pStyle w:val="Heading3"/>
        <w:spacing w:line="240" w:lineRule="auto"/>
        <w:ind w:right="598"/>
        <w:jc w:val="left"/>
        <w:rPr>
          <w:b w:val="0"/>
          <w:bCs w:val="0"/>
        </w:rPr>
      </w:pPr>
      <w:r>
        <w:rPr/>
        <w:t>九、年度报告披露后面临暂停上市和终止上市情况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left="683" w:right="598"/>
        <w:jc w:val="left"/>
      </w:pPr>
      <w:r>
        <w:rPr/>
        <w:t>□适用√不适用</w:t>
      </w:r>
    </w:p>
    <w:p>
      <w:pPr>
        <w:spacing w:line="240" w:lineRule="auto" w:before="8"/>
        <w:rPr>
          <w:rFonts w:ascii="宋体" w:hAnsi="宋体" w:cs="宋体" w:eastAsia="宋体" w:hint="default"/>
          <w:sz w:val="23"/>
          <w:szCs w:val="23"/>
        </w:rPr>
      </w:pPr>
    </w:p>
    <w:p>
      <w:pPr>
        <w:pStyle w:val="Heading3"/>
        <w:spacing w:line="240" w:lineRule="auto"/>
        <w:ind w:right="598"/>
        <w:jc w:val="left"/>
        <w:rPr>
          <w:b w:val="0"/>
          <w:bCs w:val="0"/>
        </w:rPr>
      </w:pPr>
      <w:r>
        <w:rPr/>
        <w:t>十、破产重整相关事项</w:t>
      </w:r>
      <w:r>
        <w:rPr>
          <w:b w:val="0"/>
          <w:bCs w:val="0"/>
        </w:rPr>
      </w:r>
    </w:p>
    <w:p>
      <w:pPr>
        <w:spacing w:line="240" w:lineRule="auto" w:before="10"/>
        <w:rPr>
          <w:rFonts w:ascii="宋体" w:hAnsi="宋体" w:cs="宋体" w:eastAsia="宋体" w:hint="default"/>
          <w:b/>
          <w:bCs/>
          <w:sz w:val="30"/>
          <w:szCs w:val="30"/>
        </w:rPr>
      </w:pPr>
    </w:p>
    <w:p>
      <w:pPr>
        <w:pStyle w:val="Heading6"/>
        <w:spacing w:line="408" w:lineRule="auto"/>
        <w:ind w:left="683" w:right="4413"/>
        <w:jc w:val="left"/>
      </w:pPr>
      <w:r>
        <w:rPr/>
        <w:t>□适用√不适用</w:t>
      </w:r>
      <w:r>
        <w:rPr>
          <w:spacing w:val="-103"/>
        </w:rPr>
        <w:t> </w:t>
      </w:r>
      <w:r>
        <w:rPr>
          <w:spacing w:val="-103"/>
        </w:rPr>
      </w:r>
      <w:r>
        <w:rPr>
          <w:spacing w:val="-2"/>
        </w:rPr>
        <w:t>公司报告期未发生破产重整相关事项。</w:t>
      </w:r>
    </w:p>
    <w:p>
      <w:pPr>
        <w:spacing w:line="240" w:lineRule="auto" w:before="9"/>
        <w:rPr>
          <w:rFonts w:ascii="宋体" w:hAnsi="宋体" w:cs="宋体" w:eastAsia="宋体" w:hint="default"/>
          <w:sz w:val="18"/>
          <w:szCs w:val="18"/>
        </w:rPr>
      </w:pPr>
    </w:p>
    <w:p>
      <w:pPr>
        <w:pStyle w:val="Heading3"/>
        <w:spacing w:line="240" w:lineRule="auto"/>
        <w:ind w:right="598"/>
        <w:jc w:val="left"/>
        <w:rPr>
          <w:b w:val="0"/>
          <w:bCs w:val="0"/>
        </w:rPr>
      </w:pPr>
      <w:r>
        <w:rPr/>
        <w:t>十一、重大诉讼、仲裁事项</w:t>
      </w:r>
      <w:r>
        <w:rPr>
          <w:b w:val="0"/>
          <w:bCs w:val="0"/>
        </w:rPr>
      </w:r>
    </w:p>
    <w:p>
      <w:pPr>
        <w:spacing w:line="240" w:lineRule="auto" w:before="10"/>
        <w:rPr>
          <w:rFonts w:ascii="宋体" w:hAnsi="宋体" w:cs="宋体" w:eastAsia="宋体" w:hint="default"/>
          <w:b/>
          <w:bCs/>
          <w:sz w:val="30"/>
          <w:szCs w:val="30"/>
        </w:rPr>
      </w:pPr>
    </w:p>
    <w:p>
      <w:pPr>
        <w:pStyle w:val="Heading6"/>
        <w:spacing w:line="408" w:lineRule="auto"/>
        <w:ind w:left="683" w:right="4413"/>
        <w:jc w:val="left"/>
      </w:pPr>
      <w:r>
        <w:rPr/>
        <w:t>□适用√不适用</w:t>
      </w:r>
      <w:r>
        <w:rPr>
          <w:spacing w:val="-103"/>
        </w:rPr>
        <w:t> </w:t>
      </w:r>
      <w:r>
        <w:rPr>
          <w:spacing w:val="-103"/>
        </w:rPr>
      </w:r>
      <w:r>
        <w:rPr>
          <w:spacing w:val="-2"/>
        </w:rPr>
        <w:t>本报告期公司无重大诉讼、仲裁事项。</w:t>
      </w:r>
    </w:p>
    <w:p>
      <w:pPr>
        <w:spacing w:line="240" w:lineRule="auto" w:before="8"/>
        <w:rPr>
          <w:rFonts w:ascii="宋体" w:hAnsi="宋体" w:cs="宋体" w:eastAsia="宋体" w:hint="default"/>
          <w:sz w:val="18"/>
          <w:szCs w:val="18"/>
        </w:rPr>
      </w:pPr>
    </w:p>
    <w:p>
      <w:pPr>
        <w:pStyle w:val="Heading3"/>
        <w:spacing w:line="240" w:lineRule="auto"/>
        <w:ind w:right="598"/>
        <w:jc w:val="left"/>
        <w:rPr>
          <w:b w:val="0"/>
          <w:bCs w:val="0"/>
        </w:rPr>
      </w:pPr>
      <w:r>
        <w:rPr/>
        <w:t>十二、处罚及整改情况</w:t>
      </w:r>
      <w:r>
        <w:rPr>
          <w:b w:val="0"/>
          <w:bCs w:val="0"/>
        </w:rPr>
      </w:r>
    </w:p>
    <w:p>
      <w:pPr>
        <w:spacing w:line="240" w:lineRule="auto" w:before="8"/>
        <w:rPr>
          <w:rFonts w:ascii="宋体" w:hAnsi="宋体" w:cs="宋体" w:eastAsia="宋体" w:hint="default"/>
          <w:b/>
          <w:bCs/>
          <w:sz w:val="30"/>
          <w:szCs w:val="30"/>
        </w:rPr>
      </w:pPr>
    </w:p>
    <w:p>
      <w:pPr>
        <w:pStyle w:val="Heading6"/>
        <w:spacing w:line="408" w:lineRule="auto"/>
        <w:ind w:left="683" w:right="4413"/>
        <w:jc w:val="left"/>
      </w:pPr>
      <w:r>
        <w:rPr/>
        <w:t>□适用√不适用</w:t>
      </w:r>
      <w:r>
        <w:rPr>
          <w:spacing w:val="-103"/>
        </w:rPr>
        <w:t> </w:t>
      </w:r>
      <w:r>
        <w:rPr>
          <w:spacing w:val="-103"/>
        </w:rPr>
      </w:r>
      <w:r>
        <w:rPr>
          <w:spacing w:val="-2"/>
        </w:rPr>
        <w:t>公司报告期不存在处罚及整改情况。</w:t>
      </w:r>
    </w:p>
    <w:p>
      <w:pPr>
        <w:spacing w:line="240" w:lineRule="auto" w:before="9"/>
        <w:rPr>
          <w:rFonts w:ascii="宋体" w:hAnsi="宋体" w:cs="宋体" w:eastAsia="宋体" w:hint="default"/>
          <w:sz w:val="18"/>
          <w:szCs w:val="18"/>
        </w:rPr>
      </w:pPr>
    </w:p>
    <w:p>
      <w:pPr>
        <w:pStyle w:val="Heading3"/>
        <w:spacing w:line="240" w:lineRule="auto"/>
        <w:ind w:right="598"/>
        <w:jc w:val="left"/>
        <w:rPr>
          <w:b w:val="0"/>
          <w:bCs w:val="0"/>
        </w:rPr>
      </w:pPr>
      <w:r>
        <w:rPr/>
        <w:t>十三、公司及其控股股东、实际控制人的诚信状况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left="683" w:right="598"/>
        <w:jc w:val="left"/>
      </w:pPr>
      <w:r>
        <w:rPr/>
        <w:t>□适用√不适用</w:t>
      </w:r>
    </w:p>
    <w:p>
      <w:pPr>
        <w:spacing w:line="240" w:lineRule="auto" w:before="8"/>
        <w:rPr>
          <w:rFonts w:ascii="宋体" w:hAnsi="宋体" w:cs="宋体" w:eastAsia="宋体" w:hint="default"/>
          <w:sz w:val="23"/>
          <w:szCs w:val="23"/>
        </w:rPr>
      </w:pPr>
    </w:p>
    <w:p>
      <w:pPr>
        <w:pStyle w:val="Heading3"/>
        <w:spacing w:line="240" w:lineRule="auto"/>
        <w:ind w:right="598"/>
        <w:jc w:val="left"/>
        <w:rPr>
          <w:b w:val="0"/>
          <w:bCs w:val="0"/>
        </w:rPr>
      </w:pPr>
      <w:r>
        <w:rPr/>
        <w:t>十四、公司股权激励计划、员工持股计划或其他员工激励措施的实施情况</w:t>
      </w:r>
      <w:r>
        <w:rPr>
          <w:b w:val="0"/>
          <w:bCs w:val="0"/>
        </w:rPr>
      </w:r>
    </w:p>
    <w:p>
      <w:pPr>
        <w:spacing w:line="240" w:lineRule="auto" w:before="10"/>
        <w:rPr>
          <w:rFonts w:ascii="宋体" w:hAnsi="宋体" w:cs="宋体" w:eastAsia="宋体" w:hint="default"/>
          <w:b/>
          <w:bCs/>
          <w:sz w:val="30"/>
          <w:szCs w:val="30"/>
        </w:rPr>
      </w:pPr>
    </w:p>
    <w:p>
      <w:pPr>
        <w:pStyle w:val="Heading6"/>
        <w:spacing w:line="398" w:lineRule="auto"/>
        <w:ind w:left="683" w:right="750" w:firstLine="419"/>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17</w:t>
      </w:r>
      <w:r>
        <w:rPr>
          <w:rFonts w:ascii="Times New Roman" w:hAnsi="Times New Roman" w:cs="Times New Roman" w:eastAsia="Times New Roman" w:hint="default"/>
          <w:spacing w:val="12"/>
        </w:rPr>
        <w:t> </w:t>
      </w:r>
      <w:r>
        <w:rPr>
          <w:spacing w:val="-5"/>
        </w:rPr>
        <w:t>日，公司召开第二届董事会第四十三次会议，审议通过了《关于设立天</w:t>
      </w:r>
      <w:r>
        <w:rPr>
          <w:w w:val="100"/>
        </w:rPr>
        <w:t> </w:t>
      </w:r>
      <w:r>
        <w:rPr>
          <w:spacing w:val="-3"/>
        </w:rPr>
        <w:t>舟文化员工持股计划（筹）的议案》等相关议案，公司将采取认购发行股份及支付现金购买</w:t>
      </w:r>
      <w:r>
        <w:rPr>
          <w:spacing w:val="-27"/>
        </w:rPr>
        <w:t> </w:t>
      </w:r>
      <w:r>
        <w:rPr>
          <w:spacing w:val="-27"/>
        </w:rPr>
      </w:r>
      <w:r>
        <w:rPr>
          <w:spacing w:val="-1"/>
        </w:rPr>
        <w:t>游爱网络</w:t>
      </w:r>
      <w:r>
        <w:rPr>
          <w:spacing w:val="20"/>
        </w:rPr>
        <w:t> </w:t>
      </w:r>
      <w:r>
        <w:rPr>
          <w:rFonts w:ascii="Times New Roman" w:hAnsi="Times New Roman" w:cs="Times New Roman" w:eastAsia="Times New Roman" w:hint="default"/>
          <w:spacing w:val="-2"/>
        </w:rPr>
        <w:t>100%</w:t>
      </w:r>
      <w:r>
        <w:rPr>
          <w:spacing w:val="-2"/>
        </w:rPr>
        <w:t>股权并募集配套资金非公开发行股份的方式，成立并实施天舟文化员工持股</w:t>
      </w:r>
    </w:p>
    <w:p>
      <w:pPr>
        <w:spacing w:after="0" w:line="398" w:lineRule="auto"/>
        <w:jc w:val="both"/>
        <w:sectPr>
          <w:pgSz w:w="11910" w:h="16840"/>
          <w:pgMar w:header="0" w:footer="959" w:top="1340" w:bottom="1140" w:left="1160" w:right="940"/>
        </w:sectPr>
      </w:pPr>
    </w:p>
    <w:p>
      <w:pPr>
        <w:pStyle w:val="Heading6"/>
        <w:spacing w:line="400" w:lineRule="auto" w:before="6"/>
        <w:ind w:left="823" w:right="832"/>
        <w:jc w:val="left"/>
      </w:pPr>
      <w:r>
        <w:rPr/>
        <w:t>计划，认购金额不超过</w:t>
      </w:r>
      <w:r>
        <w:rPr>
          <w:spacing w:val="-54"/>
        </w:rPr>
        <w:t> </w:t>
      </w:r>
      <w:r>
        <w:rPr>
          <w:rFonts w:ascii="Times New Roman" w:hAnsi="Times New Roman" w:cs="Times New Roman" w:eastAsia="Times New Roman" w:hint="default"/>
        </w:rPr>
        <w:t>100,000,000</w:t>
      </w:r>
      <w:r>
        <w:rPr>
          <w:rFonts w:ascii="Times New Roman" w:hAnsi="Times New Roman" w:cs="Times New Roman" w:eastAsia="Times New Roman" w:hint="default"/>
          <w:spacing w:val="-5"/>
        </w:rPr>
        <w:t> </w:t>
      </w:r>
      <w:r>
        <w:rPr/>
        <w:t>元。天舟文化员工持股计划（筹）的参与对象为公司部</w:t>
      </w:r>
      <w:r>
        <w:rPr>
          <w:w w:val="100"/>
        </w:rPr>
        <w:t> </w:t>
      </w:r>
      <w:r>
        <w:rPr>
          <w:spacing w:val="-2"/>
        </w:rPr>
        <w:t>分董事、监事、高级管理人员、公司（含控股子公司）的核心及骨干员工。截至本公告日，</w:t>
      </w:r>
      <w:r>
        <w:rPr>
          <w:spacing w:val="-31"/>
        </w:rPr>
        <w:t> </w:t>
      </w:r>
      <w:r>
        <w:rPr>
          <w:spacing w:val="-31"/>
        </w:rPr>
      </w:r>
      <w:r>
        <w:rPr>
          <w:spacing w:val="-3"/>
        </w:rPr>
        <w:t>天舟文化员工持股计划（筹）尚未正式成立。天舟文化董事会将根据有关规定，制定《天舟</w:t>
      </w:r>
      <w:r>
        <w:rPr>
          <w:spacing w:val="-33"/>
        </w:rPr>
        <w:t> </w:t>
      </w:r>
      <w:r>
        <w:rPr>
          <w:spacing w:val="-33"/>
        </w:rPr>
      </w:r>
      <w:r>
        <w:rPr>
          <w:spacing w:val="-5"/>
          <w:w w:val="100"/>
        </w:rPr>
        <w:t>文化员工持股计划（草案）》并经董事会审议通过后，提交公司股东大会表决。</w:t>
      </w:r>
    </w:p>
    <w:p>
      <w:pPr>
        <w:pStyle w:val="Heading6"/>
        <w:spacing w:line="386" w:lineRule="auto" w:before="52"/>
        <w:ind w:left="823" w:right="832" w:firstLine="41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17</w:t>
      </w:r>
      <w:r>
        <w:rPr>
          <w:rFonts w:ascii="Times New Roman" w:hAnsi="Times New Roman" w:cs="Times New Roman" w:eastAsia="Times New Roman" w:hint="default"/>
          <w:spacing w:val="14"/>
        </w:rPr>
        <w:t> </w:t>
      </w:r>
      <w:r>
        <w:rPr>
          <w:spacing w:val="-3"/>
        </w:rPr>
        <w:t>日，公司在巨潮资讯（</w:t>
      </w:r>
      <w:hyperlink r:id="rId9">
        <w:r>
          <w:rPr>
            <w:rFonts w:ascii="Times New Roman" w:hAnsi="Times New Roman" w:cs="Times New Roman" w:eastAsia="Times New Roman" w:hint="default"/>
            <w:spacing w:val="-3"/>
          </w:rPr>
          <w:t>http://www.cninfo.com.cn/</w:t>
        </w:r>
      </w:hyperlink>
      <w:r>
        <w:rPr>
          <w:spacing w:val="-3"/>
        </w:rPr>
        <w:t>）发布了《关于设立员</w:t>
      </w:r>
      <w:r>
        <w:rPr>
          <w:w w:val="100"/>
        </w:rPr>
        <w:t> </w:t>
      </w:r>
      <w:r>
        <w:rPr>
          <w:spacing w:val="-12"/>
          <w:w w:val="100"/>
        </w:rPr>
        <w:t>工持股计划（筹）的提示性公告》（公告编号：</w:t>
      </w:r>
      <w:r>
        <w:rPr>
          <w:rFonts w:ascii="Times New Roman" w:hAnsi="Times New Roman" w:cs="Times New Roman" w:eastAsia="Times New Roman" w:hint="default"/>
          <w:spacing w:val="-12"/>
          <w:w w:val="100"/>
        </w:rPr>
        <w:t>2015-106</w:t>
      </w:r>
      <w:r>
        <w:rPr>
          <w:spacing w:val="-12"/>
          <w:w w:val="100"/>
        </w:rPr>
        <w:t>）。</w:t>
      </w:r>
      <w:r>
        <w:rPr>
          <w:w w:val="100"/>
        </w:rPr>
      </w:r>
    </w:p>
    <w:p>
      <w:pPr>
        <w:spacing w:line="240" w:lineRule="auto" w:before="11"/>
        <w:rPr>
          <w:rFonts w:ascii="宋体" w:hAnsi="宋体" w:cs="宋体" w:eastAsia="宋体" w:hint="default"/>
          <w:sz w:val="17"/>
          <w:szCs w:val="17"/>
        </w:rPr>
      </w:pPr>
    </w:p>
    <w:p>
      <w:pPr>
        <w:pStyle w:val="Heading3"/>
        <w:spacing w:line="240" w:lineRule="auto"/>
        <w:ind w:left="823" w:right="832"/>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left="823" w:right="832"/>
        <w:jc w:val="left"/>
      </w:pPr>
      <w:r>
        <w:rPr/>
        <w:t>□适用√不适用</w:t>
      </w:r>
    </w:p>
    <w:p>
      <w:pPr>
        <w:spacing w:line="240" w:lineRule="auto" w:before="8"/>
        <w:rPr>
          <w:rFonts w:ascii="宋体" w:hAnsi="宋体" w:cs="宋体" w:eastAsia="宋体" w:hint="default"/>
          <w:sz w:val="23"/>
          <w:szCs w:val="23"/>
        </w:rPr>
      </w:pPr>
    </w:p>
    <w:p>
      <w:pPr>
        <w:pStyle w:val="Heading3"/>
        <w:spacing w:line="240" w:lineRule="auto"/>
        <w:ind w:left="823" w:right="832"/>
        <w:jc w:val="left"/>
        <w:rPr>
          <w:b w:val="0"/>
          <w:bCs w:val="0"/>
        </w:rPr>
      </w:pPr>
      <w:r>
        <w:rPr/>
        <w:t>十六、重大合同及其履行情况</w:t>
      </w:r>
      <w:r>
        <w:rPr>
          <w:b w:val="0"/>
          <w:bCs w:val="0"/>
        </w:rPr>
      </w:r>
    </w:p>
    <w:p>
      <w:pPr>
        <w:spacing w:line="240" w:lineRule="auto" w:before="10"/>
        <w:rPr>
          <w:rFonts w:ascii="宋体" w:hAnsi="宋体" w:cs="宋体" w:eastAsia="宋体" w:hint="default"/>
          <w:b/>
          <w:bCs/>
          <w:sz w:val="30"/>
          <w:szCs w:val="30"/>
        </w:rPr>
      </w:pPr>
    </w:p>
    <w:p>
      <w:pPr>
        <w:pStyle w:val="Heading5"/>
        <w:spacing w:line="240" w:lineRule="auto"/>
        <w:ind w:right="832"/>
        <w:jc w:val="left"/>
        <w:rPr>
          <w:b w:val="0"/>
          <w:bCs w:val="0"/>
        </w:rPr>
      </w:pPr>
      <w:r>
        <w:rPr>
          <w:rFonts w:ascii="Times New Roman" w:hAnsi="Times New Roman" w:cs="Times New Roman" w:eastAsia="Times New Roman" w:hint="default"/>
        </w:rPr>
        <w:t>1</w:t>
      </w:r>
      <w:r>
        <w:rPr/>
        <w:t>、托管、承包、租赁事项情况</w:t>
      </w:r>
      <w:r>
        <w:rPr>
          <w:b w:val="0"/>
          <w:bCs w:val="0"/>
        </w:rPr>
      </w:r>
    </w:p>
    <w:p>
      <w:pPr>
        <w:pStyle w:val="Heading6"/>
        <w:spacing w:line="240" w:lineRule="auto" w:before="177"/>
        <w:ind w:left="823" w:right="832"/>
        <w:jc w:val="left"/>
      </w:pPr>
      <w:r>
        <w:rPr/>
        <w:t>□适用√不适用</w:t>
      </w:r>
    </w:p>
    <w:p>
      <w:pPr>
        <w:spacing w:line="240" w:lineRule="auto" w:before="10"/>
        <w:rPr>
          <w:rFonts w:ascii="宋体" w:hAnsi="宋体" w:cs="宋体" w:eastAsia="宋体" w:hint="default"/>
          <w:sz w:val="14"/>
          <w:szCs w:val="14"/>
        </w:rPr>
      </w:pPr>
    </w:p>
    <w:p>
      <w:pPr>
        <w:pStyle w:val="Heading5"/>
        <w:spacing w:line="240" w:lineRule="auto"/>
        <w:ind w:right="832"/>
        <w:jc w:val="left"/>
        <w:rPr>
          <w:b w:val="0"/>
          <w:bCs w:val="0"/>
        </w:rPr>
      </w:pPr>
      <w:r>
        <w:rPr>
          <w:rFonts w:ascii="Times New Roman" w:hAnsi="Times New Roman" w:cs="Times New Roman" w:eastAsia="Times New Roman" w:hint="default"/>
        </w:rPr>
        <w:t>2</w:t>
      </w:r>
      <w:r>
        <w:rPr/>
        <w:t>、重大担保</w:t>
      </w:r>
      <w:r>
        <w:rPr>
          <w:b w:val="0"/>
          <w:bCs w:val="0"/>
        </w:rPr>
      </w:r>
    </w:p>
    <w:p>
      <w:pPr>
        <w:pStyle w:val="Heading6"/>
        <w:spacing w:line="343" w:lineRule="auto" w:before="177"/>
        <w:ind w:left="823" w:right="5023"/>
        <w:jc w:val="left"/>
      </w:pPr>
      <w:r>
        <w:rPr/>
        <w:t>□适用√不适用</w:t>
      </w:r>
      <w:r>
        <w:rPr>
          <w:spacing w:val="-103"/>
        </w:rPr>
        <w:t> </w:t>
      </w:r>
      <w:r>
        <w:rPr>
          <w:spacing w:val="-103"/>
        </w:rPr>
      </w:r>
      <w:r>
        <w:rPr/>
        <w:t>公司报告期不存在担保情况。</w:t>
      </w:r>
    </w:p>
    <w:p>
      <w:pPr>
        <w:spacing w:line="240" w:lineRule="auto" w:before="11"/>
        <w:rPr>
          <w:rFonts w:ascii="宋体" w:hAnsi="宋体" w:cs="宋体" w:eastAsia="宋体" w:hint="default"/>
          <w:sz w:val="18"/>
          <w:szCs w:val="18"/>
        </w:rPr>
      </w:pPr>
    </w:p>
    <w:p>
      <w:pPr>
        <w:pStyle w:val="Heading5"/>
        <w:spacing w:line="240" w:lineRule="auto"/>
        <w:ind w:right="832"/>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832"/>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835"/>
        <w:jc w:val="right"/>
      </w:pPr>
      <w:r>
        <w:rPr/>
        <w:t>单位：万元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800"/>
        <w:gridCol w:w="833"/>
        <w:gridCol w:w="838"/>
        <w:gridCol w:w="874"/>
        <w:gridCol w:w="806"/>
        <w:gridCol w:w="804"/>
        <w:gridCol w:w="802"/>
        <w:gridCol w:w="804"/>
        <w:gridCol w:w="804"/>
        <w:gridCol w:w="802"/>
        <w:gridCol w:w="804"/>
        <w:gridCol w:w="811"/>
      </w:tblGrid>
      <w:tr>
        <w:trPr>
          <w:trHeight w:val="98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02"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7" w:right="53"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50" w:right="74" w:hanging="181"/>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13" w:right="36"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5" w:right="36"/>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5"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8" w:right="3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0" w:right="38"/>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r>
      <w:tr>
        <w:trPr>
          <w:trHeight w:val="67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 w:right="34"/>
              <w:jc w:val="left"/>
              <w:rPr>
                <w:rFonts w:ascii="宋体" w:hAnsi="宋体" w:cs="宋体" w:eastAsia="宋体" w:hint="default"/>
                <w:sz w:val="18"/>
                <w:szCs w:val="18"/>
              </w:rPr>
            </w:pPr>
            <w:r>
              <w:rPr>
                <w:rFonts w:ascii="宋体" w:hAnsi="宋体" w:cs="宋体" w:eastAsia="宋体" w:hint="default"/>
                <w:sz w:val="18"/>
                <w:szCs w:val="18"/>
              </w:rPr>
              <w:t>建行长沙 星沙之行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12" w:right="115"/>
              <w:jc w:val="left"/>
              <w:rPr>
                <w:rFonts w:ascii="宋体" w:hAnsi="宋体" w:cs="宋体" w:eastAsia="宋体" w:hint="default"/>
                <w:sz w:val="20"/>
                <w:szCs w:val="20"/>
              </w:rPr>
            </w:pPr>
            <w:r>
              <w:rPr>
                <w:rFonts w:ascii="宋体" w:hAnsi="宋体" w:cs="宋体" w:eastAsia="宋体" w:hint="default"/>
                <w:sz w:val="20"/>
                <w:szCs w:val="20"/>
              </w:rPr>
              <w:t>湖南乾</w:t>
            </w:r>
            <w:r>
              <w:rPr>
                <w:rFonts w:ascii="宋体" w:hAnsi="宋体" w:cs="宋体" w:eastAsia="宋体" w:hint="default"/>
                <w:w w:val="99"/>
                <w:sz w:val="20"/>
                <w:szCs w:val="20"/>
              </w:rPr>
              <w:t> </w:t>
            </w:r>
            <w:r>
              <w:rPr>
                <w:rFonts w:ascii="宋体" w:hAnsi="宋体" w:cs="宋体" w:eastAsia="宋体" w:hint="default"/>
                <w:sz w:val="20"/>
                <w:szCs w:val="20"/>
              </w:rPr>
              <w:t>元保本</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0"/>
                <w:szCs w:val="20"/>
              </w:rPr>
            </w:pPr>
            <w:r>
              <w:rPr>
                <w:rFonts w:ascii="Times New Roman"/>
                <w:sz w:val="20"/>
              </w:rPr>
              <w:t>3,000.00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sz w:val="20"/>
              </w:rPr>
              <w:t>2015-4-1</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sz w:val="20"/>
              </w:rPr>
              <w:t>2015-6-1</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4.35%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right"/>
              <w:rPr>
                <w:rFonts w:ascii="Times New Roman" w:hAnsi="Times New Roman" w:cs="Times New Roman" w:eastAsia="Times New Roman" w:hint="default"/>
                <w:sz w:val="20"/>
                <w:szCs w:val="20"/>
              </w:rPr>
            </w:pPr>
            <w:r>
              <w:rPr>
                <w:rFonts w:ascii="Times New Roman"/>
                <w:w w:val="95"/>
                <w:sz w:val="20"/>
              </w:rPr>
              <w:t>3,000.00</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23.24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23.24</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23.24</w:t>
            </w:r>
          </w:p>
        </w:tc>
      </w:tr>
      <w:tr>
        <w:trPr>
          <w:trHeight w:val="98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中信银行 长沙分行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5"/>
              <w:jc w:val="center"/>
              <w:rPr>
                <w:rFonts w:ascii="宋体" w:hAnsi="宋体" w:cs="宋体" w:eastAsia="宋体" w:hint="default"/>
                <w:sz w:val="20"/>
                <w:szCs w:val="20"/>
              </w:rPr>
            </w:pPr>
            <w:r>
              <w:rPr>
                <w:rFonts w:ascii="宋体" w:hAnsi="宋体" w:cs="宋体" w:eastAsia="宋体" w:hint="default"/>
                <w:sz w:val="20"/>
                <w:szCs w:val="20"/>
              </w:rPr>
              <w:t>信赢</w:t>
            </w:r>
          </w:p>
          <w:p>
            <w:pPr>
              <w:pStyle w:val="TableParagraph"/>
              <w:spacing w:line="240" w:lineRule="auto" w:before="50"/>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15002 </w:t>
            </w:r>
            <w:r>
              <w:rPr>
                <w:rFonts w:ascii="宋体" w:hAnsi="宋体" w:cs="宋体" w:eastAsia="宋体" w:hint="default"/>
                <w:sz w:val="20"/>
                <w:szCs w:val="20"/>
              </w:rPr>
              <w:t>保</w:t>
            </w:r>
          </w:p>
          <w:p>
            <w:pPr>
              <w:pStyle w:val="TableParagraph"/>
              <w:spacing w:line="240" w:lineRule="auto" w:before="35"/>
              <w:ind w:right="2"/>
              <w:jc w:val="center"/>
              <w:rPr>
                <w:rFonts w:ascii="宋体" w:hAnsi="宋体" w:cs="宋体" w:eastAsia="宋体" w:hint="default"/>
                <w:sz w:val="20"/>
                <w:szCs w:val="20"/>
              </w:rPr>
            </w:pPr>
            <w:r>
              <w:rPr>
                <w:rFonts w:ascii="宋体" w:hAnsi="宋体" w:cs="宋体" w:eastAsia="宋体" w:hint="default"/>
                <w:w w:val="99"/>
                <w:sz w:val="20"/>
                <w:szCs w:val="20"/>
              </w:rPr>
              <w:t>本</w:t>
            </w:r>
            <w:r>
              <w:rPr>
                <w:rFonts w:ascii="宋体" w:hAnsi="宋体" w:cs="宋体" w:eastAsia="宋体" w:hint="default"/>
                <w:sz w:val="20"/>
                <w:szCs w:val="20"/>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3"/>
              <w:jc w:val="center"/>
              <w:rPr>
                <w:rFonts w:ascii="Times New Roman" w:hAnsi="Times New Roman" w:cs="Times New Roman" w:eastAsia="Times New Roman" w:hint="default"/>
                <w:sz w:val="20"/>
                <w:szCs w:val="20"/>
              </w:rPr>
            </w:pPr>
            <w:r>
              <w:rPr>
                <w:rFonts w:ascii="Times New Roman"/>
                <w:sz w:val="20"/>
              </w:rPr>
              <w:t>6,000.00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2015-1-1</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2015-4-1</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4.40%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20"/>
                <w:szCs w:val="20"/>
              </w:rPr>
            </w:pPr>
            <w:r>
              <w:rPr>
                <w:rFonts w:ascii="Times New Roman"/>
                <w:w w:val="95"/>
                <w:sz w:val="20"/>
              </w:rPr>
              <w:t>6,000.00</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65.82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65.82</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sz w:val="18"/>
              </w:rPr>
              <w:t>65.82</w:t>
            </w:r>
          </w:p>
        </w:tc>
      </w:tr>
      <w:tr>
        <w:trPr>
          <w:trHeight w:val="98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 w:right="34"/>
              <w:jc w:val="both"/>
              <w:rPr>
                <w:rFonts w:ascii="宋体" w:hAnsi="宋体" w:cs="宋体" w:eastAsia="宋体" w:hint="default"/>
                <w:sz w:val="18"/>
                <w:szCs w:val="18"/>
              </w:rPr>
            </w:pPr>
            <w:r>
              <w:rPr>
                <w:rFonts w:ascii="宋体" w:hAnsi="宋体" w:cs="宋体" w:eastAsia="宋体" w:hint="default"/>
                <w:sz w:val="18"/>
                <w:szCs w:val="18"/>
              </w:rPr>
              <w:t>招商银行 北京青年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12" w:right="0"/>
              <w:jc w:val="left"/>
              <w:rPr>
                <w:rFonts w:ascii="宋体" w:hAnsi="宋体" w:cs="宋体" w:eastAsia="宋体" w:hint="default"/>
                <w:sz w:val="20"/>
                <w:szCs w:val="20"/>
              </w:rPr>
            </w:pPr>
            <w:r>
              <w:rPr>
                <w:rFonts w:ascii="宋体" w:hAnsi="宋体" w:cs="宋体" w:eastAsia="宋体" w:hint="default"/>
                <w:sz w:val="20"/>
                <w:szCs w:val="20"/>
              </w:rPr>
              <w:t>黄金周</w:t>
            </w:r>
          </w:p>
          <w:p>
            <w:pPr>
              <w:pStyle w:val="TableParagraph"/>
              <w:spacing w:line="240" w:lineRule="auto" w:before="97"/>
              <w:ind w:left="211" w:right="0"/>
              <w:jc w:val="left"/>
              <w:rPr>
                <w:rFonts w:ascii="Times New Roman" w:hAnsi="Times New Roman" w:cs="Times New Roman" w:eastAsia="Times New Roman" w:hint="default"/>
                <w:sz w:val="20"/>
                <w:szCs w:val="20"/>
              </w:rPr>
            </w:pPr>
            <w:r>
              <w:rPr>
                <w:rFonts w:ascii="Times New Roman"/>
                <w:sz w:val="20"/>
              </w:rPr>
              <w:t>1288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3"/>
              <w:jc w:val="center"/>
              <w:rPr>
                <w:rFonts w:ascii="Times New Roman" w:hAnsi="Times New Roman" w:cs="Times New Roman" w:eastAsia="Times New Roman" w:hint="default"/>
                <w:sz w:val="20"/>
                <w:szCs w:val="20"/>
              </w:rPr>
            </w:pPr>
            <w:r>
              <w:rPr>
                <w:rFonts w:ascii="Times New Roman"/>
                <w:sz w:val="20"/>
              </w:rPr>
              <w:t>1,000.00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2014-11-</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14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2015-3-2</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295" w:right="99" w:hanging="202"/>
              <w:jc w:val="left"/>
              <w:rPr>
                <w:rFonts w:ascii="宋体" w:hAnsi="宋体" w:cs="宋体" w:eastAsia="宋体" w:hint="default"/>
                <w:sz w:val="20"/>
                <w:szCs w:val="20"/>
              </w:rPr>
            </w:pPr>
            <w:r>
              <w:rPr>
                <w:rFonts w:ascii="宋体" w:hAnsi="宋体" w:cs="宋体" w:eastAsia="宋体" w:hint="default"/>
                <w:sz w:val="20"/>
                <w:szCs w:val="20"/>
              </w:rPr>
              <w:t>每周结</w:t>
            </w:r>
            <w:r>
              <w:rPr>
                <w:rFonts w:ascii="宋体" w:hAnsi="宋体" w:cs="宋体" w:eastAsia="宋体" w:hint="default"/>
                <w:w w:val="99"/>
                <w:sz w:val="20"/>
                <w:szCs w:val="20"/>
              </w:rPr>
              <w:t> </w:t>
            </w:r>
            <w:r>
              <w:rPr>
                <w:rFonts w:ascii="宋体" w:hAnsi="宋体" w:cs="宋体" w:eastAsia="宋体" w:hint="default"/>
                <w:sz w:val="20"/>
                <w:szCs w:val="20"/>
              </w:rPr>
              <w:t>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20"/>
                <w:szCs w:val="20"/>
              </w:rPr>
            </w:pPr>
            <w:r>
              <w:rPr>
                <w:rFonts w:ascii="Times New Roman"/>
                <w:w w:val="95"/>
                <w:sz w:val="20"/>
              </w:rPr>
              <w:t>1,000.00</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13.42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9.40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9.40</w:t>
            </w:r>
          </w:p>
        </w:tc>
      </w:tr>
      <w:tr>
        <w:trPr>
          <w:trHeight w:val="98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33" w:right="34"/>
              <w:jc w:val="both"/>
              <w:rPr>
                <w:rFonts w:ascii="宋体" w:hAnsi="宋体" w:cs="宋体" w:eastAsia="宋体" w:hint="default"/>
                <w:sz w:val="18"/>
                <w:szCs w:val="18"/>
              </w:rPr>
            </w:pPr>
            <w:r>
              <w:rPr>
                <w:rFonts w:ascii="宋体" w:hAnsi="宋体" w:cs="宋体" w:eastAsia="宋体" w:hint="default"/>
                <w:sz w:val="18"/>
                <w:szCs w:val="18"/>
              </w:rPr>
              <w:t>招商银行 北京青年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12" w:right="0"/>
              <w:jc w:val="left"/>
              <w:rPr>
                <w:rFonts w:ascii="宋体" w:hAnsi="宋体" w:cs="宋体" w:eastAsia="宋体" w:hint="default"/>
                <w:sz w:val="20"/>
                <w:szCs w:val="20"/>
              </w:rPr>
            </w:pPr>
            <w:r>
              <w:rPr>
                <w:rFonts w:ascii="宋体" w:hAnsi="宋体" w:cs="宋体" w:eastAsia="宋体" w:hint="default"/>
                <w:sz w:val="20"/>
                <w:szCs w:val="20"/>
              </w:rPr>
              <w:t>股指赢</w:t>
            </w:r>
          </w:p>
          <w:p>
            <w:pPr>
              <w:pStyle w:val="TableParagraph"/>
              <w:spacing w:line="240" w:lineRule="auto" w:before="97"/>
              <w:ind w:left="163" w:right="0"/>
              <w:jc w:val="left"/>
              <w:rPr>
                <w:rFonts w:ascii="Times New Roman" w:hAnsi="Times New Roman" w:cs="Times New Roman" w:eastAsia="Times New Roman" w:hint="default"/>
                <w:sz w:val="20"/>
                <w:szCs w:val="20"/>
              </w:rPr>
            </w:pPr>
            <w:r>
              <w:rPr>
                <w:rFonts w:ascii="Times New Roman"/>
                <w:sz w:val="20"/>
              </w:rPr>
              <w:t>52258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3"/>
              <w:jc w:val="center"/>
              <w:rPr>
                <w:rFonts w:ascii="Times New Roman" w:hAnsi="Times New Roman" w:cs="Times New Roman" w:eastAsia="Times New Roman" w:hint="default"/>
                <w:sz w:val="20"/>
                <w:szCs w:val="20"/>
              </w:rPr>
            </w:pPr>
            <w:r>
              <w:rPr>
                <w:rFonts w:ascii="Times New Roman"/>
                <w:sz w:val="20"/>
              </w:rPr>
              <w:t>6,000.00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2014-12-</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12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2015-3-1</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295" w:right="99" w:hanging="202"/>
              <w:jc w:val="left"/>
              <w:rPr>
                <w:rFonts w:ascii="宋体" w:hAnsi="宋体" w:cs="宋体" w:eastAsia="宋体" w:hint="default"/>
                <w:sz w:val="20"/>
                <w:szCs w:val="20"/>
              </w:rPr>
            </w:pPr>
            <w:r>
              <w:rPr>
                <w:rFonts w:ascii="宋体" w:hAnsi="宋体" w:cs="宋体" w:eastAsia="宋体" w:hint="default"/>
                <w:sz w:val="20"/>
                <w:szCs w:val="20"/>
              </w:rPr>
              <w:t>到期结</w:t>
            </w:r>
            <w:r>
              <w:rPr>
                <w:rFonts w:ascii="宋体" w:hAnsi="宋体" w:cs="宋体" w:eastAsia="宋体" w:hint="default"/>
                <w:w w:val="99"/>
                <w:sz w:val="20"/>
                <w:szCs w:val="20"/>
              </w:rPr>
              <w:t> </w:t>
            </w:r>
            <w:r>
              <w:rPr>
                <w:rFonts w:ascii="宋体" w:hAnsi="宋体" w:cs="宋体" w:eastAsia="宋体" w:hint="default"/>
                <w:sz w:val="20"/>
                <w:szCs w:val="20"/>
              </w:rPr>
              <w:t>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20"/>
                <w:szCs w:val="20"/>
              </w:rPr>
            </w:pPr>
            <w:r>
              <w:rPr>
                <w:rFonts w:ascii="Times New Roman"/>
                <w:w w:val="95"/>
                <w:sz w:val="20"/>
              </w:rPr>
              <w:t>6,000.00</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67.49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67.49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67.49</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59" w:top="1480" w:bottom="1140" w:left="1020" w:right="860"/>
        </w:sectPr>
      </w:pPr>
    </w:p>
    <w:p>
      <w:pPr>
        <w:spacing w:line="240" w:lineRule="auto" w:before="1"/>
        <w:rPr>
          <w:rFonts w:ascii="Times New Roman" w:hAnsi="Times New Roman" w:cs="Times New Roman" w:eastAsia="Times New Roman"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800"/>
        <w:gridCol w:w="833"/>
        <w:gridCol w:w="838"/>
        <w:gridCol w:w="874"/>
        <w:gridCol w:w="806"/>
        <w:gridCol w:w="804"/>
        <w:gridCol w:w="802"/>
        <w:gridCol w:w="804"/>
        <w:gridCol w:w="804"/>
        <w:gridCol w:w="802"/>
        <w:gridCol w:w="804"/>
        <w:gridCol w:w="811"/>
      </w:tblGrid>
      <w:tr>
        <w:trPr>
          <w:trHeight w:val="98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 w:right="34"/>
              <w:jc w:val="both"/>
              <w:rPr>
                <w:rFonts w:ascii="宋体" w:hAnsi="宋体" w:cs="宋体" w:eastAsia="宋体" w:hint="default"/>
                <w:sz w:val="18"/>
                <w:szCs w:val="18"/>
              </w:rPr>
            </w:pPr>
            <w:r>
              <w:rPr>
                <w:rFonts w:ascii="宋体" w:hAnsi="宋体" w:cs="宋体" w:eastAsia="宋体" w:hint="default"/>
                <w:sz w:val="18"/>
                <w:szCs w:val="18"/>
              </w:rPr>
              <w:t>招商银行 北京青年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12" w:right="0"/>
              <w:jc w:val="left"/>
              <w:rPr>
                <w:rFonts w:ascii="宋体" w:hAnsi="宋体" w:cs="宋体" w:eastAsia="宋体" w:hint="default"/>
                <w:sz w:val="20"/>
                <w:szCs w:val="20"/>
              </w:rPr>
            </w:pPr>
            <w:r>
              <w:rPr>
                <w:rFonts w:ascii="宋体" w:hAnsi="宋体" w:cs="宋体" w:eastAsia="宋体" w:hint="default"/>
                <w:sz w:val="20"/>
                <w:szCs w:val="20"/>
              </w:rPr>
              <w:t>股指赢</w:t>
            </w:r>
          </w:p>
          <w:p>
            <w:pPr>
              <w:pStyle w:val="TableParagraph"/>
              <w:spacing w:line="240" w:lineRule="auto" w:before="97"/>
              <w:ind w:left="163" w:right="0"/>
              <w:jc w:val="left"/>
              <w:rPr>
                <w:rFonts w:ascii="Times New Roman" w:hAnsi="Times New Roman" w:cs="Times New Roman" w:eastAsia="Times New Roman" w:hint="default"/>
                <w:sz w:val="20"/>
                <w:szCs w:val="20"/>
              </w:rPr>
            </w:pPr>
            <w:r>
              <w:rPr>
                <w:rFonts w:ascii="Times New Roman"/>
                <w:sz w:val="20"/>
              </w:rPr>
              <w:t>52264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3"/>
              <w:jc w:val="center"/>
              <w:rPr>
                <w:rFonts w:ascii="Times New Roman" w:hAnsi="Times New Roman" w:cs="Times New Roman" w:eastAsia="Times New Roman" w:hint="default"/>
                <w:sz w:val="20"/>
                <w:szCs w:val="20"/>
              </w:rPr>
            </w:pPr>
            <w:r>
              <w:rPr>
                <w:rFonts w:ascii="Times New Roman"/>
                <w:sz w:val="20"/>
              </w:rPr>
              <w:t>2,000.00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2014-12-</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26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2015-4-2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295" w:right="99" w:hanging="202"/>
              <w:jc w:val="left"/>
              <w:rPr>
                <w:rFonts w:ascii="宋体" w:hAnsi="宋体" w:cs="宋体" w:eastAsia="宋体" w:hint="default"/>
                <w:sz w:val="20"/>
                <w:szCs w:val="20"/>
              </w:rPr>
            </w:pPr>
            <w:r>
              <w:rPr>
                <w:rFonts w:ascii="宋体" w:hAnsi="宋体" w:cs="宋体" w:eastAsia="宋体" w:hint="default"/>
                <w:sz w:val="20"/>
                <w:szCs w:val="20"/>
              </w:rPr>
              <w:t>到期结</w:t>
            </w:r>
            <w:r>
              <w:rPr>
                <w:rFonts w:ascii="宋体" w:hAnsi="宋体" w:cs="宋体" w:eastAsia="宋体" w:hint="default"/>
                <w:w w:val="99"/>
                <w:sz w:val="20"/>
                <w:szCs w:val="20"/>
              </w:rPr>
              <w:t> </w:t>
            </w:r>
            <w:r>
              <w:rPr>
                <w:rFonts w:ascii="宋体" w:hAnsi="宋体" w:cs="宋体" w:eastAsia="宋体" w:hint="default"/>
                <w:sz w:val="20"/>
                <w:szCs w:val="20"/>
              </w:rPr>
              <w:t>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2,000.00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24.58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24.58</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 w:right="0"/>
              <w:jc w:val="center"/>
              <w:rPr>
                <w:rFonts w:ascii="Times New Roman" w:hAnsi="Times New Roman" w:cs="Times New Roman" w:eastAsia="Times New Roman" w:hint="default"/>
                <w:sz w:val="18"/>
                <w:szCs w:val="18"/>
              </w:rPr>
            </w:pPr>
            <w:r>
              <w:rPr>
                <w:rFonts w:ascii="Times New Roman"/>
                <w:sz w:val="18"/>
              </w:rPr>
              <w:t>24.58</w:t>
            </w:r>
          </w:p>
        </w:tc>
      </w:tr>
      <w:tr>
        <w:trPr>
          <w:trHeight w:val="98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 w:right="34"/>
              <w:jc w:val="both"/>
              <w:rPr>
                <w:rFonts w:ascii="宋体" w:hAnsi="宋体" w:cs="宋体" w:eastAsia="宋体" w:hint="default"/>
                <w:sz w:val="18"/>
                <w:szCs w:val="18"/>
              </w:rPr>
            </w:pPr>
            <w:r>
              <w:rPr>
                <w:rFonts w:ascii="宋体" w:hAnsi="宋体" w:cs="宋体" w:eastAsia="宋体" w:hint="default"/>
                <w:sz w:val="18"/>
                <w:szCs w:val="18"/>
              </w:rPr>
              <w:t>招商银行 北京青年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12" w:right="0"/>
              <w:jc w:val="left"/>
              <w:rPr>
                <w:rFonts w:ascii="宋体" w:hAnsi="宋体" w:cs="宋体" w:eastAsia="宋体" w:hint="default"/>
                <w:sz w:val="20"/>
                <w:szCs w:val="20"/>
              </w:rPr>
            </w:pPr>
            <w:r>
              <w:rPr>
                <w:rFonts w:ascii="宋体" w:hAnsi="宋体" w:cs="宋体" w:eastAsia="宋体" w:hint="default"/>
                <w:sz w:val="20"/>
                <w:szCs w:val="20"/>
              </w:rPr>
              <w:t>黄金周</w:t>
            </w:r>
          </w:p>
          <w:p>
            <w:pPr>
              <w:pStyle w:val="TableParagraph"/>
              <w:spacing w:line="240" w:lineRule="auto" w:before="97"/>
              <w:ind w:left="211" w:right="0"/>
              <w:jc w:val="left"/>
              <w:rPr>
                <w:rFonts w:ascii="Times New Roman" w:hAnsi="Times New Roman" w:cs="Times New Roman" w:eastAsia="Times New Roman" w:hint="default"/>
                <w:sz w:val="20"/>
                <w:szCs w:val="20"/>
              </w:rPr>
            </w:pPr>
            <w:r>
              <w:rPr>
                <w:rFonts w:ascii="Times New Roman"/>
                <w:sz w:val="20"/>
              </w:rPr>
              <w:t>1288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500.00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Times New Roman" w:hAnsi="Times New Roman" w:cs="Times New Roman" w:eastAsia="Times New Roman" w:hint="default"/>
                <w:sz w:val="20"/>
                <w:szCs w:val="20"/>
              </w:rPr>
            </w:pPr>
            <w:r>
              <w:rPr>
                <w:rFonts w:ascii="Times New Roman"/>
                <w:sz w:val="20"/>
              </w:rPr>
              <w:t>2014-11-</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14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2015-3-2</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295" w:right="99" w:hanging="202"/>
              <w:jc w:val="left"/>
              <w:rPr>
                <w:rFonts w:ascii="宋体" w:hAnsi="宋体" w:cs="宋体" w:eastAsia="宋体" w:hint="default"/>
                <w:sz w:val="20"/>
                <w:szCs w:val="20"/>
              </w:rPr>
            </w:pPr>
            <w:r>
              <w:rPr>
                <w:rFonts w:ascii="宋体" w:hAnsi="宋体" w:cs="宋体" w:eastAsia="宋体" w:hint="default"/>
                <w:sz w:val="20"/>
                <w:szCs w:val="20"/>
              </w:rPr>
              <w:t>每周结</w:t>
            </w:r>
            <w:r>
              <w:rPr>
                <w:rFonts w:ascii="宋体" w:hAnsi="宋体" w:cs="宋体" w:eastAsia="宋体" w:hint="default"/>
                <w:w w:val="99"/>
                <w:sz w:val="20"/>
                <w:szCs w:val="20"/>
              </w:rPr>
              <w:t> </w:t>
            </w:r>
            <w:r>
              <w:rPr>
                <w:rFonts w:ascii="宋体" w:hAnsi="宋体" w:cs="宋体" w:eastAsia="宋体" w:hint="default"/>
                <w:sz w:val="20"/>
                <w:szCs w:val="20"/>
              </w:rPr>
              <w:t>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2"/>
              <w:jc w:val="center"/>
              <w:rPr>
                <w:rFonts w:ascii="Times New Roman" w:hAnsi="Times New Roman" w:cs="Times New Roman" w:eastAsia="Times New Roman" w:hint="default"/>
                <w:sz w:val="20"/>
                <w:szCs w:val="20"/>
              </w:rPr>
            </w:pPr>
            <w:r>
              <w:rPr>
                <w:rFonts w:ascii="Times New Roman"/>
                <w:sz w:val="20"/>
              </w:rPr>
              <w:t>500.00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6.71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4.70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 w:right="0"/>
              <w:jc w:val="center"/>
              <w:rPr>
                <w:rFonts w:ascii="Times New Roman" w:hAnsi="Times New Roman" w:cs="Times New Roman" w:eastAsia="Times New Roman" w:hint="default"/>
                <w:sz w:val="18"/>
                <w:szCs w:val="18"/>
              </w:rPr>
            </w:pPr>
            <w:r>
              <w:rPr>
                <w:rFonts w:ascii="Times New Roman"/>
                <w:sz w:val="18"/>
              </w:rPr>
              <w:t>4.70</w:t>
            </w:r>
          </w:p>
        </w:tc>
      </w:tr>
      <w:tr>
        <w:trPr>
          <w:trHeight w:val="98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 w:right="34"/>
              <w:jc w:val="both"/>
              <w:rPr>
                <w:rFonts w:ascii="宋体" w:hAnsi="宋体" w:cs="宋体" w:eastAsia="宋体" w:hint="default"/>
                <w:sz w:val="18"/>
                <w:szCs w:val="18"/>
              </w:rPr>
            </w:pPr>
            <w:r>
              <w:rPr>
                <w:rFonts w:ascii="宋体" w:hAnsi="宋体" w:cs="宋体" w:eastAsia="宋体" w:hint="default"/>
                <w:sz w:val="18"/>
                <w:szCs w:val="18"/>
              </w:rPr>
              <w:t>招商银行 北京青年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12" w:right="0"/>
              <w:jc w:val="left"/>
              <w:rPr>
                <w:rFonts w:ascii="宋体" w:hAnsi="宋体" w:cs="宋体" w:eastAsia="宋体" w:hint="default"/>
                <w:sz w:val="20"/>
                <w:szCs w:val="20"/>
              </w:rPr>
            </w:pPr>
            <w:r>
              <w:rPr>
                <w:rFonts w:ascii="宋体" w:hAnsi="宋体" w:cs="宋体" w:eastAsia="宋体" w:hint="default"/>
                <w:sz w:val="20"/>
                <w:szCs w:val="20"/>
              </w:rPr>
              <w:t>股指赢</w:t>
            </w:r>
          </w:p>
          <w:p>
            <w:pPr>
              <w:pStyle w:val="TableParagraph"/>
              <w:spacing w:line="240" w:lineRule="auto" w:before="97"/>
              <w:ind w:left="163" w:right="0"/>
              <w:jc w:val="left"/>
              <w:rPr>
                <w:rFonts w:ascii="Times New Roman" w:hAnsi="Times New Roman" w:cs="Times New Roman" w:eastAsia="Times New Roman" w:hint="default"/>
                <w:sz w:val="20"/>
                <w:szCs w:val="20"/>
              </w:rPr>
            </w:pPr>
            <w:r>
              <w:rPr>
                <w:rFonts w:ascii="Times New Roman"/>
                <w:sz w:val="20"/>
              </w:rPr>
              <w:t>52264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400.00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2014-12-</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26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2015-4-2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295" w:right="99" w:hanging="202"/>
              <w:jc w:val="left"/>
              <w:rPr>
                <w:rFonts w:ascii="宋体" w:hAnsi="宋体" w:cs="宋体" w:eastAsia="宋体" w:hint="default"/>
                <w:sz w:val="20"/>
                <w:szCs w:val="20"/>
              </w:rPr>
            </w:pPr>
            <w:r>
              <w:rPr>
                <w:rFonts w:ascii="宋体" w:hAnsi="宋体" w:cs="宋体" w:eastAsia="宋体" w:hint="default"/>
                <w:sz w:val="20"/>
                <w:szCs w:val="20"/>
              </w:rPr>
              <w:t>到期结</w:t>
            </w:r>
            <w:r>
              <w:rPr>
                <w:rFonts w:ascii="宋体" w:hAnsi="宋体" w:cs="宋体" w:eastAsia="宋体" w:hint="default"/>
                <w:w w:val="99"/>
                <w:sz w:val="20"/>
                <w:szCs w:val="20"/>
              </w:rPr>
              <w:t> </w:t>
            </w:r>
            <w:r>
              <w:rPr>
                <w:rFonts w:ascii="宋体" w:hAnsi="宋体" w:cs="宋体" w:eastAsia="宋体" w:hint="default"/>
                <w:sz w:val="20"/>
                <w:szCs w:val="20"/>
              </w:rPr>
              <w:t>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2"/>
              <w:jc w:val="center"/>
              <w:rPr>
                <w:rFonts w:ascii="Times New Roman" w:hAnsi="Times New Roman" w:cs="Times New Roman" w:eastAsia="Times New Roman" w:hint="default"/>
                <w:sz w:val="20"/>
                <w:szCs w:val="20"/>
              </w:rPr>
            </w:pPr>
            <w:r>
              <w:rPr>
                <w:rFonts w:ascii="Times New Roman"/>
                <w:sz w:val="20"/>
              </w:rPr>
              <w:t>400.00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4.92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4.92</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 w:right="0"/>
              <w:jc w:val="center"/>
              <w:rPr>
                <w:rFonts w:ascii="Times New Roman" w:hAnsi="Times New Roman" w:cs="Times New Roman" w:eastAsia="Times New Roman" w:hint="default"/>
                <w:sz w:val="18"/>
                <w:szCs w:val="18"/>
              </w:rPr>
            </w:pPr>
            <w:r>
              <w:rPr>
                <w:rFonts w:ascii="Times New Roman"/>
                <w:sz w:val="18"/>
              </w:rPr>
              <w:t>4.92</w:t>
            </w:r>
          </w:p>
        </w:tc>
      </w:tr>
      <w:tr>
        <w:trPr>
          <w:trHeight w:val="98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33" w:right="34"/>
              <w:jc w:val="both"/>
              <w:rPr>
                <w:rFonts w:ascii="宋体" w:hAnsi="宋体" w:cs="宋体" w:eastAsia="宋体" w:hint="default"/>
                <w:sz w:val="18"/>
                <w:szCs w:val="18"/>
              </w:rPr>
            </w:pPr>
            <w:r>
              <w:rPr>
                <w:rFonts w:ascii="宋体" w:hAnsi="宋体" w:cs="宋体" w:eastAsia="宋体" w:hint="default"/>
                <w:sz w:val="18"/>
                <w:szCs w:val="18"/>
              </w:rPr>
              <w:t>农业银行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12" w:right="115"/>
              <w:jc w:val="left"/>
              <w:rPr>
                <w:rFonts w:ascii="宋体" w:hAnsi="宋体" w:cs="宋体" w:eastAsia="宋体" w:hint="default"/>
                <w:sz w:val="20"/>
                <w:szCs w:val="20"/>
              </w:rPr>
            </w:pPr>
            <w:r>
              <w:rPr>
                <w:rFonts w:ascii="宋体" w:hAnsi="宋体" w:cs="宋体" w:eastAsia="宋体" w:hint="default"/>
                <w:sz w:val="20"/>
                <w:szCs w:val="20"/>
              </w:rPr>
              <w:t>本利丰</w:t>
            </w:r>
            <w:r>
              <w:rPr>
                <w:rFonts w:ascii="宋体" w:hAnsi="宋体" w:cs="宋体" w:eastAsia="宋体" w:hint="default"/>
                <w:w w:val="99"/>
                <w:sz w:val="20"/>
                <w:szCs w:val="20"/>
              </w:rPr>
              <w:t> </w:t>
            </w:r>
            <w:r>
              <w:rPr>
                <w:rFonts w:ascii="宋体" w:hAnsi="宋体" w:cs="宋体" w:eastAsia="宋体" w:hint="default"/>
                <w:sz w:val="20"/>
                <w:szCs w:val="20"/>
              </w:rPr>
              <w:t>天天利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0"/>
              <w:jc w:val="center"/>
              <w:rPr>
                <w:rFonts w:ascii="Times New Roman" w:hAnsi="Times New Roman" w:cs="Times New Roman" w:eastAsia="Times New Roman" w:hint="default"/>
                <w:sz w:val="20"/>
                <w:szCs w:val="20"/>
              </w:rPr>
            </w:pPr>
            <w:r>
              <w:rPr>
                <w:rFonts w:ascii="Times New Roman"/>
                <w:sz w:val="20"/>
              </w:rPr>
              <w:t>220.00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2014-9-1</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2015-2-2</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2.3%-2.7</w:t>
            </w:r>
          </w:p>
          <w:p>
            <w:pPr>
              <w:pStyle w:val="TableParagraph"/>
              <w:spacing w:line="240" w:lineRule="auto" w:before="35"/>
              <w:ind w:left="11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浮动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2"/>
              <w:jc w:val="center"/>
              <w:rPr>
                <w:rFonts w:ascii="Times New Roman" w:hAnsi="Times New Roman" w:cs="Times New Roman" w:eastAsia="Times New Roman" w:hint="default"/>
                <w:sz w:val="20"/>
                <w:szCs w:val="20"/>
              </w:rPr>
            </w:pPr>
            <w:r>
              <w:rPr>
                <w:rFonts w:ascii="Times New Roman"/>
                <w:sz w:val="20"/>
              </w:rPr>
              <w:t>220.00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2.26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1.84</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3" w:right="0"/>
              <w:jc w:val="center"/>
              <w:rPr>
                <w:rFonts w:ascii="Times New Roman" w:hAnsi="Times New Roman" w:cs="Times New Roman" w:eastAsia="Times New Roman" w:hint="default"/>
                <w:sz w:val="18"/>
                <w:szCs w:val="18"/>
              </w:rPr>
            </w:pPr>
            <w:r>
              <w:rPr>
                <w:rFonts w:ascii="Times New Roman"/>
                <w:sz w:val="18"/>
              </w:rPr>
              <w:t>1.84</w:t>
            </w:r>
          </w:p>
        </w:tc>
      </w:tr>
      <w:tr>
        <w:trPr>
          <w:trHeight w:val="98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 w:right="34"/>
              <w:jc w:val="both"/>
              <w:rPr>
                <w:rFonts w:ascii="宋体" w:hAnsi="宋体" w:cs="宋体" w:eastAsia="宋体" w:hint="default"/>
                <w:sz w:val="18"/>
                <w:szCs w:val="18"/>
              </w:rPr>
            </w:pPr>
            <w:r>
              <w:rPr>
                <w:rFonts w:ascii="宋体" w:hAnsi="宋体" w:cs="宋体" w:eastAsia="宋体" w:hint="default"/>
                <w:sz w:val="18"/>
                <w:szCs w:val="18"/>
              </w:rPr>
              <w:t>农业银行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12" w:right="115"/>
              <w:jc w:val="left"/>
              <w:rPr>
                <w:rFonts w:ascii="宋体" w:hAnsi="宋体" w:cs="宋体" w:eastAsia="宋体" w:hint="default"/>
                <w:sz w:val="20"/>
                <w:szCs w:val="20"/>
              </w:rPr>
            </w:pPr>
            <w:r>
              <w:rPr>
                <w:rFonts w:ascii="宋体" w:hAnsi="宋体" w:cs="宋体" w:eastAsia="宋体" w:hint="default"/>
                <w:sz w:val="20"/>
                <w:szCs w:val="20"/>
              </w:rPr>
              <w:t>本利丰</w:t>
            </w:r>
            <w:r>
              <w:rPr>
                <w:rFonts w:ascii="宋体" w:hAnsi="宋体" w:cs="宋体" w:eastAsia="宋体" w:hint="default"/>
                <w:w w:val="99"/>
                <w:sz w:val="20"/>
                <w:szCs w:val="20"/>
              </w:rPr>
              <w:t> </w:t>
            </w:r>
            <w:r>
              <w:rPr>
                <w:rFonts w:ascii="宋体" w:hAnsi="宋体" w:cs="宋体" w:eastAsia="宋体" w:hint="default"/>
                <w:sz w:val="20"/>
                <w:szCs w:val="20"/>
              </w:rPr>
              <w:t>天天利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100.00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2014-12-</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2015-2-2</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2.3%-2.7</w:t>
            </w:r>
          </w:p>
          <w:p>
            <w:pPr>
              <w:pStyle w:val="TableParagraph"/>
              <w:spacing w:line="240" w:lineRule="auto" w:before="35"/>
              <w:ind w:left="11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浮动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2"/>
              <w:jc w:val="center"/>
              <w:rPr>
                <w:rFonts w:ascii="Times New Roman" w:hAnsi="Times New Roman" w:cs="Times New Roman" w:eastAsia="Times New Roman" w:hint="default"/>
                <w:sz w:val="20"/>
                <w:szCs w:val="20"/>
              </w:rPr>
            </w:pPr>
            <w:r>
              <w:rPr>
                <w:rFonts w:ascii="Times New Roman"/>
                <w:sz w:val="20"/>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1.04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0.83</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 w:right="0"/>
              <w:jc w:val="center"/>
              <w:rPr>
                <w:rFonts w:ascii="Times New Roman" w:hAnsi="Times New Roman" w:cs="Times New Roman" w:eastAsia="Times New Roman" w:hint="default"/>
                <w:sz w:val="18"/>
                <w:szCs w:val="18"/>
              </w:rPr>
            </w:pPr>
            <w:r>
              <w:rPr>
                <w:rFonts w:ascii="Times New Roman"/>
                <w:sz w:val="18"/>
              </w:rPr>
              <w:t>0.83</w:t>
            </w:r>
          </w:p>
        </w:tc>
      </w:tr>
      <w:tr>
        <w:trPr>
          <w:trHeight w:val="98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 w:right="34"/>
              <w:jc w:val="both"/>
              <w:rPr>
                <w:rFonts w:ascii="宋体" w:hAnsi="宋体" w:cs="宋体" w:eastAsia="宋体" w:hint="default"/>
                <w:sz w:val="18"/>
                <w:szCs w:val="18"/>
              </w:rPr>
            </w:pPr>
            <w:r>
              <w:rPr>
                <w:rFonts w:ascii="宋体" w:hAnsi="宋体" w:cs="宋体" w:eastAsia="宋体" w:hint="default"/>
                <w:sz w:val="18"/>
                <w:szCs w:val="18"/>
              </w:rPr>
              <w:t>农业银行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12" w:right="115"/>
              <w:jc w:val="left"/>
              <w:rPr>
                <w:rFonts w:ascii="宋体" w:hAnsi="宋体" w:cs="宋体" w:eastAsia="宋体" w:hint="default"/>
                <w:sz w:val="20"/>
                <w:szCs w:val="20"/>
              </w:rPr>
            </w:pPr>
            <w:r>
              <w:rPr>
                <w:rFonts w:ascii="宋体" w:hAnsi="宋体" w:cs="宋体" w:eastAsia="宋体" w:hint="default"/>
                <w:sz w:val="20"/>
                <w:szCs w:val="20"/>
              </w:rPr>
              <w:t>本利丰</w:t>
            </w:r>
            <w:r>
              <w:rPr>
                <w:rFonts w:ascii="宋体" w:hAnsi="宋体" w:cs="宋体" w:eastAsia="宋体" w:hint="default"/>
                <w:w w:val="99"/>
                <w:sz w:val="20"/>
                <w:szCs w:val="20"/>
              </w:rPr>
              <w:t> </w:t>
            </w:r>
            <w:r>
              <w:rPr>
                <w:rFonts w:ascii="宋体" w:hAnsi="宋体" w:cs="宋体" w:eastAsia="宋体" w:hint="default"/>
                <w:sz w:val="20"/>
                <w:szCs w:val="20"/>
              </w:rPr>
              <w:t>天天利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100.00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2014-12-</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2015-5-1</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2.3%-2.7</w:t>
            </w:r>
          </w:p>
          <w:p>
            <w:pPr>
              <w:pStyle w:val="TableParagraph"/>
              <w:spacing w:line="240" w:lineRule="auto" w:before="35"/>
              <w:ind w:left="11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浮动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2"/>
              <w:jc w:val="center"/>
              <w:rPr>
                <w:rFonts w:ascii="Times New Roman" w:hAnsi="Times New Roman" w:cs="Times New Roman" w:eastAsia="Times New Roman" w:hint="default"/>
                <w:sz w:val="20"/>
                <w:szCs w:val="20"/>
              </w:rPr>
            </w:pPr>
            <w:r>
              <w:rPr>
                <w:rFonts w:ascii="Times New Roman"/>
                <w:sz w:val="20"/>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0.59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0.59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 w:right="0"/>
              <w:jc w:val="center"/>
              <w:rPr>
                <w:rFonts w:ascii="Times New Roman" w:hAnsi="Times New Roman" w:cs="Times New Roman" w:eastAsia="Times New Roman" w:hint="default"/>
                <w:sz w:val="18"/>
                <w:szCs w:val="18"/>
              </w:rPr>
            </w:pPr>
            <w:r>
              <w:rPr>
                <w:rFonts w:ascii="Times New Roman"/>
                <w:sz w:val="18"/>
              </w:rPr>
              <w:t>0.59</w:t>
            </w:r>
          </w:p>
        </w:tc>
      </w:tr>
      <w:tr>
        <w:trPr>
          <w:trHeight w:val="98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33" w:right="35"/>
              <w:jc w:val="both"/>
              <w:rPr>
                <w:rFonts w:ascii="宋体" w:hAnsi="宋体" w:cs="宋体" w:eastAsia="宋体" w:hint="default"/>
                <w:sz w:val="18"/>
                <w:szCs w:val="18"/>
              </w:rPr>
            </w:pPr>
            <w:r>
              <w:rPr>
                <w:rFonts w:ascii="宋体" w:hAnsi="宋体" w:cs="宋体" w:eastAsia="宋体" w:hint="default"/>
                <w:sz w:val="18"/>
                <w:szCs w:val="18"/>
              </w:rPr>
              <w:t>浦发银行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12" w:right="113"/>
              <w:jc w:val="left"/>
              <w:rPr>
                <w:rFonts w:ascii="宋体" w:hAnsi="宋体" w:cs="宋体" w:eastAsia="宋体" w:hint="default"/>
                <w:sz w:val="20"/>
                <w:szCs w:val="20"/>
              </w:rPr>
            </w:pPr>
            <w:r>
              <w:rPr>
                <w:rFonts w:ascii="宋体" w:hAnsi="宋体" w:cs="宋体" w:eastAsia="宋体" w:hint="default"/>
                <w:sz w:val="20"/>
                <w:szCs w:val="20"/>
              </w:rPr>
              <w:t>财富班</w:t>
            </w:r>
            <w:r>
              <w:rPr>
                <w:rFonts w:ascii="宋体" w:hAnsi="宋体" w:cs="宋体" w:eastAsia="宋体" w:hint="default"/>
                <w:w w:val="99"/>
                <w:sz w:val="20"/>
                <w:szCs w:val="20"/>
              </w:rPr>
              <w:t> </w:t>
            </w:r>
            <w:r>
              <w:rPr>
                <w:rFonts w:ascii="宋体" w:hAnsi="宋体" w:cs="宋体" w:eastAsia="宋体" w:hint="default"/>
                <w:sz w:val="20"/>
                <w:szCs w:val="20"/>
              </w:rPr>
              <w:t>车</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 </w:t>
            </w:r>
            <w:r>
              <w:rPr>
                <w:rFonts w:ascii="宋体" w:hAnsi="宋体" w:cs="宋体" w:eastAsia="宋体" w:hint="default"/>
                <w:sz w:val="20"/>
                <w:szCs w:val="20"/>
              </w:rPr>
              <w:t>号</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60.00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2014-12-</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2015-1-2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4.20%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60.00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0.23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0.23</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 w:right="0"/>
              <w:jc w:val="center"/>
              <w:rPr>
                <w:rFonts w:ascii="Times New Roman" w:hAnsi="Times New Roman" w:cs="Times New Roman" w:eastAsia="Times New Roman" w:hint="default"/>
                <w:sz w:val="18"/>
                <w:szCs w:val="18"/>
              </w:rPr>
            </w:pPr>
            <w:r>
              <w:rPr>
                <w:rFonts w:ascii="Times New Roman"/>
                <w:sz w:val="18"/>
              </w:rPr>
              <w:t>0.23</w:t>
            </w:r>
          </w:p>
        </w:tc>
      </w:tr>
      <w:tr>
        <w:trPr>
          <w:trHeight w:val="98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 w:right="34"/>
              <w:jc w:val="both"/>
              <w:rPr>
                <w:rFonts w:ascii="宋体" w:hAnsi="宋体" w:cs="宋体" w:eastAsia="宋体" w:hint="default"/>
                <w:sz w:val="18"/>
                <w:szCs w:val="18"/>
              </w:rPr>
            </w:pPr>
            <w:r>
              <w:rPr>
                <w:rFonts w:ascii="宋体" w:hAnsi="宋体" w:cs="宋体" w:eastAsia="宋体" w:hint="default"/>
                <w:sz w:val="18"/>
                <w:szCs w:val="18"/>
              </w:rPr>
              <w:t>农业银行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12" w:right="115"/>
              <w:jc w:val="left"/>
              <w:rPr>
                <w:rFonts w:ascii="宋体" w:hAnsi="宋体" w:cs="宋体" w:eastAsia="宋体" w:hint="default"/>
                <w:sz w:val="20"/>
                <w:szCs w:val="20"/>
              </w:rPr>
            </w:pPr>
            <w:r>
              <w:rPr>
                <w:rFonts w:ascii="宋体" w:hAnsi="宋体" w:cs="宋体" w:eastAsia="宋体" w:hint="default"/>
                <w:sz w:val="20"/>
                <w:szCs w:val="20"/>
              </w:rPr>
              <w:t>本利丰</w:t>
            </w:r>
            <w:r>
              <w:rPr>
                <w:rFonts w:ascii="宋体" w:hAnsi="宋体" w:cs="宋体" w:eastAsia="宋体" w:hint="default"/>
                <w:w w:val="99"/>
                <w:sz w:val="20"/>
                <w:szCs w:val="20"/>
              </w:rPr>
              <w:t> </w:t>
            </w:r>
            <w:r>
              <w:rPr>
                <w:rFonts w:ascii="宋体" w:hAnsi="宋体" w:cs="宋体" w:eastAsia="宋体" w:hint="default"/>
                <w:sz w:val="20"/>
                <w:szCs w:val="20"/>
              </w:rPr>
              <w:t>天天利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400.00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31" w:right="0"/>
              <w:jc w:val="left"/>
              <w:rPr>
                <w:rFonts w:ascii="Times New Roman" w:hAnsi="Times New Roman" w:cs="Times New Roman" w:eastAsia="Times New Roman" w:hint="default"/>
                <w:sz w:val="20"/>
                <w:szCs w:val="20"/>
              </w:rPr>
            </w:pPr>
            <w:r>
              <w:rPr>
                <w:rFonts w:ascii="Times New Roman"/>
                <w:sz w:val="20"/>
              </w:rPr>
              <w:t>2015-1-5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2015-2-9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2"/>
              <w:jc w:val="center"/>
              <w:rPr>
                <w:rFonts w:ascii="Times New Roman" w:hAnsi="Times New Roman" w:cs="Times New Roman" w:eastAsia="Times New Roman" w:hint="default"/>
                <w:sz w:val="20"/>
                <w:szCs w:val="20"/>
              </w:rPr>
            </w:pPr>
            <w:r>
              <w:rPr>
                <w:rFonts w:ascii="Times New Roman"/>
                <w:sz w:val="20"/>
              </w:rPr>
              <w:t>400.00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1.49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1.49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 w:right="0"/>
              <w:jc w:val="center"/>
              <w:rPr>
                <w:rFonts w:ascii="Times New Roman" w:hAnsi="Times New Roman" w:cs="Times New Roman" w:eastAsia="Times New Roman" w:hint="default"/>
                <w:sz w:val="18"/>
                <w:szCs w:val="18"/>
              </w:rPr>
            </w:pPr>
            <w:r>
              <w:rPr>
                <w:rFonts w:ascii="Times New Roman"/>
                <w:sz w:val="18"/>
              </w:rPr>
              <w:t>1.49</w:t>
            </w:r>
          </w:p>
        </w:tc>
      </w:tr>
      <w:tr>
        <w:trPr>
          <w:trHeight w:val="98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 w:right="34"/>
              <w:jc w:val="both"/>
              <w:rPr>
                <w:rFonts w:ascii="宋体" w:hAnsi="宋体" w:cs="宋体" w:eastAsia="宋体" w:hint="default"/>
                <w:sz w:val="18"/>
                <w:szCs w:val="18"/>
              </w:rPr>
            </w:pPr>
            <w:r>
              <w:rPr>
                <w:rFonts w:ascii="宋体" w:hAnsi="宋体" w:cs="宋体" w:eastAsia="宋体" w:hint="default"/>
                <w:sz w:val="18"/>
                <w:szCs w:val="18"/>
              </w:rPr>
              <w:t>农业银行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12" w:right="115"/>
              <w:jc w:val="left"/>
              <w:rPr>
                <w:rFonts w:ascii="宋体" w:hAnsi="宋体" w:cs="宋体" w:eastAsia="宋体" w:hint="default"/>
                <w:sz w:val="20"/>
                <w:szCs w:val="20"/>
              </w:rPr>
            </w:pPr>
            <w:r>
              <w:rPr>
                <w:rFonts w:ascii="宋体" w:hAnsi="宋体" w:cs="宋体" w:eastAsia="宋体" w:hint="default"/>
                <w:sz w:val="20"/>
                <w:szCs w:val="20"/>
              </w:rPr>
              <w:t>本利丰</w:t>
            </w:r>
            <w:r>
              <w:rPr>
                <w:rFonts w:ascii="宋体" w:hAnsi="宋体" w:cs="宋体" w:eastAsia="宋体" w:hint="default"/>
                <w:w w:val="99"/>
                <w:sz w:val="20"/>
                <w:szCs w:val="20"/>
              </w:rPr>
              <w:t> </w:t>
            </w:r>
            <w:r>
              <w:rPr>
                <w:rFonts w:ascii="宋体" w:hAnsi="宋体" w:cs="宋体" w:eastAsia="宋体" w:hint="default"/>
                <w:sz w:val="20"/>
                <w:szCs w:val="20"/>
              </w:rPr>
              <w:t>天天利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150.00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 w:right="0"/>
              <w:jc w:val="center"/>
              <w:rPr>
                <w:rFonts w:ascii="Times New Roman" w:hAnsi="Times New Roman" w:cs="Times New Roman" w:eastAsia="Times New Roman" w:hint="default"/>
                <w:sz w:val="20"/>
                <w:szCs w:val="20"/>
              </w:rPr>
            </w:pPr>
            <w:r>
              <w:rPr>
                <w:rFonts w:ascii="Times New Roman"/>
                <w:sz w:val="20"/>
              </w:rPr>
              <w:t>2015-2-1</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2015-3-1</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2.3%-2.7</w:t>
            </w:r>
          </w:p>
          <w:p>
            <w:pPr>
              <w:pStyle w:val="TableParagraph"/>
              <w:spacing w:line="240" w:lineRule="auto" w:before="35"/>
              <w:ind w:left="11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浮动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2"/>
              <w:jc w:val="center"/>
              <w:rPr>
                <w:rFonts w:ascii="Times New Roman" w:hAnsi="Times New Roman" w:cs="Times New Roman" w:eastAsia="Times New Roman" w:hint="default"/>
                <w:sz w:val="20"/>
                <w:szCs w:val="20"/>
              </w:rPr>
            </w:pPr>
            <w:r>
              <w:rPr>
                <w:rFonts w:ascii="Times New Roman"/>
                <w:sz w:val="20"/>
              </w:rPr>
              <w:t>150.00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0.71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0.71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 w:right="0"/>
              <w:jc w:val="center"/>
              <w:rPr>
                <w:rFonts w:ascii="Times New Roman" w:hAnsi="Times New Roman" w:cs="Times New Roman" w:eastAsia="Times New Roman" w:hint="default"/>
                <w:sz w:val="18"/>
                <w:szCs w:val="18"/>
              </w:rPr>
            </w:pPr>
            <w:r>
              <w:rPr>
                <w:rFonts w:ascii="Times New Roman"/>
                <w:sz w:val="18"/>
              </w:rPr>
              <w:t>0.71</w:t>
            </w:r>
          </w:p>
        </w:tc>
      </w:tr>
      <w:tr>
        <w:trPr>
          <w:trHeight w:val="98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 w:right="34"/>
              <w:jc w:val="both"/>
              <w:rPr>
                <w:rFonts w:ascii="宋体" w:hAnsi="宋体" w:cs="宋体" w:eastAsia="宋体" w:hint="default"/>
                <w:sz w:val="18"/>
                <w:szCs w:val="18"/>
              </w:rPr>
            </w:pPr>
            <w:r>
              <w:rPr>
                <w:rFonts w:ascii="宋体" w:hAnsi="宋体" w:cs="宋体" w:eastAsia="宋体" w:hint="default"/>
                <w:sz w:val="18"/>
                <w:szCs w:val="18"/>
              </w:rPr>
              <w:t>农业银行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12" w:right="115"/>
              <w:jc w:val="left"/>
              <w:rPr>
                <w:rFonts w:ascii="宋体" w:hAnsi="宋体" w:cs="宋体" w:eastAsia="宋体" w:hint="default"/>
                <w:sz w:val="20"/>
                <w:szCs w:val="20"/>
              </w:rPr>
            </w:pPr>
            <w:r>
              <w:rPr>
                <w:rFonts w:ascii="宋体" w:hAnsi="宋体" w:cs="宋体" w:eastAsia="宋体" w:hint="default"/>
                <w:sz w:val="20"/>
                <w:szCs w:val="20"/>
              </w:rPr>
              <w:t>本利丰</w:t>
            </w:r>
            <w:r>
              <w:rPr>
                <w:rFonts w:ascii="宋体" w:hAnsi="宋体" w:cs="宋体" w:eastAsia="宋体" w:hint="default"/>
                <w:w w:val="99"/>
                <w:sz w:val="20"/>
                <w:szCs w:val="20"/>
              </w:rPr>
              <w:t> </w:t>
            </w:r>
            <w:r>
              <w:rPr>
                <w:rFonts w:ascii="宋体" w:hAnsi="宋体" w:cs="宋体" w:eastAsia="宋体" w:hint="default"/>
                <w:sz w:val="20"/>
                <w:szCs w:val="20"/>
              </w:rPr>
              <w:t>天天利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
              <w:jc w:val="center"/>
              <w:rPr>
                <w:rFonts w:ascii="Times New Roman" w:hAnsi="Times New Roman" w:cs="Times New Roman" w:eastAsia="Times New Roman" w:hint="default"/>
                <w:sz w:val="20"/>
                <w:szCs w:val="20"/>
              </w:rPr>
            </w:pPr>
            <w:r>
              <w:rPr>
                <w:rFonts w:ascii="Times New Roman"/>
                <w:sz w:val="20"/>
              </w:rPr>
              <w:t>50.00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8" w:right="0"/>
              <w:jc w:val="center"/>
              <w:rPr>
                <w:rFonts w:ascii="Times New Roman" w:hAnsi="Times New Roman" w:cs="Times New Roman" w:eastAsia="Times New Roman" w:hint="default"/>
                <w:sz w:val="20"/>
                <w:szCs w:val="20"/>
              </w:rPr>
            </w:pPr>
            <w:r>
              <w:rPr>
                <w:rFonts w:ascii="Times New Roman"/>
                <w:sz w:val="20"/>
              </w:rPr>
              <w:t>2015-2-1</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2015-4-3</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2.3%-2.7</w:t>
            </w:r>
          </w:p>
          <w:p>
            <w:pPr>
              <w:pStyle w:val="TableParagraph"/>
              <w:spacing w:line="240" w:lineRule="auto" w:before="35"/>
              <w:ind w:left="11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浮动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Times New Roman" w:hAnsi="Times New Roman" w:cs="Times New Roman" w:eastAsia="Times New Roman" w:hint="default"/>
                <w:sz w:val="20"/>
                <w:szCs w:val="20"/>
              </w:rPr>
            </w:pPr>
            <w:r>
              <w:rPr>
                <w:rFonts w:ascii="Times New Roman"/>
                <w:sz w:val="20"/>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Times New Roman" w:hAnsi="Times New Roman" w:cs="Times New Roman" w:eastAsia="Times New Roman" w:hint="default"/>
                <w:sz w:val="18"/>
                <w:szCs w:val="18"/>
              </w:rPr>
            </w:pPr>
            <w:r>
              <w:rPr>
                <w:rFonts w:ascii="Times New Roman"/>
                <w:sz w:val="18"/>
              </w:rPr>
              <w:t>0.24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Times New Roman" w:hAnsi="Times New Roman" w:cs="Times New Roman" w:eastAsia="Times New Roman" w:hint="default"/>
                <w:sz w:val="18"/>
                <w:szCs w:val="18"/>
              </w:rPr>
            </w:pPr>
            <w:r>
              <w:rPr>
                <w:rFonts w:ascii="Times New Roman"/>
                <w:sz w:val="18"/>
              </w:rPr>
              <w:t>0.24</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 w:right="0"/>
              <w:jc w:val="center"/>
              <w:rPr>
                <w:rFonts w:ascii="Times New Roman" w:hAnsi="Times New Roman" w:cs="Times New Roman" w:eastAsia="Times New Roman" w:hint="default"/>
                <w:sz w:val="18"/>
                <w:szCs w:val="18"/>
              </w:rPr>
            </w:pPr>
            <w:r>
              <w:rPr>
                <w:rFonts w:ascii="Times New Roman"/>
                <w:sz w:val="18"/>
              </w:rPr>
              <w:t>0.24</w:t>
            </w:r>
          </w:p>
        </w:tc>
      </w:tr>
      <w:tr>
        <w:trPr>
          <w:trHeight w:val="98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 w:right="34"/>
              <w:jc w:val="both"/>
              <w:rPr>
                <w:rFonts w:ascii="宋体" w:hAnsi="宋体" w:cs="宋体" w:eastAsia="宋体" w:hint="default"/>
                <w:sz w:val="18"/>
                <w:szCs w:val="18"/>
              </w:rPr>
            </w:pPr>
            <w:r>
              <w:rPr>
                <w:rFonts w:ascii="宋体" w:hAnsi="宋体" w:cs="宋体" w:eastAsia="宋体" w:hint="default"/>
                <w:sz w:val="18"/>
                <w:szCs w:val="18"/>
              </w:rPr>
              <w:t>农业银行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12" w:right="115"/>
              <w:jc w:val="left"/>
              <w:rPr>
                <w:rFonts w:ascii="宋体" w:hAnsi="宋体" w:cs="宋体" w:eastAsia="宋体" w:hint="default"/>
                <w:sz w:val="20"/>
                <w:szCs w:val="20"/>
              </w:rPr>
            </w:pPr>
            <w:r>
              <w:rPr>
                <w:rFonts w:ascii="宋体" w:hAnsi="宋体" w:cs="宋体" w:eastAsia="宋体" w:hint="default"/>
                <w:sz w:val="20"/>
                <w:szCs w:val="20"/>
              </w:rPr>
              <w:t>本利丰</w:t>
            </w:r>
            <w:r>
              <w:rPr>
                <w:rFonts w:ascii="宋体" w:hAnsi="宋体" w:cs="宋体" w:eastAsia="宋体" w:hint="default"/>
                <w:w w:val="99"/>
                <w:sz w:val="20"/>
                <w:szCs w:val="20"/>
              </w:rPr>
              <w:t> </w:t>
            </w:r>
            <w:r>
              <w:rPr>
                <w:rFonts w:ascii="宋体" w:hAnsi="宋体" w:cs="宋体" w:eastAsia="宋体" w:hint="default"/>
                <w:sz w:val="20"/>
                <w:szCs w:val="20"/>
              </w:rPr>
              <w:t>天天利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50.00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 w:right="0"/>
              <w:jc w:val="center"/>
              <w:rPr>
                <w:rFonts w:ascii="Times New Roman" w:hAnsi="Times New Roman" w:cs="Times New Roman" w:eastAsia="Times New Roman" w:hint="default"/>
                <w:sz w:val="20"/>
                <w:szCs w:val="20"/>
              </w:rPr>
            </w:pPr>
            <w:r>
              <w:rPr>
                <w:rFonts w:ascii="Times New Roman"/>
                <w:sz w:val="20"/>
              </w:rPr>
              <w:t>2015-2-1</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2015-5-2</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2.3%-2.7</w:t>
            </w:r>
          </w:p>
          <w:p>
            <w:pPr>
              <w:pStyle w:val="TableParagraph"/>
              <w:spacing w:line="240" w:lineRule="auto" w:before="35"/>
              <w:ind w:left="11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浮动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0.31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0.31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 w:right="0"/>
              <w:jc w:val="center"/>
              <w:rPr>
                <w:rFonts w:ascii="Times New Roman" w:hAnsi="Times New Roman" w:cs="Times New Roman" w:eastAsia="Times New Roman" w:hint="default"/>
                <w:sz w:val="18"/>
                <w:szCs w:val="18"/>
              </w:rPr>
            </w:pPr>
            <w:r>
              <w:rPr>
                <w:rFonts w:ascii="Times New Roman"/>
                <w:sz w:val="18"/>
              </w:rPr>
              <w:t>0.31</w:t>
            </w:r>
          </w:p>
        </w:tc>
      </w:tr>
      <w:tr>
        <w:trPr>
          <w:trHeight w:val="98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 w:right="34"/>
              <w:jc w:val="both"/>
              <w:rPr>
                <w:rFonts w:ascii="宋体" w:hAnsi="宋体" w:cs="宋体" w:eastAsia="宋体" w:hint="default"/>
                <w:sz w:val="18"/>
                <w:szCs w:val="18"/>
              </w:rPr>
            </w:pPr>
            <w:r>
              <w:rPr>
                <w:rFonts w:ascii="宋体" w:hAnsi="宋体" w:cs="宋体" w:eastAsia="宋体" w:hint="default"/>
                <w:sz w:val="18"/>
                <w:szCs w:val="18"/>
              </w:rPr>
              <w:t>农业银行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12" w:right="115"/>
              <w:jc w:val="left"/>
              <w:rPr>
                <w:rFonts w:ascii="宋体" w:hAnsi="宋体" w:cs="宋体" w:eastAsia="宋体" w:hint="default"/>
                <w:sz w:val="20"/>
                <w:szCs w:val="20"/>
              </w:rPr>
            </w:pPr>
            <w:r>
              <w:rPr>
                <w:rFonts w:ascii="宋体" w:hAnsi="宋体" w:cs="宋体" w:eastAsia="宋体" w:hint="default"/>
                <w:sz w:val="20"/>
                <w:szCs w:val="20"/>
              </w:rPr>
              <w:t>本利丰</w:t>
            </w:r>
            <w:r>
              <w:rPr>
                <w:rFonts w:ascii="宋体" w:hAnsi="宋体" w:cs="宋体" w:eastAsia="宋体" w:hint="default"/>
                <w:w w:val="99"/>
                <w:sz w:val="20"/>
                <w:szCs w:val="20"/>
              </w:rPr>
              <w:t> </w:t>
            </w:r>
            <w:r>
              <w:rPr>
                <w:rFonts w:ascii="宋体" w:hAnsi="宋体" w:cs="宋体" w:eastAsia="宋体" w:hint="default"/>
                <w:sz w:val="20"/>
                <w:szCs w:val="20"/>
              </w:rPr>
              <w:t>天天利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50.00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 w:right="0"/>
              <w:jc w:val="center"/>
              <w:rPr>
                <w:rFonts w:ascii="Times New Roman" w:hAnsi="Times New Roman" w:cs="Times New Roman" w:eastAsia="Times New Roman" w:hint="default"/>
                <w:sz w:val="20"/>
                <w:szCs w:val="20"/>
              </w:rPr>
            </w:pPr>
            <w:r>
              <w:rPr>
                <w:rFonts w:ascii="Times New Roman"/>
                <w:sz w:val="20"/>
              </w:rPr>
              <w:t>2015-2-1</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2015-6-5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2.3%-2.7</w:t>
            </w:r>
          </w:p>
          <w:p>
            <w:pPr>
              <w:pStyle w:val="TableParagraph"/>
              <w:spacing w:line="240" w:lineRule="auto" w:before="35"/>
              <w:ind w:left="11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浮动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0.36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0.36</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 w:right="0"/>
              <w:jc w:val="center"/>
              <w:rPr>
                <w:rFonts w:ascii="Times New Roman" w:hAnsi="Times New Roman" w:cs="Times New Roman" w:eastAsia="Times New Roman" w:hint="default"/>
                <w:sz w:val="18"/>
                <w:szCs w:val="18"/>
              </w:rPr>
            </w:pPr>
            <w:r>
              <w:rPr>
                <w:rFonts w:ascii="Times New Roman"/>
                <w:sz w:val="18"/>
              </w:rPr>
              <w:t>0.36</w:t>
            </w:r>
          </w:p>
        </w:tc>
      </w:tr>
      <w:tr>
        <w:trPr>
          <w:trHeight w:val="98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 w:right="34"/>
              <w:jc w:val="both"/>
              <w:rPr>
                <w:rFonts w:ascii="宋体" w:hAnsi="宋体" w:cs="宋体" w:eastAsia="宋体" w:hint="default"/>
                <w:sz w:val="18"/>
                <w:szCs w:val="18"/>
              </w:rPr>
            </w:pPr>
            <w:r>
              <w:rPr>
                <w:rFonts w:ascii="宋体" w:hAnsi="宋体" w:cs="宋体" w:eastAsia="宋体" w:hint="default"/>
                <w:sz w:val="18"/>
                <w:szCs w:val="18"/>
              </w:rPr>
              <w:t>农业银行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12" w:right="115"/>
              <w:jc w:val="left"/>
              <w:rPr>
                <w:rFonts w:ascii="宋体" w:hAnsi="宋体" w:cs="宋体" w:eastAsia="宋体" w:hint="default"/>
                <w:sz w:val="20"/>
                <w:szCs w:val="20"/>
              </w:rPr>
            </w:pPr>
            <w:r>
              <w:rPr>
                <w:rFonts w:ascii="宋体" w:hAnsi="宋体" w:cs="宋体" w:eastAsia="宋体" w:hint="default"/>
                <w:sz w:val="20"/>
                <w:szCs w:val="20"/>
              </w:rPr>
              <w:t>本利丰</w:t>
            </w:r>
            <w:r>
              <w:rPr>
                <w:rFonts w:ascii="宋体" w:hAnsi="宋体" w:cs="宋体" w:eastAsia="宋体" w:hint="default"/>
                <w:w w:val="99"/>
                <w:sz w:val="20"/>
                <w:szCs w:val="20"/>
              </w:rPr>
              <w:t> </w:t>
            </w:r>
            <w:r>
              <w:rPr>
                <w:rFonts w:ascii="宋体" w:hAnsi="宋体" w:cs="宋体" w:eastAsia="宋体" w:hint="default"/>
                <w:sz w:val="20"/>
                <w:szCs w:val="20"/>
              </w:rPr>
              <w:t>天天利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50.00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 w:right="0"/>
              <w:jc w:val="center"/>
              <w:rPr>
                <w:rFonts w:ascii="Times New Roman" w:hAnsi="Times New Roman" w:cs="Times New Roman" w:eastAsia="Times New Roman" w:hint="default"/>
                <w:sz w:val="20"/>
                <w:szCs w:val="20"/>
              </w:rPr>
            </w:pPr>
            <w:r>
              <w:rPr>
                <w:rFonts w:ascii="Times New Roman"/>
                <w:sz w:val="20"/>
              </w:rPr>
              <w:t>2015-2-1</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2015-6-1</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2.3%-2.7</w:t>
            </w:r>
          </w:p>
          <w:p>
            <w:pPr>
              <w:pStyle w:val="TableParagraph"/>
              <w:spacing w:line="240" w:lineRule="auto" w:before="35"/>
              <w:ind w:left="11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浮动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0.40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0.40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 w:right="0"/>
              <w:jc w:val="center"/>
              <w:rPr>
                <w:rFonts w:ascii="Times New Roman" w:hAnsi="Times New Roman" w:cs="Times New Roman" w:eastAsia="Times New Roman" w:hint="default"/>
                <w:sz w:val="18"/>
                <w:szCs w:val="18"/>
              </w:rPr>
            </w:pPr>
            <w:r>
              <w:rPr>
                <w:rFonts w:ascii="Times New Roman"/>
                <w:sz w:val="18"/>
              </w:rPr>
              <w:t>0.40</w:t>
            </w:r>
          </w:p>
        </w:tc>
      </w:tr>
      <w:tr>
        <w:trPr>
          <w:trHeight w:val="98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33" w:right="34"/>
              <w:jc w:val="both"/>
              <w:rPr>
                <w:rFonts w:ascii="宋体" w:hAnsi="宋体" w:cs="宋体" w:eastAsia="宋体" w:hint="default"/>
                <w:sz w:val="18"/>
                <w:szCs w:val="18"/>
              </w:rPr>
            </w:pPr>
            <w:r>
              <w:rPr>
                <w:rFonts w:ascii="宋体" w:hAnsi="宋体" w:cs="宋体" w:eastAsia="宋体" w:hint="default"/>
                <w:sz w:val="18"/>
                <w:szCs w:val="18"/>
              </w:rPr>
              <w:t>农业银行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12" w:right="115"/>
              <w:jc w:val="left"/>
              <w:rPr>
                <w:rFonts w:ascii="宋体" w:hAnsi="宋体" w:cs="宋体" w:eastAsia="宋体" w:hint="default"/>
                <w:sz w:val="20"/>
                <w:szCs w:val="20"/>
              </w:rPr>
            </w:pPr>
            <w:r>
              <w:rPr>
                <w:rFonts w:ascii="宋体" w:hAnsi="宋体" w:cs="宋体" w:eastAsia="宋体" w:hint="default"/>
                <w:sz w:val="20"/>
                <w:szCs w:val="20"/>
              </w:rPr>
              <w:t>本利丰</w:t>
            </w:r>
            <w:r>
              <w:rPr>
                <w:rFonts w:ascii="宋体" w:hAnsi="宋体" w:cs="宋体" w:eastAsia="宋体" w:hint="default"/>
                <w:w w:val="99"/>
                <w:sz w:val="20"/>
                <w:szCs w:val="20"/>
              </w:rPr>
              <w:t> </w:t>
            </w:r>
            <w:r>
              <w:rPr>
                <w:rFonts w:ascii="宋体" w:hAnsi="宋体" w:cs="宋体" w:eastAsia="宋体" w:hint="default"/>
                <w:sz w:val="20"/>
                <w:szCs w:val="20"/>
              </w:rPr>
              <w:t>天天利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50.00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 w:right="0"/>
              <w:jc w:val="center"/>
              <w:rPr>
                <w:rFonts w:ascii="Times New Roman" w:hAnsi="Times New Roman" w:cs="Times New Roman" w:eastAsia="Times New Roman" w:hint="default"/>
                <w:sz w:val="20"/>
                <w:szCs w:val="20"/>
              </w:rPr>
            </w:pPr>
            <w:r>
              <w:rPr>
                <w:rFonts w:ascii="Times New Roman"/>
                <w:sz w:val="20"/>
              </w:rPr>
              <w:t>2015-2-1</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2015-7-3</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2.3%-2.7</w:t>
            </w:r>
          </w:p>
          <w:p>
            <w:pPr>
              <w:pStyle w:val="TableParagraph"/>
              <w:spacing w:line="240" w:lineRule="auto" w:before="35"/>
              <w:ind w:left="11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浮动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0.53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0.53</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 w:right="0"/>
              <w:jc w:val="center"/>
              <w:rPr>
                <w:rFonts w:ascii="Times New Roman" w:hAnsi="Times New Roman" w:cs="Times New Roman" w:eastAsia="Times New Roman" w:hint="default"/>
                <w:sz w:val="18"/>
                <w:szCs w:val="18"/>
              </w:rPr>
            </w:pPr>
            <w:r>
              <w:rPr>
                <w:rFonts w:ascii="Times New Roman"/>
                <w:sz w:val="18"/>
              </w:rPr>
              <w:t>0.53</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59" w:top="1340" w:bottom="1140" w:left="1020" w:right="860"/>
        </w:sectPr>
      </w:pPr>
    </w:p>
    <w:p>
      <w:pPr>
        <w:spacing w:line="240" w:lineRule="auto" w:before="1"/>
        <w:rPr>
          <w:rFonts w:ascii="Times New Roman" w:hAnsi="Times New Roman" w:cs="Times New Roman" w:eastAsia="Times New Roman"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800"/>
        <w:gridCol w:w="833"/>
        <w:gridCol w:w="838"/>
        <w:gridCol w:w="874"/>
        <w:gridCol w:w="806"/>
        <w:gridCol w:w="804"/>
        <w:gridCol w:w="802"/>
        <w:gridCol w:w="804"/>
        <w:gridCol w:w="804"/>
        <w:gridCol w:w="802"/>
        <w:gridCol w:w="804"/>
        <w:gridCol w:w="811"/>
      </w:tblGrid>
      <w:tr>
        <w:trPr>
          <w:trHeight w:val="98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 w:right="34"/>
              <w:jc w:val="both"/>
              <w:rPr>
                <w:rFonts w:ascii="宋体" w:hAnsi="宋体" w:cs="宋体" w:eastAsia="宋体" w:hint="default"/>
                <w:sz w:val="18"/>
                <w:szCs w:val="18"/>
              </w:rPr>
            </w:pPr>
            <w:r>
              <w:rPr>
                <w:rFonts w:ascii="宋体" w:hAnsi="宋体" w:cs="宋体" w:eastAsia="宋体" w:hint="default"/>
                <w:sz w:val="18"/>
                <w:szCs w:val="18"/>
              </w:rPr>
              <w:t>浦发银行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12" w:right="113"/>
              <w:jc w:val="left"/>
              <w:rPr>
                <w:rFonts w:ascii="宋体" w:hAnsi="宋体" w:cs="宋体" w:eastAsia="宋体" w:hint="default"/>
                <w:sz w:val="20"/>
                <w:szCs w:val="20"/>
              </w:rPr>
            </w:pPr>
            <w:r>
              <w:rPr>
                <w:rFonts w:ascii="宋体" w:hAnsi="宋体" w:cs="宋体" w:eastAsia="宋体" w:hint="default"/>
                <w:sz w:val="20"/>
                <w:szCs w:val="20"/>
              </w:rPr>
              <w:t>财富班</w:t>
            </w:r>
            <w:r>
              <w:rPr>
                <w:rFonts w:ascii="宋体" w:hAnsi="宋体" w:cs="宋体" w:eastAsia="宋体" w:hint="default"/>
                <w:w w:val="99"/>
                <w:sz w:val="20"/>
                <w:szCs w:val="20"/>
              </w:rPr>
              <w:t> </w:t>
            </w:r>
            <w:r>
              <w:rPr>
                <w:rFonts w:ascii="宋体" w:hAnsi="宋体" w:cs="宋体" w:eastAsia="宋体" w:hint="default"/>
                <w:sz w:val="20"/>
                <w:szCs w:val="20"/>
              </w:rPr>
              <w:t>车</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 </w:t>
            </w:r>
            <w:r>
              <w:rPr>
                <w:rFonts w:ascii="宋体" w:hAnsi="宋体" w:cs="宋体" w:eastAsia="宋体" w:hint="default"/>
                <w:sz w:val="20"/>
                <w:szCs w:val="20"/>
              </w:rPr>
              <w:t>号</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80.00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2015-2-9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2015-3-2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4.40%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80.00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0.19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0.19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 w:right="0"/>
              <w:jc w:val="center"/>
              <w:rPr>
                <w:rFonts w:ascii="Times New Roman" w:hAnsi="Times New Roman" w:cs="Times New Roman" w:eastAsia="Times New Roman" w:hint="default"/>
                <w:sz w:val="18"/>
                <w:szCs w:val="18"/>
              </w:rPr>
            </w:pPr>
            <w:r>
              <w:rPr>
                <w:rFonts w:ascii="Times New Roman"/>
                <w:sz w:val="18"/>
              </w:rPr>
              <w:t>0.19</w:t>
            </w:r>
          </w:p>
        </w:tc>
      </w:tr>
      <w:tr>
        <w:trPr>
          <w:trHeight w:val="98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 w:right="34"/>
              <w:jc w:val="both"/>
              <w:rPr>
                <w:rFonts w:ascii="宋体" w:hAnsi="宋体" w:cs="宋体" w:eastAsia="宋体" w:hint="default"/>
                <w:sz w:val="18"/>
                <w:szCs w:val="18"/>
              </w:rPr>
            </w:pPr>
            <w:r>
              <w:rPr>
                <w:rFonts w:ascii="宋体" w:hAnsi="宋体" w:cs="宋体" w:eastAsia="宋体" w:hint="default"/>
                <w:sz w:val="18"/>
                <w:szCs w:val="18"/>
              </w:rPr>
              <w:t>浦发银行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12" w:right="113"/>
              <w:jc w:val="left"/>
              <w:rPr>
                <w:rFonts w:ascii="宋体" w:hAnsi="宋体" w:cs="宋体" w:eastAsia="宋体" w:hint="default"/>
                <w:sz w:val="20"/>
                <w:szCs w:val="20"/>
              </w:rPr>
            </w:pPr>
            <w:r>
              <w:rPr>
                <w:rFonts w:ascii="宋体" w:hAnsi="宋体" w:cs="宋体" w:eastAsia="宋体" w:hint="default"/>
                <w:sz w:val="20"/>
                <w:szCs w:val="20"/>
              </w:rPr>
              <w:t>财富班</w:t>
            </w:r>
            <w:r>
              <w:rPr>
                <w:rFonts w:ascii="宋体" w:hAnsi="宋体" w:cs="宋体" w:eastAsia="宋体" w:hint="default"/>
                <w:w w:val="99"/>
                <w:sz w:val="20"/>
                <w:szCs w:val="20"/>
              </w:rPr>
              <w:t> </w:t>
            </w:r>
            <w:r>
              <w:rPr>
                <w:rFonts w:ascii="宋体" w:hAnsi="宋体" w:cs="宋体" w:eastAsia="宋体" w:hint="default"/>
                <w:sz w:val="20"/>
                <w:szCs w:val="20"/>
              </w:rPr>
              <w:t>车</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号</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90.00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2015-8-7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2015-9-3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4.20%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90.00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0.27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0.27</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 w:right="0"/>
              <w:jc w:val="center"/>
              <w:rPr>
                <w:rFonts w:ascii="Times New Roman" w:hAnsi="Times New Roman" w:cs="Times New Roman" w:eastAsia="Times New Roman" w:hint="default"/>
                <w:sz w:val="18"/>
                <w:szCs w:val="18"/>
              </w:rPr>
            </w:pPr>
            <w:r>
              <w:rPr>
                <w:rFonts w:ascii="Times New Roman"/>
                <w:sz w:val="18"/>
              </w:rPr>
              <w:t>0.27</w:t>
            </w:r>
          </w:p>
        </w:tc>
      </w:tr>
      <w:tr>
        <w:trPr>
          <w:trHeight w:val="98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 w:right="34"/>
              <w:jc w:val="both"/>
              <w:rPr>
                <w:rFonts w:ascii="宋体" w:hAnsi="宋体" w:cs="宋体" w:eastAsia="宋体" w:hint="default"/>
                <w:sz w:val="18"/>
                <w:szCs w:val="18"/>
              </w:rPr>
            </w:pPr>
            <w:r>
              <w:rPr>
                <w:rFonts w:ascii="宋体" w:hAnsi="宋体" w:cs="宋体" w:eastAsia="宋体" w:hint="default"/>
                <w:sz w:val="18"/>
                <w:szCs w:val="18"/>
              </w:rPr>
              <w:t>农业银行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12" w:right="115"/>
              <w:jc w:val="left"/>
              <w:rPr>
                <w:rFonts w:ascii="宋体" w:hAnsi="宋体" w:cs="宋体" w:eastAsia="宋体" w:hint="default"/>
                <w:sz w:val="20"/>
                <w:szCs w:val="20"/>
              </w:rPr>
            </w:pPr>
            <w:r>
              <w:rPr>
                <w:rFonts w:ascii="宋体" w:hAnsi="宋体" w:cs="宋体" w:eastAsia="宋体" w:hint="default"/>
                <w:sz w:val="20"/>
                <w:szCs w:val="20"/>
              </w:rPr>
              <w:t>本利丰</w:t>
            </w:r>
            <w:r>
              <w:rPr>
                <w:rFonts w:ascii="宋体" w:hAnsi="宋体" w:cs="宋体" w:eastAsia="宋体" w:hint="default"/>
                <w:w w:val="99"/>
                <w:sz w:val="20"/>
                <w:szCs w:val="20"/>
              </w:rPr>
              <w:t> </w:t>
            </w:r>
            <w:r>
              <w:rPr>
                <w:rFonts w:ascii="宋体" w:hAnsi="宋体" w:cs="宋体" w:eastAsia="宋体" w:hint="default"/>
                <w:sz w:val="20"/>
                <w:szCs w:val="20"/>
              </w:rPr>
              <w:t>天天利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100.00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2015-6-2</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2015-9-1</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2.3%-2.7</w:t>
            </w:r>
          </w:p>
          <w:p>
            <w:pPr>
              <w:pStyle w:val="TableParagraph"/>
              <w:spacing w:line="240" w:lineRule="auto" w:before="35"/>
              <w:ind w:left="11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浮动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2"/>
              <w:jc w:val="center"/>
              <w:rPr>
                <w:rFonts w:ascii="Times New Roman" w:hAnsi="Times New Roman" w:cs="Times New Roman" w:eastAsia="Times New Roman" w:hint="default"/>
                <w:sz w:val="20"/>
                <w:szCs w:val="20"/>
              </w:rPr>
            </w:pPr>
            <w:r>
              <w:rPr>
                <w:rFonts w:ascii="Times New Roman"/>
                <w:sz w:val="20"/>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0.39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0.39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 w:right="0"/>
              <w:jc w:val="center"/>
              <w:rPr>
                <w:rFonts w:ascii="Times New Roman" w:hAnsi="Times New Roman" w:cs="Times New Roman" w:eastAsia="Times New Roman" w:hint="default"/>
                <w:sz w:val="18"/>
                <w:szCs w:val="18"/>
              </w:rPr>
            </w:pPr>
            <w:r>
              <w:rPr>
                <w:rFonts w:ascii="Times New Roman"/>
                <w:sz w:val="18"/>
              </w:rPr>
              <w:t>0.39</w:t>
            </w:r>
          </w:p>
        </w:tc>
      </w:tr>
      <w:tr>
        <w:trPr>
          <w:trHeight w:val="98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33" w:right="34"/>
              <w:jc w:val="both"/>
              <w:rPr>
                <w:rFonts w:ascii="宋体" w:hAnsi="宋体" w:cs="宋体" w:eastAsia="宋体" w:hint="default"/>
                <w:sz w:val="18"/>
                <w:szCs w:val="18"/>
              </w:rPr>
            </w:pPr>
            <w:r>
              <w:rPr>
                <w:rFonts w:ascii="宋体" w:hAnsi="宋体" w:cs="宋体" w:eastAsia="宋体" w:hint="default"/>
                <w:sz w:val="18"/>
                <w:szCs w:val="18"/>
              </w:rPr>
              <w:t>农业银行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12" w:right="115"/>
              <w:jc w:val="left"/>
              <w:rPr>
                <w:rFonts w:ascii="宋体" w:hAnsi="宋体" w:cs="宋体" w:eastAsia="宋体" w:hint="default"/>
                <w:sz w:val="20"/>
                <w:szCs w:val="20"/>
              </w:rPr>
            </w:pPr>
            <w:r>
              <w:rPr>
                <w:rFonts w:ascii="宋体" w:hAnsi="宋体" w:cs="宋体" w:eastAsia="宋体" w:hint="default"/>
                <w:sz w:val="20"/>
                <w:szCs w:val="20"/>
              </w:rPr>
              <w:t>本利丰</w:t>
            </w:r>
            <w:r>
              <w:rPr>
                <w:rFonts w:ascii="宋体" w:hAnsi="宋体" w:cs="宋体" w:eastAsia="宋体" w:hint="default"/>
                <w:w w:val="99"/>
                <w:sz w:val="20"/>
                <w:szCs w:val="20"/>
              </w:rPr>
              <w:t> </w:t>
            </w:r>
            <w:r>
              <w:rPr>
                <w:rFonts w:ascii="宋体" w:hAnsi="宋体" w:cs="宋体" w:eastAsia="宋体" w:hint="default"/>
                <w:sz w:val="20"/>
                <w:szCs w:val="20"/>
              </w:rPr>
              <w:t>天天利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0"/>
              <w:jc w:val="center"/>
              <w:rPr>
                <w:rFonts w:ascii="Times New Roman" w:hAnsi="Times New Roman" w:cs="Times New Roman" w:eastAsia="Times New Roman" w:hint="default"/>
                <w:sz w:val="20"/>
                <w:szCs w:val="20"/>
              </w:rPr>
            </w:pPr>
            <w:r>
              <w:rPr>
                <w:rFonts w:ascii="Times New Roman"/>
                <w:sz w:val="20"/>
              </w:rPr>
              <w:t>200.00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2015-6-2</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2015-9-1</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2.3%-2.7</w:t>
            </w:r>
          </w:p>
          <w:p>
            <w:pPr>
              <w:pStyle w:val="TableParagraph"/>
              <w:spacing w:line="240" w:lineRule="auto" w:before="35"/>
              <w:ind w:left="11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浮动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2"/>
              <w:jc w:val="center"/>
              <w:rPr>
                <w:rFonts w:ascii="Times New Roman" w:hAnsi="Times New Roman" w:cs="Times New Roman" w:eastAsia="Times New Roman" w:hint="default"/>
                <w:sz w:val="20"/>
                <w:szCs w:val="20"/>
              </w:rPr>
            </w:pPr>
            <w:r>
              <w:rPr>
                <w:rFonts w:ascii="Times New Roman"/>
                <w:sz w:val="20"/>
              </w:rPr>
              <w:t>200.00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0.90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0.90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3" w:right="0"/>
              <w:jc w:val="center"/>
              <w:rPr>
                <w:rFonts w:ascii="Times New Roman" w:hAnsi="Times New Roman" w:cs="Times New Roman" w:eastAsia="Times New Roman" w:hint="default"/>
                <w:sz w:val="18"/>
                <w:szCs w:val="18"/>
              </w:rPr>
            </w:pPr>
            <w:r>
              <w:rPr>
                <w:rFonts w:ascii="Times New Roman"/>
                <w:sz w:val="18"/>
              </w:rPr>
              <w:t>0.90</w:t>
            </w:r>
          </w:p>
        </w:tc>
      </w:tr>
      <w:tr>
        <w:trPr>
          <w:trHeight w:val="98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 w:right="34"/>
              <w:jc w:val="both"/>
              <w:rPr>
                <w:rFonts w:ascii="宋体" w:hAnsi="宋体" w:cs="宋体" w:eastAsia="宋体" w:hint="default"/>
                <w:sz w:val="18"/>
                <w:szCs w:val="18"/>
              </w:rPr>
            </w:pPr>
            <w:r>
              <w:rPr>
                <w:rFonts w:ascii="宋体" w:hAnsi="宋体" w:cs="宋体" w:eastAsia="宋体" w:hint="default"/>
                <w:sz w:val="18"/>
                <w:szCs w:val="18"/>
              </w:rPr>
              <w:t>农业银行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12" w:right="115"/>
              <w:jc w:val="left"/>
              <w:rPr>
                <w:rFonts w:ascii="宋体" w:hAnsi="宋体" w:cs="宋体" w:eastAsia="宋体" w:hint="default"/>
                <w:sz w:val="20"/>
                <w:szCs w:val="20"/>
              </w:rPr>
            </w:pPr>
            <w:r>
              <w:rPr>
                <w:rFonts w:ascii="宋体" w:hAnsi="宋体" w:cs="宋体" w:eastAsia="宋体" w:hint="default"/>
                <w:sz w:val="20"/>
                <w:szCs w:val="20"/>
              </w:rPr>
              <w:t>本利丰</w:t>
            </w:r>
            <w:r>
              <w:rPr>
                <w:rFonts w:ascii="宋体" w:hAnsi="宋体" w:cs="宋体" w:eastAsia="宋体" w:hint="default"/>
                <w:w w:val="99"/>
                <w:sz w:val="20"/>
                <w:szCs w:val="20"/>
              </w:rPr>
              <w:t> </w:t>
            </w:r>
            <w:r>
              <w:rPr>
                <w:rFonts w:ascii="宋体" w:hAnsi="宋体" w:cs="宋体" w:eastAsia="宋体" w:hint="default"/>
                <w:sz w:val="20"/>
                <w:szCs w:val="20"/>
              </w:rPr>
              <w:t>天天利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200.00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2015-7-3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2015-8-5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200.00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0.72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0.72</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 w:right="0"/>
              <w:jc w:val="center"/>
              <w:rPr>
                <w:rFonts w:ascii="Times New Roman" w:hAnsi="Times New Roman" w:cs="Times New Roman" w:eastAsia="Times New Roman" w:hint="default"/>
                <w:sz w:val="18"/>
                <w:szCs w:val="18"/>
              </w:rPr>
            </w:pPr>
            <w:r>
              <w:rPr>
                <w:rFonts w:ascii="Times New Roman"/>
                <w:sz w:val="18"/>
              </w:rPr>
              <w:t>0.72</w:t>
            </w:r>
          </w:p>
        </w:tc>
      </w:tr>
      <w:tr>
        <w:trPr>
          <w:trHeight w:val="98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 w:right="34"/>
              <w:jc w:val="both"/>
              <w:rPr>
                <w:rFonts w:ascii="宋体" w:hAnsi="宋体" w:cs="宋体" w:eastAsia="宋体" w:hint="default"/>
                <w:sz w:val="18"/>
                <w:szCs w:val="18"/>
              </w:rPr>
            </w:pPr>
            <w:r>
              <w:rPr>
                <w:rFonts w:ascii="宋体" w:hAnsi="宋体" w:cs="宋体" w:eastAsia="宋体" w:hint="default"/>
                <w:sz w:val="18"/>
                <w:szCs w:val="18"/>
              </w:rPr>
              <w:t>农业银行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12" w:right="115"/>
              <w:jc w:val="left"/>
              <w:rPr>
                <w:rFonts w:ascii="宋体" w:hAnsi="宋体" w:cs="宋体" w:eastAsia="宋体" w:hint="default"/>
                <w:sz w:val="20"/>
                <w:szCs w:val="20"/>
              </w:rPr>
            </w:pPr>
            <w:r>
              <w:rPr>
                <w:rFonts w:ascii="宋体" w:hAnsi="宋体" w:cs="宋体" w:eastAsia="宋体" w:hint="default"/>
                <w:sz w:val="20"/>
                <w:szCs w:val="20"/>
              </w:rPr>
              <w:t>本利丰</w:t>
            </w:r>
            <w:r>
              <w:rPr>
                <w:rFonts w:ascii="宋体" w:hAnsi="宋体" w:cs="宋体" w:eastAsia="宋体" w:hint="default"/>
                <w:w w:val="99"/>
                <w:sz w:val="20"/>
                <w:szCs w:val="20"/>
              </w:rPr>
              <w:t> </w:t>
            </w:r>
            <w:r>
              <w:rPr>
                <w:rFonts w:ascii="宋体" w:hAnsi="宋体" w:cs="宋体" w:eastAsia="宋体" w:hint="default"/>
                <w:sz w:val="20"/>
                <w:szCs w:val="20"/>
              </w:rPr>
              <w:t>天天利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200.00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2015-10-</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12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2015-11-</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16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3.40%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2"/>
              <w:jc w:val="center"/>
              <w:rPr>
                <w:rFonts w:ascii="Times New Roman" w:hAnsi="Times New Roman" w:cs="Times New Roman" w:eastAsia="Times New Roman" w:hint="default"/>
                <w:sz w:val="20"/>
                <w:szCs w:val="20"/>
              </w:rPr>
            </w:pPr>
            <w:r>
              <w:rPr>
                <w:rFonts w:ascii="Times New Roman"/>
                <w:sz w:val="20"/>
              </w:rPr>
              <w:t>200.00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0.63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0.63</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 w:right="0"/>
              <w:jc w:val="center"/>
              <w:rPr>
                <w:rFonts w:ascii="Times New Roman" w:hAnsi="Times New Roman" w:cs="Times New Roman" w:eastAsia="Times New Roman" w:hint="default"/>
                <w:sz w:val="18"/>
                <w:szCs w:val="18"/>
              </w:rPr>
            </w:pPr>
            <w:r>
              <w:rPr>
                <w:rFonts w:ascii="Times New Roman"/>
                <w:sz w:val="18"/>
              </w:rPr>
              <w:t>0.63</w:t>
            </w:r>
          </w:p>
        </w:tc>
      </w:tr>
      <w:tr>
        <w:trPr>
          <w:trHeight w:val="98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33" w:right="34"/>
              <w:jc w:val="both"/>
              <w:rPr>
                <w:rFonts w:ascii="宋体" w:hAnsi="宋体" w:cs="宋体" w:eastAsia="宋体" w:hint="default"/>
                <w:sz w:val="18"/>
                <w:szCs w:val="18"/>
              </w:rPr>
            </w:pPr>
            <w:r>
              <w:rPr>
                <w:rFonts w:ascii="宋体" w:hAnsi="宋体" w:cs="宋体" w:eastAsia="宋体" w:hint="default"/>
                <w:sz w:val="18"/>
                <w:szCs w:val="18"/>
              </w:rPr>
              <w:t>农业银行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12" w:right="115"/>
              <w:jc w:val="left"/>
              <w:rPr>
                <w:rFonts w:ascii="宋体" w:hAnsi="宋体" w:cs="宋体" w:eastAsia="宋体" w:hint="default"/>
                <w:sz w:val="20"/>
                <w:szCs w:val="20"/>
              </w:rPr>
            </w:pPr>
            <w:r>
              <w:rPr>
                <w:rFonts w:ascii="宋体" w:hAnsi="宋体" w:cs="宋体" w:eastAsia="宋体" w:hint="default"/>
                <w:sz w:val="20"/>
                <w:szCs w:val="20"/>
              </w:rPr>
              <w:t>本利丰</w:t>
            </w:r>
            <w:r>
              <w:rPr>
                <w:rFonts w:ascii="宋体" w:hAnsi="宋体" w:cs="宋体" w:eastAsia="宋体" w:hint="default"/>
                <w:w w:val="99"/>
                <w:sz w:val="20"/>
                <w:szCs w:val="20"/>
              </w:rPr>
              <w:t> </w:t>
            </w:r>
            <w:r>
              <w:rPr>
                <w:rFonts w:ascii="宋体" w:hAnsi="宋体" w:cs="宋体" w:eastAsia="宋体" w:hint="default"/>
                <w:sz w:val="20"/>
                <w:szCs w:val="20"/>
              </w:rPr>
              <w:t>天天利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100.00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2015-9-1</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2015-11-</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1.9%-2.1</w:t>
            </w:r>
          </w:p>
          <w:p>
            <w:pPr>
              <w:pStyle w:val="TableParagraph"/>
              <w:spacing w:line="240" w:lineRule="auto" w:before="35"/>
              <w:ind w:left="11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浮动</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2"/>
              <w:jc w:val="center"/>
              <w:rPr>
                <w:rFonts w:ascii="Times New Roman" w:hAnsi="Times New Roman" w:cs="Times New Roman" w:eastAsia="Times New Roman" w:hint="default"/>
                <w:sz w:val="20"/>
                <w:szCs w:val="20"/>
              </w:rPr>
            </w:pPr>
            <w:r>
              <w:rPr>
                <w:rFonts w:ascii="Times New Roman"/>
                <w:sz w:val="20"/>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0.26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0.26</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 w:right="0"/>
              <w:jc w:val="center"/>
              <w:rPr>
                <w:rFonts w:ascii="Times New Roman" w:hAnsi="Times New Roman" w:cs="Times New Roman" w:eastAsia="Times New Roman" w:hint="default"/>
                <w:sz w:val="18"/>
                <w:szCs w:val="18"/>
              </w:rPr>
            </w:pPr>
            <w:r>
              <w:rPr>
                <w:rFonts w:ascii="Times New Roman"/>
                <w:sz w:val="18"/>
              </w:rPr>
              <w:t>0.26</w:t>
            </w:r>
          </w:p>
        </w:tc>
      </w:tr>
      <w:tr>
        <w:trPr>
          <w:trHeight w:val="98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 w:right="34"/>
              <w:jc w:val="both"/>
              <w:rPr>
                <w:rFonts w:ascii="宋体" w:hAnsi="宋体" w:cs="宋体" w:eastAsia="宋体" w:hint="default"/>
                <w:sz w:val="18"/>
                <w:szCs w:val="18"/>
              </w:rPr>
            </w:pPr>
            <w:r>
              <w:rPr>
                <w:rFonts w:ascii="宋体" w:hAnsi="宋体" w:cs="宋体" w:eastAsia="宋体" w:hint="default"/>
                <w:sz w:val="18"/>
                <w:szCs w:val="18"/>
              </w:rPr>
              <w:t>农业银行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12" w:right="115"/>
              <w:jc w:val="left"/>
              <w:rPr>
                <w:rFonts w:ascii="宋体" w:hAnsi="宋体" w:cs="宋体" w:eastAsia="宋体" w:hint="default"/>
                <w:sz w:val="20"/>
                <w:szCs w:val="20"/>
              </w:rPr>
            </w:pPr>
            <w:r>
              <w:rPr>
                <w:rFonts w:ascii="宋体" w:hAnsi="宋体" w:cs="宋体" w:eastAsia="宋体" w:hint="default"/>
                <w:sz w:val="20"/>
                <w:szCs w:val="20"/>
              </w:rPr>
              <w:t>本利丰</w:t>
            </w:r>
            <w:r>
              <w:rPr>
                <w:rFonts w:ascii="宋体" w:hAnsi="宋体" w:cs="宋体" w:eastAsia="宋体" w:hint="default"/>
                <w:w w:val="99"/>
                <w:sz w:val="20"/>
                <w:szCs w:val="20"/>
              </w:rPr>
              <w:t> </w:t>
            </w:r>
            <w:r>
              <w:rPr>
                <w:rFonts w:ascii="宋体" w:hAnsi="宋体" w:cs="宋体" w:eastAsia="宋体" w:hint="default"/>
                <w:sz w:val="20"/>
                <w:szCs w:val="20"/>
              </w:rPr>
              <w:t>天天利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200.00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2015-12-</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31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2016-2-4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2.90%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0.56</w:t>
            </w:r>
          </w:p>
        </w:tc>
        <w:tc>
          <w:tcPr>
            <w:tcW w:w="80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98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 w:right="35"/>
              <w:jc w:val="both"/>
              <w:rPr>
                <w:rFonts w:ascii="宋体" w:hAnsi="宋体" w:cs="宋体" w:eastAsia="宋体" w:hint="default"/>
                <w:sz w:val="18"/>
                <w:szCs w:val="18"/>
              </w:rPr>
            </w:pPr>
            <w:r>
              <w:rPr>
                <w:rFonts w:ascii="宋体" w:hAnsi="宋体" w:cs="宋体" w:eastAsia="宋体" w:hint="default"/>
                <w:sz w:val="18"/>
                <w:szCs w:val="18"/>
              </w:rPr>
              <w:t>农业银行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12" w:right="115"/>
              <w:jc w:val="left"/>
              <w:rPr>
                <w:rFonts w:ascii="宋体" w:hAnsi="宋体" w:cs="宋体" w:eastAsia="宋体" w:hint="default"/>
                <w:sz w:val="20"/>
                <w:szCs w:val="20"/>
              </w:rPr>
            </w:pPr>
            <w:r>
              <w:rPr>
                <w:rFonts w:ascii="宋体" w:hAnsi="宋体" w:cs="宋体" w:eastAsia="宋体" w:hint="default"/>
                <w:sz w:val="20"/>
                <w:szCs w:val="20"/>
              </w:rPr>
              <w:t>本利丰</w:t>
            </w:r>
            <w:r>
              <w:rPr>
                <w:rFonts w:ascii="宋体" w:hAnsi="宋体" w:cs="宋体" w:eastAsia="宋体" w:hint="default"/>
                <w:w w:val="99"/>
                <w:sz w:val="20"/>
                <w:szCs w:val="20"/>
              </w:rPr>
              <w:t> </w:t>
            </w:r>
            <w:r>
              <w:rPr>
                <w:rFonts w:ascii="宋体" w:hAnsi="宋体" w:cs="宋体" w:eastAsia="宋体" w:hint="default"/>
                <w:sz w:val="20"/>
                <w:szCs w:val="20"/>
              </w:rPr>
              <w:t>天天利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3"/>
              <w:jc w:val="center"/>
              <w:rPr>
                <w:rFonts w:ascii="Times New Roman" w:hAnsi="Times New Roman" w:cs="Times New Roman" w:eastAsia="Times New Roman" w:hint="default"/>
                <w:sz w:val="20"/>
                <w:szCs w:val="20"/>
              </w:rPr>
            </w:pPr>
            <w:r>
              <w:rPr>
                <w:rFonts w:ascii="Times New Roman"/>
                <w:sz w:val="20"/>
              </w:rPr>
              <w:t>1,000.00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2015-12-</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31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
              <w:jc w:val="center"/>
              <w:rPr>
                <w:rFonts w:ascii="Times New Roman" w:hAnsi="Times New Roman" w:cs="Times New Roman" w:eastAsia="Times New Roman" w:hint="default"/>
                <w:sz w:val="20"/>
                <w:szCs w:val="20"/>
              </w:rPr>
            </w:pPr>
            <w:r>
              <w:rPr>
                <w:rFonts w:ascii="Times New Roman"/>
                <w:sz w:val="20"/>
              </w:rPr>
              <w:t>2016-3-4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Times New Roman" w:hAnsi="Times New Roman" w:cs="Times New Roman" w:eastAsia="Times New Roman" w:hint="default"/>
                <w:sz w:val="20"/>
                <w:szCs w:val="20"/>
              </w:rPr>
            </w:pPr>
            <w:r>
              <w:rPr>
                <w:rFonts w:ascii="Times New Roman"/>
                <w:sz w:val="20"/>
              </w:rPr>
              <w:t>3.10%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5.44</w:t>
            </w:r>
          </w:p>
        </w:tc>
        <w:tc>
          <w:tcPr>
            <w:tcW w:w="80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 w:right="34"/>
              <w:jc w:val="both"/>
              <w:rPr>
                <w:rFonts w:ascii="宋体" w:hAnsi="宋体" w:cs="宋体" w:eastAsia="宋体" w:hint="default"/>
                <w:sz w:val="18"/>
                <w:szCs w:val="18"/>
              </w:rPr>
            </w:pPr>
            <w:r>
              <w:rPr>
                <w:rFonts w:ascii="宋体" w:hAnsi="宋体" w:cs="宋体" w:eastAsia="宋体" w:hint="default"/>
                <w:sz w:val="18"/>
                <w:szCs w:val="18"/>
              </w:rPr>
              <w:t>农业银行 北京知春 路支行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12" w:right="115"/>
              <w:jc w:val="left"/>
              <w:rPr>
                <w:rFonts w:ascii="宋体" w:hAnsi="宋体" w:cs="宋体" w:eastAsia="宋体" w:hint="default"/>
                <w:sz w:val="20"/>
                <w:szCs w:val="20"/>
              </w:rPr>
            </w:pPr>
            <w:r>
              <w:rPr>
                <w:rFonts w:ascii="宋体" w:hAnsi="宋体" w:cs="宋体" w:eastAsia="宋体" w:hint="default"/>
                <w:sz w:val="20"/>
                <w:szCs w:val="20"/>
              </w:rPr>
              <w:t>本利丰</w:t>
            </w:r>
            <w:r>
              <w:rPr>
                <w:rFonts w:ascii="宋体" w:hAnsi="宋体" w:cs="宋体" w:eastAsia="宋体" w:hint="default"/>
                <w:w w:val="99"/>
                <w:sz w:val="20"/>
                <w:szCs w:val="20"/>
              </w:rPr>
              <w:t> </w:t>
            </w:r>
            <w:r>
              <w:rPr>
                <w:rFonts w:ascii="宋体" w:hAnsi="宋体" w:cs="宋体" w:eastAsia="宋体" w:hint="default"/>
                <w:sz w:val="20"/>
                <w:szCs w:val="20"/>
              </w:rPr>
              <w:t>天天利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Times New Roman" w:hAnsi="Times New Roman" w:cs="Times New Roman" w:eastAsia="Times New Roman" w:hint="default"/>
                <w:sz w:val="20"/>
                <w:szCs w:val="20"/>
              </w:rPr>
            </w:pPr>
            <w:r>
              <w:rPr>
                <w:rFonts w:ascii="Times New Roman"/>
                <w:sz w:val="20"/>
              </w:rPr>
              <w:t>400.00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2015-12-</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31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
              <w:jc w:val="center"/>
              <w:rPr>
                <w:rFonts w:ascii="Times New Roman" w:hAnsi="Times New Roman" w:cs="Times New Roman" w:eastAsia="Times New Roman" w:hint="default"/>
                <w:sz w:val="20"/>
                <w:szCs w:val="20"/>
              </w:rPr>
            </w:pPr>
            <w:r>
              <w:rPr>
                <w:rFonts w:ascii="Times New Roman"/>
                <w:sz w:val="20"/>
              </w:rPr>
              <w:t>2016-4-8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Times New Roman" w:hAnsi="Times New Roman" w:cs="Times New Roman" w:eastAsia="Times New Roman" w:hint="default"/>
                <w:sz w:val="20"/>
                <w:szCs w:val="20"/>
              </w:rPr>
            </w:pPr>
            <w:r>
              <w:rPr>
                <w:rFonts w:ascii="Times New Roman"/>
                <w:sz w:val="20"/>
              </w:rPr>
              <w:t>3.25%</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Times New Roman" w:hAnsi="Times New Roman" w:cs="Times New Roman" w:eastAsia="Times New Roman" w:hint="default"/>
                <w:sz w:val="18"/>
                <w:szCs w:val="18"/>
              </w:rPr>
            </w:pPr>
            <w:r>
              <w:rPr>
                <w:rFonts w:ascii="Times New Roman"/>
                <w:sz w:val="18"/>
              </w:rPr>
              <w:t>3.53</w:t>
            </w:r>
          </w:p>
        </w:tc>
        <w:tc>
          <w:tcPr>
            <w:tcW w:w="80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Times New Roman" w:hAnsi="Times New Roman" w:cs="Times New Roman" w:eastAsia="Times New Roman" w:hint="default"/>
                <w:sz w:val="18"/>
                <w:szCs w:val="18"/>
              </w:rPr>
            </w:pPr>
            <w:r>
              <w:rPr>
                <w:rFonts w:ascii="Times New Roman"/>
                <w:sz w:val="18"/>
              </w:rPr>
              <w:t>22,750.00</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21,150.00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227.23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211.03</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31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67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1" w:right="96"/>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31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6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31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7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1"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31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2015-3-27</w:t>
            </w:r>
          </w:p>
        </w:tc>
      </w:tr>
      <w:tr>
        <w:trPr>
          <w:trHeight w:val="67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1"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 日期（如有</w:t>
            </w:r>
            <w:r>
              <w:rPr>
                <w:rFonts w:ascii="Times New Roman" w:hAnsi="Times New Roman" w:cs="Times New Roman" w:eastAsia="Times New Roman" w:hint="default"/>
                <w:sz w:val="18"/>
                <w:szCs w:val="18"/>
              </w:rPr>
              <w:t>)</w:t>
            </w:r>
          </w:p>
        </w:tc>
        <w:tc>
          <w:tcPr>
            <w:tcW w:w="731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63"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31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有</w:t>
            </w:r>
          </w:p>
        </w:tc>
      </w:tr>
    </w:tbl>
    <w:p>
      <w:pPr>
        <w:spacing w:after="0" w:line="240" w:lineRule="auto"/>
        <w:jc w:val="left"/>
        <w:rPr>
          <w:rFonts w:ascii="宋体" w:hAnsi="宋体" w:cs="宋体" w:eastAsia="宋体" w:hint="default"/>
          <w:sz w:val="18"/>
          <w:szCs w:val="18"/>
        </w:rPr>
        <w:sectPr>
          <w:pgSz w:w="11910" w:h="16840"/>
          <w:pgMar w:header="0" w:footer="959" w:top="1340" w:bottom="1140" w:left="1020" w:right="860"/>
        </w:sectPr>
      </w:pPr>
    </w:p>
    <w:p>
      <w:pPr>
        <w:pStyle w:val="Heading5"/>
        <w:spacing w:line="240" w:lineRule="auto" w:before="6"/>
        <w:ind w:left="163"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408" w:lineRule="auto" w:before="177"/>
        <w:ind w:left="163" w:right="4429"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公司报告期不存在委托贷款。</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398" w:lineRule="auto" w:before="14"/>
        <w:ind w:left="163" w:right="4429" w:firstLine="0"/>
        <w:jc w:val="left"/>
        <w:rPr>
          <w:rFonts w:ascii="宋体" w:hAnsi="宋体" w:cs="宋体" w:eastAsia="宋体" w:hint="default"/>
          <w:sz w:val="24"/>
          <w:szCs w:val="24"/>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公司报告期不存在其他重大合同。</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b/>
          <w:bCs/>
          <w:sz w:val="24"/>
          <w:szCs w:val="24"/>
        </w:rPr>
        <w:t>十七、其他重大事项的说明</w:t>
      </w:r>
      <w:r>
        <w:rPr>
          <w:rFonts w:ascii="宋体" w:hAnsi="宋体" w:cs="宋体" w:eastAsia="宋体" w:hint="default"/>
          <w:sz w:val="24"/>
          <w:szCs w:val="24"/>
        </w:rPr>
      </w:r>
    </w:p>
    <w:p>
      <w:pPr>
        <w:pStyle w:val="Heading6"/>
        <w:spacing w:line="386" w:lineRule="auto" w:before="21"/>
        <w:ind w:left="583" w:right="0"/>
        <w:jc w:val="left"/>
      </w:pPr>
      <w:r>
        <w:rPr>
          <w:rFonts w:ascii="Times New Roman" w:hAnsi="Times New Roman" w:cs="Times New Roman" w:eastAsia="Times New Roman" w:hint="default"/>
        </w:rPr>
        <w:t>1</w:t>
      </w:r>
      <w:r>
        <w:rPr/>
        <w:t>、公司拟收购翡翠教育事项</w:t>
      </w:r>
      <w:r>
        <w:rPr>
          <w:w w:val="100"/>
        </w:rPr>
        <w:t> </w:t>
      </w:r>
      <w:r>
        <w:rPr>
          <w:spacing w:val="-8"/>
          <w:w w:val="100"/>
        </w:rPr>
        <w:t>详情请参见公司在创业板信息披露指定网站上发布的《关于重大事项复牌的公告》、《关</w:t>
      </w:r>
    </w:p>
    <w:p>
      <w:pPr>
        <w:pStyle w:val="Heading6"/>
        <w:spacing w:line="240" w:lineRule="auto" w:before="65"/>
        <w:ind w:right="0"/>
        <w:jc w:val="left"/>
      </w:pPr>
      <w:r>
        <w:rPr>
          <w:w w:val="100"/>
        </w:rPr>
        <w:t>于签</w:t>
      </w:r>
      <w:r>
        <w:rPr>
          <w:spacing w:val="-3"/>
          <w:w w:val="100"/>
        </w:rPr>
        <w:t>署</w:t>
      </w:r>
      <w:r>
        <w:rPr>
          <w:w w:val="100"/>
        </w:rPr>
        <w:t>购</w:t>
      </w:r>
      <w:r>
        <w:rPr>
          <w:spacing w:val="-3"/>
          <w:w w:val="100"/>
        </w:rPr>
        <w:t>买</w:t>
      </w:r>
      <w:r>
        <w:rPr>
          <w:w w:val="100"/>
        </w:rPr>
        <w:t>资</w:t>
      </w:r>
      <w:r>
        <w:rPr>
          <w:spacing w:val="-3"/>
          <w:w w:val="100"/>
        </w:rPr>
        <w:t>产</w:t>
      </w:r>
      <w:r>
        <w:rPr>
          <w:w w:val="100"/>
        </w:rPr>
        <w:t>框</w:t>
      </w:r>
      <w:r>
        <w:rPr>
          <w:spacing w:val="-3"/>
          <w:w w:val="100"/>
        </w:rPr>
        <w:t>架</w:t>
      </w:r>
      <w:r>
        <w:rPr>
          <w:w w:val="100"/>
        </w:rPr>
        <w:t>协</w:t>
      </w:r>
      <w:r>
        <w:rPr>
          <w:spacing w:val="-3"/>
          <w:w w:val="100"/>
        </w:rPr>
        <w:t>议</w:t>
      </w:r>
      <w:r>
        <w:rPr>
          <w:w w:val="100"/>
        </w:rPr>
        <w:t>的公</w:t>
      </w:r>
      <w:r>
        <w:rPr>
          <w:spacing w:val="-3"/>
          <w:w w:val="100"/>
        </w:rPr>
        <w:t>告</w:t>
      </w:r>
      <w:r>
        <w:rPr>
          <w:spacing w:val="-159"/>
          <w:w w:val="100"/>
        </w:rPr>
        <w:t>》</w:t>
      </w:r>
      <w:r>
        <w:rPr>
          <w:spacing w:val="-3"/>
          <w:w w:val="100"/>
        </w:rPr>
        <w:t>（</w:t>
      </w:r>
      <w:r>
        <w:rPr>
          <w:rFonts w:ascii="Times New Roman" w:hAnsi="Times New Roman" w:cs="Times New Roman" w:eastAsia="Times New Roman" w:hint="default"/>
          <w:w w:val="100"/>
        </w:rPr>
        <w:t>2015</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06</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11</w:t>
      </w:r>
      <w:r>
        <w:rPr>
          <w:spacing w:val="-80"/>
          <w:w w:val="100"/>
        </w:rPr>
        <w:t>）</w:t>
      </w:r>
      <w:r>
        <w:rPr>
          <w:spacing w:val="-159"/>
          <w:w w:val="100"/>
        </w:rPr>
        <w:t>、</w:t>
      </w:r>
      <w:r>
        <w:rPr>
          <w:spacing w:val="-3"/>
          <w:w w:val="100"/>
        </w:rPr>
        <w:t>《</w:t>
      </w:r>
      <w:r>
        <w:rPr>
          <w:w w:val="100"/>
        </w:rPr>
        <w:t>关于</w:t>
      </w:r>
      <w:r>
        <w:rPr>
          <w:spacing w:val="-3"/>
          <w:w w:val="100"/>
        </w:rPr>
        <w:t>购</w:t>
      </w:r>
      <w:r>
        <w:rPr>
          <w:w w:val="100"/>
        </w:rPr>
        <w:t>买</w:t>
      </w:r>
      <w:r>
        <w:rPr>
          <w:spacing w:val="-3"/>
          <w:w w:val="100"/>
        </w:rPr>
        <w:t>资</w:t>
      </w:r>
      <w:r>
        <w:rPr>
          <w:w w:val="100"/>
        </w:rPr>
        <w:t>产</w:t>
      </w:r>
      <w:r>
        <w:rPr>
          <w:spacing w:val="-3"/>
          <w:w w:val="100"/>
        </w:rPr>
        <w:t>的</w:t>
      </w:r>
      <w:r>
        <w:rPr>
          <w:w w:val="100"/>
        </w:rPr>
        <w:t>进</w:t>
      </w:r>
      <w:r>
        <w:rPr>
          <w:spacing w:val="-3"/>
          <w:w w:val="100"/>
        </w:rPr>
        <w:t>展</w:t>
      </w:r>
      <w:r>
        <w:rPr>
          <w:w w:val="100"/>
        </w:rPr>
        <w:t>公</w:t>
      </w:r>
      <w:r>
        <w:rPr>
          <w:spacing w:val="-3"/>
          <w:w w:val="100"/>
        </w:rPr>
        <w:t>告</w:t>
      </w:r>
      <w:r>
        <w:rPr>
          <w:spacing w:val="-161"/>
          <w:w w:val="100"/>
        </w:rPr>
        <w:t>》</w:t>
      </w:r>
      <w:r>
        <w:rPr>
          <w:w w:val="100"/>
        </w:rPr>
        <w:t>（</w:t>
      </w:r>
      <w:r>
        <w:rPr>
          <w:rFonts w:ascii="Times New Roman" w:hAnsi="Times New Roman" w:cs="Times New Roman" w:eastAsia="Times New Roman" w:hint="default"/>
          <w:w w:val="100"/>
        </w:rPr>
        <w:t>2015</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06</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30</w:t>
      </w:r>
      <w:r>
        <w:rPr>
          <w:spacing w:val="-80"/>
          <w:w w:val="100"/>
        </w:rPr>
        <w:t>）；</w:t>
      </w:r>
      <w:r>
        <w:rPr>
          <w:w w:val="100"/>
        </w:rPr>
      </w:r>
    </w:p>
    <w:p>
      <w:pPr>
        <w:pStyle w:val="Heading6"/>
        <w:spacing w:line="386" w:lineRule="auto" w:before="177"/>
        <w:ind w:right="244"/>
        <w:jc w:val="left"/>
      </w:pPr>
      <w:r>
        <w:rPr>
          <w:spacing w:val="-2"/>
        </w:rPr>
        <w:t>《关于终止收购翡翠教育股权事项的公告》（</w:t>
      </w:r>
      <w:r>
        <w:rPr>
          <w:rFonts w:ascii="Times New Roman" w:hAnsi="Times New Roman" w:cs="Times New Roman" w:eastAsia="Times New Roman" w:hint="default"/>
          <w:spacing w:val="-2"/>
        </w:rPr>
        <w:t>2015-12-07</w:t>
      </w:r>
      <w:r>
        <w:rPr>
          <w:spacing w:val="-2"/>
        </w:rPr>
        <w:t>）；《关于终止收购翡翠教育股权</w:t>
      </w:r>
      <w:r>
        <w:rPr>
          <w:spacing w:val="-21"/>
        </w:rPr>
        <w:t> </w:t>
      </w:r>
      <w:r>
        <w:rPr>
          <w:spacing w:val="-21"/>
        </w:rPr>
      </w:r>
      <w:r>
        <w:rPr/>
        <w:t>事项的补充公告》（</w:t>
      </w:r>
      <w:r>
        <w:rPr>
          <w:rFonts w:ascii="Times New Roman" w:hAnsi="Times New Roman" w:cs="Times New Roman" w:eastAsia="Times New Roman" w:hint="default"/>
        </w:rPr>
        <w:t>2015-12-08</w:t>
      </w:r>
      <w:r>
        <w:rPr/>
        <w:t>）。</w:t>
      </w:r>
    </w:p>
    <w:p>
      <w:pPr>
        <w:pStyle w:val="Heading6"/>
        <w:spacing w:line="386" w:lineRule="auto" w:before="35"/>
        <w:ind w:left="583" w:right="0"/>
        <w:jc w:val="left"/>
      </w:pPr>
      <w:r>
        <w:rPr>
          <w:rFonts w:ascii="Times New Roman" w:hAnsi="Times New Roman" w:cs="Times New Roman" w:eastAsia="Times New Roman" w:hint="default"/>
        </w:rPr>
        <w:t>2</w:t>
      </w:r>
      <w:r>
        <w:rPr/>
        <w:t>、公司变更董事、监事和高级管理人员的事项</w:t>
      </w:r>
      <w:r>
        <w:rPr>
          <w:w w:val="100"/>
        </w:rPr>
        <w:t> </w:t>
      </w:r>
      <w:r>
        <w:rPr>
          <w:spacing w:val="-2"/>
        </w:rPr>
        <w:t>详情请参见公司在创业板信息披露指定网站上发布的《关于公司变更董事的公告》</w:t>
      </w:r>
    </w:p>
    <w:p>
      <w:pPr>
        <w:pStyle w:val="Heading6"/>
        <w:spacing w:line="240" w:lineRule="auto" w:before="65"/>
        <w:ind w:right="0"/>
        <w:jc w:val="left"/>
      </w:pPr>
      <w:r>
        <w:rPr/>
        <w:t>（</w:t>
      </w:r>
      <w:r>
        <w:rPr>
          <w:rFonts w:ascii="Times New Roman" w:hAnsi="Times New Roman" w:cs="Times New Roman" w:eastAsia="Times New Roman" w:hint="default"/>
        </w:rPr>
        <w:t>2015-01-09</w:t>
      </w:r>
      <w:r>
        <w:rPr/>
        <w:t>）；《关于公司变更独立董事的公告》及《关于公司变更监事的公告》</w:t>
      </w:r>
    </w:p>
    <w:p>
      <w:pPr>
        <w:pStyle w:val="Heading6"/>
        <w:spacing w:line="386" w:lineRule="auto" w:before="177"/>
        <w:ind w:right="212"/>
        <w:jc w:val="left"/>
      </w:pPr>
      <w:r>
        <w:rPr>
          <w:spacing w:val="-2"/>
        </w:rPr>
        <w:t>（</w:t>
      </w:r>
      <w:r>
        <w:rPr>
          <w:rFonts w:ascii="Times New Roman" w:hAnsi="Times New Roman" w:cs="Times New Roman" w:eastAsia="Times New Roman" w:hint="default"/>
          <w:spacing w:val="-2"/>
        </w:rPr>
        <w:t>2015-03-04</w:t>
      </w:r>
      <w:r>
        <w:rPr>
          <w:spacing w:val="-2"/>
        </w:rPr>
        <w:t>）；《关于公司高管辞职的公告》（</w:t>
      </w:r>
      <w:r>
        <w:rPr>
          <w:rFonts w:ascii="Times New Roman" w:hAnsi="Times New Roman" w:cs="Times New Roman" w:eastAsia="Times New Roman" w:hint="default"/>
          <w:spacing w:val="-2"/>
        </w:rPr>
        <w:t>2015-4-24</w:t>
      </w:r>
      <w:r>
        <w:rPr>
          <w:spacing w:val="-2"/>
        </w:rPr>
        <w:t>）；《关于公司常务副总裁、董</w:t>
      </w:r>
      <w:r>
        <w:rPr>
          <w:spacing w:val="-18"/>
        </w:rPr>
        <w:t> </w:t>
      </w:r>
      <w:r>
        <w:rPr>
          <w:spacing w:val="-18"/>
        </w:rPr>
      </w:r>
      <w:r>
        <w:rPr/>
        <w:t>事会秘书辞职的公告》（</w:t>
      </w:r>
      <w:r>
        <w:rPr>
          <w:rFonts w:ascii="Times New Roman" w:hAnsi="Times New Roman" w:cs="Times New Roman" w:eastAsia="Times New Roman" w:hint="default"/>
        </w:rPr>
        <w:t>2015-07-02</w:t>
      </w:r>
      <w:r>
        <w:rPr/>
        <w:t>）；《关于聘任董事会秘书的公告》（</w:t>
      </w:r>
      <w:r>
        <w:rPr>
          <w:rFonts w:ascii="Times New Roman" w:hAnsi="Times New Roman" w:cs="Times New Roman" w:eastAsia="Times New Roman" w:hint="default"/>
        </w:rPr>
        <w:t>2015-08-11</w:t>
      </w:r>
      <w:r>
        <w:rPr/>
        <w:t>）。</w:t>
      </w:r>
    </w:p>
    <w:p>
      <w:pPr>
        <w:pStyle w:val="Heading6"/>
        <w:spacing w:line="386" w:lineRule="auto" w:before="35"/>
        <w:ind w:left="583" w:right="0"/>
        <w:jc w:val="left"/>
      </w:pPr>
      <w:r>
        <w:rPr>
          <w:rFonts w:ascii="Times New Roman" w:hAnsi="Times New Roman" w:cs="Times New Roman" w:eastAsia="Times New Roman" w:hint="default"/>
        </w:rPr>
        <w:t>3</w:t>
      </w:r>
      <w:r>
        <w:rPr/>
        <w:t>、关于持股</w:t>
      </w:r>
      <w:r>
        <w:rPr>
          <w:rFonts w:ascii="Times New Roman" w:hAnsi="Times New Roman" w:cs="Times New Roman" w:eastAsia="Times New Roman" w:hint="default"/>
        </w:rPr>
        <w:t>5%</w:t>
      </w:r>
      <w:r>
        <w:rPr/>
        <w:t>以上股东股权质押等事项</w:t>
      </w:r>
      <w:r>
        <w:rPr>
          <w:w w:val="100"/>
        </w:rPr>
        <w:t> </w:t>
      </w:r>
      <w:r>
        <w:rPr>
          <w:spacing w:val="-2"/>
        </w:rPr>
        <w:t>详情请参见公司在创业板信息披露指定网站上发布的《关于持股</w:t>
      </w:r>
      <w:r>
        <w:rPr>
          <w:rFonts w:ascii="Times New Roman" w:hAnsi="Times New Roman" w:cs="Times New Roman" w:eastAsia="Times New Roman" w:hint="default"/>
          <w:spacing w:val="-2"/>
        </w:rPr>
        <w:t>5%</w:t>
      </w:r>
      <w:r>
        <w:rPr>
          <w:spacing w:val="-2"/>
        </w:rPr>
        <w:t>以上股东股权质押</w:t>
      </w:r>
    </w:p>
    <w:p>
      <w:pPr>
        <w:pStyle w:val="Heading6"/>
        <w:spacing w:line="240" w:lineRule="auto" w:before="35"/>
        <w:ind w:right="0"/>
        <w:jc w:val="left"/>
      </w:pPr>
      <w:r>
        <w:rPr/>
        <w:t>的公告》（</w:t>
      </w:r>
      <w:r>
        <w:rPr>
          <w:rFonts w:ascii="Times New Roman" w:hAnsi="Times New Roman" w:cs="Times New Roman" w:eastAsia="Times New Roman" w:hint="default"/>
        </w:rPr>
        <w:t>2015-05-22</w:t>
      </w:r>
      <w:r>
        <w:rPr/>
        <w:t>、</w:t>
      </w:r>
      <w:r>
        <w:rPr>
          <w:rFonts w:ascii="Times New Roman" w:hAnsi="Times New Roman" w:cs="Times New Roman" w:eastAsia="Times New Roman" w:hint="default"/>
        </w:rPr>
        <w:t>2015-08-13</w:t>
      </w:r>
      <w:r>
        <w:rPr/>
        <w:t>）；《关于持股</w:t>
      </w:r>
      <w:r>
        <w:rPr>
          <w:rFonts w:ascii="Times New Roman" w:hAnsi="Times New Roman" w:cs="Times New Roman" w:eastAsia="Times New Roman" w:hint="default"/>
        </w:rPr>
        <w:t>5%</w:t>
      </w:r>
      <w:r>
        <w:rPr/>
        <w:t>以上股东部分股权解除质押的公告》</w:t>
      </w:r>
    </w:p>
    <w:p>
      <w:pPr>
        <w:pStyle w:val="Heading6"/>
        <w:spacing w:line="240" w:lineRule="auto" w:before="177"/>
        <w:ind w:right="0"/>
        <w:jc w:val="left"/>
      </w:pPr>
      <w:r>
        <w:rPr>
          <w:spacing w:val="-1"/>
          <w:w w:val="100"/>
        </w:rPr>
        <w:t>（</w:t>
      </w:r>
      <w:r>
        <w:rPr>
          <w:rFonts w:ascii="Times New Roman" w:hAnsi="Times New Roman" w:cs="Times New Roman" w:eastAsia="Times New Roman" w:hint="default"/>
          <w:w w:val="100"/>
        </w:rPr>
        <w:t>2015</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07</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07</w:t>
      </w:r>
      <w:r>
        <w:rPr>
          <w:spacing w:val="-58"/>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1"/>
          <w:w w:val="100"/>
        </w:rPr>
        <w:t>5</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08</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18</w:t>
      </w:r>
      <w:r>
        <w:rPr>
          <w:spacing w:val="-60"/>
          <w:w w:val="100"/>
        </w:rPr>
        <w:t>）</w:t>
      </w:r>
      <w:r>
        <w:rPr>
          <w:spacing w:val="-118"/>
          <w:w w:val="100"/>
        </w:rPr>
        <w:t>；</w:t>
      </w:r>
      <w:r>
        <w:rPr>
          <w:w w:val="100"/>
        </w:rPr>
        <w:t>《</w:t>
      </w:r>
      <w:r>
        <w:rPr>
          <w:spacing w:val="-3"/>
          <w:w w:val="100"/>
        </w:rPr>
        <w:t>关</w:t>
      </w:r>
      <w:r>
        <w:rPr>
          <w:w w:val="100"/>
        </w:rPr>
        <w:t>于</w:t>
      </w:r>
      <w:r>
        <w:rPr>
          <w:spacing w:val="-3"/>
          <w:w w:val="100"/>
        </w:rPr>
        <w:t>控</w:t>
      </w:r>
      <w:r>
        <w:rPr>
          <w:w w:val="100"/>
        </w:rPr>
        <w:t>股</w:t>
      </w:r>
      <w:r>
        <w:rPr>
          <w:spacing w:val="-3"/>
          <w:w w:val="100"/>
        </w:rPr>
        <w:t>股</w:t>
      </w:r>
      <w:r>
        <w:rPr>
          <w:w w:val="100"/>
        </w:rPr>
        <w:t>东</w:t>
      </w:r>
      <w:r>
        <w:rPr>
          <w:spacing w:val="-3"/>
          <w:w w:val="100"/>
        </w:rPr>
        <w:t>进</w:t>
      </w:r>
      <w:r>
        <w:rPr>
          <w:w w:val="100"/>
        </w:rPr>
        <w:t>行</w:t>
      </w:r>
      <w:r>
        <w:rPr>
          <w:spacing w:val="-3"/>
          <w:w w:val="100"/>
        </w:rPr>
        <w:t>股</w:t>
      </w:r>
      <w:r>
        <w:rPr>
          <w:w w:val="100"/>
        </w:rPr>
        <w:t>票质</w:t>
      </w:r>
      <w:r>
        <w:rPr>
          <w:spacing w:val="-3"/>
          <w:w w:val="100"/>
        </w:rPr>
        <w:t>押</w:t>
      </w:r>
      <w:r>
        <w:rPr>
          <w:w w:val="100"/>
        </w:rPr>
        <w:t>式</w:t>
      </w:r>
      <w:r>
        <w:rPr>
          <w:spacing w:val="-3"/>
          <w:w w:val="100"/>
        </w:rPr>
        <w:t>回</w:t>
      </w:r>
      <w:r>
        <w:rPr>
          <w:w w:val="100"/>
        </w:rPr>
        <w:t>购</w:t>
      </w:r>
      <w:r>
        <w:rPr>
          <w:spacing w:val="-3"/>
          <w:w w:val="100"/>
        </w:rPr>
        <w:t>交</w:t>
      </w:r>
      <w:r>
        <w:rPr>
          <w:w w:val="100"/>
        </w:rPr>
        <w:t>易</w:t>
      </w:r>
      <w:r>
        <w:rPr>
          <w:spacing w:val="-3"/>
          <w:w w:val="100"/>
        </w:rPr>
        <w:t>的</w:t>
      </w:r>
      <w:r>
        <w:rPr>
          <w:w w:val="100"/>
        </w:rPr>
        <w:t>公</w:t>
      </w:r>
      <w:r>
        <w:rPr>
          <w:spacing w:val="-3"/>
          <w:w w:val="100"/>
        </w:rPr>
        <w:t>告</w:t>
      </w:r>
      <w:r>
        <w:rPr>
          <w:spacing w:val="-118"/>
          <w:w w:val="100"/>
        </w:rPr>
        <w:t>》</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5</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08</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18</w:t>
      </w:r>
      <w:r>
        <w:rPr>
          <w:w w:val="100"/>
        </w:rPr>
        <w:t>、</w:t>
      </w:r>
    </w:p>
    <w:p>
      <w:pPr>
        <w:pStyle w:val="Heading6"/>
        <w:spacing w:line="240" w:lineRule="auto" w:before="178"/>
        <w:ind w:right="0"/>
        <w:jc w:val="left"/>
      </w:pPr>
      <w:r>
        <w:rPr>
          <w:rFonts w:ascii="Times New Roman" w:hAnsi="Times New Roman" w:cs="Times New Roman" w:eastAsia="Times New Roman" w:hint="default"/>
        </w:rPr>
        <w:t>2015-10-22</w:t>
      </w:r>
      <w:r>
        <w:rPr/>
        <w:t>）；《关于控股股东部分股权解除质押的公告》（</w:t>
      </w:r>
      <w:r>
        <w:rPr>
          <w:rFonts w:ascii="Times New Roman" w:hAnsi="Times New Roman" w:cs="Times New Roman" w:eastAsia="Times New Roman" w:hint="default"/>
        </w:rPr>
        <w:t>2015-08-31</w:t>
      </w:r>
      <w:r>
        <w:rPr/>
        <w:t>）。</w:t>
      </w:r>
    </w:p>
    <w:p>
      <w:pPr>
        <w:pStyle w:val="Heading6"/>
        <w:spacing w:line="386" w:lineRule="auto" w:before="177"/>
        <w:ind w:left="583" w:right="0"/>
        <w:jc w:val="left"/>
      </w:pPr>
      <w:r>
        <w:rPr>
          <w:rFonts w:ascii="Times New Roman" w:hAnsi="Times New Roman" w:cs="Times New Roman" w:eastAsia="Times New Roman" w:hint="default"/>
        </w:rPr>
        <w:t>4</w:t>
      </w:r>
      <w:r>
        <w:rPr/>
        <w:t>、关于员工持股计划的事项</w:t>
      </w:r>
      <w:r>
        <w:rPr>
          <w:w w:val="100"/>
        </w:rPr>
        <w:t> </w:t>
      </w:r>
      <w:r>
        <w:rPr>
          <w:spacing w:val="-2"/>
        </w:rPr>
        <w:t>详情请参见公司在创业板信息披露指定网站上发布的《关于筹划重大事项的停牌公告》</w:t>
      </w:r>
    </w:p>
    <w:p>
      <w:pPr>
        <w:pStyle w:val="Heading6"/>
        <w:spacing w:line="386" w:lineRule="auto" w:before="65"/>
        <w:ind w:right="314"/>
        <w:jc w:val="left"/>
      </w:pPr>
      <w:r>
        <w:rPr>
          <w:spacing w:val="-2"/>
        </w:rPr>
        <w:t>（</w:t>
      </w:r>
      <w:r>
        <w:rPr>
          <w:rFonts w:ascii="Times New Roman" w:hAnsi="Times New Roman" w:cs="Times New Roman" w:eastAsia="Times New Roman" w:hint="default"/>
          <w:spacing w:val="-2"/>
        </w:rPr>
        <w:t>2015-07-08</w:t>
      </w:r>
      <w:r>
        <w:rPr>
          <w:spacing w:val="-2"/>
        </w:rPr>
        <w:t>）；《关于员工持股计划的进展公告及复牌公告》（</w:t>
      </w:r>
      <w:r>
        <w:rPr>
          <w:rFonts w:ascii="Times New Roman" w:hAnsi="Times New Roman" w:cs="Times New Roman" w:eastAsia="Times New Roman" w:hint="default"/>
          <w:spacing w:val="-2"/>
        </w:rPr>
        <w:t>2015-07-14</w:t>
      </w:r>
      <w:r>
        <w:rPr>
          <w:spacing w:val="-2"/>
        </w:rPr>
        <w:t>）；《关于设</w:t>
      </w:r>
      <w:r>
        <w:rPr>
          <w:spacing w:val="-12"/>
        </w:rPr>
        <w:t> </w:t>
      </w:r>
      <w:r>
        <w:rPr>
          <w:spacing w:val="-12"/>
        </w:rPr>
      </w:r>
      <w:r>
        <w:rPr/>
        <w:t>立员工持股计划（筹）的提示性公告》（</w:t>
      </w:r>
      <w:r>
        <w:rPr>
          <w:rFonts w:ascii="Times New Roman" w:hAnsi="Times New Roman" w:cs="Times New Roman" w:eastAsia="Times New Roman" w:hint="default"/>
        </w:rPr>
        <w:t>2015-12-17</w:t>
      </w:r>
      <w:r>
        <w:rPr/>
        <w:t>）。</w:t>
      </w:r>
    </w:p>
    <w:p>
      <w:pPr>
        <w:pStyle w:val="Heading6"/>
        <w:spacing w:line="386" w:lineRule="auto" w:before="35"/>
        <w:ind w:left="583" w:right="0"/>
        <w:jc w:val="left"/>
      </w:pPr>
      <w:r>
        <w:rPr>
          <w:rFonts w:ascii="Times New Roman" w:hAnsi="Times New Roman" w:cs="Times New Roman" w:eastAsia="Times New Roman" w:hint="default"/>
        </w:rPr>
        <w:t>5</w:t>
      </w:r>
      <w:r>
        <w:rPr/>
        <w:t>、重大资产重组事项</w:t>
      </w:r>
      <w:r>
        <w:rPr>
          <w:w w:val="100"/>
        </w:rPr>
        <w:t> </w:t>
      </w:r>
      <w:r>
        <w:rPr>
          <w:spacing w:val="-2"/>
        </w:rPr>
        <w:t>详情请参见公司在创业板信息披露指定网站上发布的《关于重大资产重组停牌公告》</w:t>
      </w:r>
    </w:p>
    <w:p>
      <w:pPr>
        <w:pStyle w:val="Heading6"/>
        <w:spacing w:line="386" w:lineRule="auto" w:before="65"/>
        <w:ind w:right="244"/>
        <w:jc w:val="left"/>
      </w:pPr>
      <w:r>
        <w:rPr>
          <w:spacing w:val="-2"/>
        </w:rPr>
        <w:t>（</w:t>
      </w:r>
      <w:r>
        <w:rPr>
          <w:rFonts w:ascii="Times New Roman" w:hAnsi="Times New Roman" w:cs="Times New Roman" w:eastAsia="Times New Roman" w:hint="default"/>
          <w:spacing w:val="-2"/>
        </w:rPr>
        <w:t>2015-09-01</w:t>
      </w:r>
      <w:r>
        <w:rPr>
          <w:spacing w:val="-2"/>
        </w:rPr>
        <w:t>）；《发行股份及支付现金购买资产并募集配套资金暨关联交易预案》等相关</w:t>
      </w:r>
      <w:r>
        <w:rPr>
          <w:spacing w:val="-22"/>
        </w:rPr>
        <w:t> </w:t>
      </w:r>
      <w:r>
        <w:rPr>
          <w:spacing w:val="-22"/>
        </w:rPr>
      </w:r>
      <w:r>
        <w:rPr>
          <w:spacing w:val="-2"/>
        </w:rPr>
        <w:t>公告（</w:t>
      </w:r>
      <w:r>
        <w:rPr>
          <w:rFonts w:ascii="Times New Roman" w:hAnsi="Times New Roman" w:cs="Times New Roman" w:eastAsia="Times New Roman" w:hint="default"/>
          <w:spacing w:val="-2"/>
        </w:rPr>
        <w:t>2015-12-17</w:t>
      </w:r>
      <w:r>
        <w:rPr>
          <w:spacing w:val="-2"/>
        </w:rPr>
        <w:t>）；《发行股份及支付现金购买资产并募集配套资金暨关联交易预案（修</w:t>
      </w:r>
    </w:p>
    <w:p>
      <w:pPr>
        <w:spacing w:after="0" w:line="386" w:lineRule="auto"/>
        <w:jc w:val="left"/>
        <w:sectPr>
          <w:pgSz w:w="11910" w:h="16840"/>
          <w:pgMar w:header="0" w:footer="959" w:top="1480" w:bottom="1140" w:left="1680" w:right="1480"/>
        </w:sectPr>
      </w:pPr>
    </w:p>
    <w:p>
      <w:pPr>
        <w:pStyle w:val="Heading6"/>
        <w:spacing w:line="386" w:lineRule="auto" w:before="6"/>
        <w:ind w:left="583" w:right="99" w:hanging="420"/>
        <w:jc w:val="left"/>
      </w:pPr>
      <w:r>
        <w:rPr/>
        <w:t>订稿）》、《关于公司股票复牌的提示性公告》等相关公告（</w:t>
      </w:r>
      <w:r>
        <w:rPr>
          <w:rFonts w:ascii="Times New Roman" w:hAnsi="Times New Roman" w:cs="Times New Roman" w:eastAsia="Times New Roman" w:hint="default"/>
        </w:rPr>
        <w:t>2015-12-31</w:t>
      </w:r>
      <w:r>
        <w:rPr/>
        <w:t>）。</w:t>
      </w:r>
      <w:r>
        <w:rPr>
          <w:w w:val="100"/>
        </w:rPr>
        <w:t> </w:t>
      </w:r>
      <w:r>
        <w:rPr>
          <w:rFonts w:ascii="Times New Roman" w:hAnsi="Times New Roman" w:cs="Times New Roman" w:eastAsia="Times New Roman" w:hint="default"/>
        </w:rPr>
        <w:t>6</w:t>
      </w:r>
      <w:r>
        <w:rPr/>
        <w:t>、关于公司投资决胜网事项</w:t>
      </w:r>
      <w:r>
        <w:rPr>
          <w:w w:val="100"/>
        </w:rPr>
        <w:t> </w:t>
      </w:r>
      <w:r>
        <w:rPr>
          <w:spacing w:val="-2"/>
        </w:rPr>
        <w:t>详情请参见公司在创业板信息披露指定网站上发布的《拟对外投资的公告》</w:t>
      </w:r>
    </w:p>
    <w:p>
      <w:pPr>
        <w:pStyle w:val="Heading6"/>
        <w:spacing w:line="240" w:lineRule="auto" w:before="65"/>
        <w:ind w:right="99"/>
        <w:jc w:val="left"/>
      </w:pPr>
      <w:r>
        <w:rPr/>
        <w:t>（</w:t>
      </w:r>
      <w:r>
        <w:rPr>
          <w:rFonts w:ascii="Times New Roman" w:hAnsi="Times New Roman" w:cs="Times New Roman" w:eastAsia="Times New Roman" w:hint="default"/>
        </w:rPr>
        <w:t>2015-11-24</w:t>
      </w:r>
      <w:r>
        <w:rPr/>
        <w:t>）；《关于对外投资的补充公告》（</w:t>
      </w:r>
      <w:r>
        <w:rPr>
          <w:rFonts w:ascii="Times New Roman" w:hAnsi="Times New Roman" w:cs="Times New Roman" w:eastAsia="Times New Roman" w:hint="default"/>
        </w:rPr>
        <w:t>2015-11-30</w:t>
      </w:r>
      <w:r>
        <w:rPr/>
        <w:t>）；《对外投资进展公告》</w:t>
      </w:r>
    </w:p>
    <w:p>
      <w:pPr>
        <w:pStyle w:val="Heading6"/>
        <w:spacing w:line="240" w:lineRule="auto" w:before="177"/>
        <w:ind w:right="99"/>
        <w:jc w:val="left"/>
      </w:pPr>
      <w:r>
        <w:rPr/>
        <w:t>（</w:t>
      </w:r>
      <w:r>
        <w:rPr>
          <w:rFonts w:ascii="Times New Roman" w:hAnsi="Times New Roman" w:cs="Times New Roman" w:eastAsia="Times New Roman" w:hint="default"/>
        </w:rPr>
        <w:t>2015-12-16</w:t>
      </w:r>
      <w:r>
        <w:rPr/>
        <w:t>）。</w:t>
      </w:r>
    </w:p>
    <w:p>
      <w:pPr>
        <w:pStyle w:val="Heading6"/>
        <w:spacing w:line="386" w:lineRule="auto" w:before="177"/>
        <w:ind w:left="583" w:right="99"/>
        <w:jc w:val="left"/>
      </w:pPr>
      <w:r>
        <w:rPr>
          <w:rFonts w:ascii="Times New Roman" w:hAnsi="Times New Roman" w:cs="Times New Roman" w:eastAsia="Times New Roman" w:hint="default"/>
        </w:rPr>
        <w:t>7</w:t>
      </w:r>
      <w:r>
        <w:rPr/>
        <w:t>、关于公司投资初见科技事项</w:t>
      </w:r>
      <w:r>
        <w:rPr>
          <w:w w:val="100"/>
        </w:rPr>
        <w:t> </w:t>
      </w:r>
      <w:r>
        <w:rPr>
          <w:spacing w:val="-10"/>
          <w:w w:val="100"/>
        </w:rPr>
        <w:t>详情请参见公司在创业板信息披露指定网站上发布的《对外投资的公告》（</w:t>
      </w:r>
      <w:r>
        <w:rPr>
          <w:rFonts w:ascii="Times New Roman" w:hAnsi="Times New Roman" w:cs="Times New Roman" w:eastAsia="Times New Roman" w:hint="default"/>
          <w:spacing w:val="-10"/>
          <w:w w:val="100"/>
        </w:rPr>
        <w:t>2015-12-16</w:t>
      </w:r>
      <w:r>
        <w:rPr>
          <w:spacing w:val="-10"/>
          <w:w w:val="100"/>
        </w:rPr>
        <w:t>）。</w:t>
      </w:r>
      <w:r>
        <w:rPr>
          <w:w w:val="100"/>
        </w:rPr>
      </w:r>
    </w:p>
    <w:p>
      <w:pPr>
        <w:pStyle w:val="Heading6"/>
        <w:spacing w:line="250" w:lineRule="exact"/>
        <w:ind w:left="583" w:right="99"/>
        <w:jc w:val="left"/>
      </w:pPr>
      <w:r>
        <w:rPr>
          <w:rFonts w:ascii="Times New Roman" w:hAnsi="Times New Roman" w:cs="Times New Roman" w:eastAsia="Times New Roman" w:hint="default"/>
        </w:rPr>
        <w:t>8</w:t>
      </w:r>
      <w:r>
        <w:rPr/>
        <w:t>、关于公司拟投资派娱科技事项</w:t>
      </w:r>
    </w:p>
    <w:p>
      <w:pPr>
        <w:pStyle w:val="Heading6"/>
        <w:spacing w:line="240" w:lineRule="auto" w:before="98"/>
        <w:ind w:left="583" w:right="99"/>
        <w:jc w:val="left"/>
      </w:pPr>
      <w:r>
        <w:rPr/>
        <w:t>详情请参见公司在创业板信息披露指定网站上发布的《拟对外投资的公告》</w:t>
      </w:r>
    </w:p>
    <w:p>
      <w:pPr>
        <w:spacing w:line="240" w:lineRule="auto" w:before="10"/>
        <w:rPr>
          <w:rFonts w:ascii="宋体" w:hAnsi="宋体" w:cs="宋体" w:eastAsia="宋体" w:hint="default"/>
          <w:sz w:val="14"/>
          <w:szCs w:val="14"/>
        </w:rPr>
      </w:pPr>
    </w:p>
    <w:p>
      <w:pPr>
        <w:pStyle w:val="Heading6"/>
        <w:spacing w:line="386" w:lineRule="auto"/>
        <w:ind w:right="236"/>
        <w:jc w:val="left"/>
      </w:pPr>
      <w:r>
        <w:rPr>
          <w:spacing w:val="-2"/>
        </w:rPr>
        <w:t>（</w:t>
      </w:r>
      <w:r>
        <w:rPr>
          <w:rFonts w:ascii="Times New Roman" w:hAnsi="Times New Roman" w:cs="Times New Roman" w:eastAsia="Times New Roman" w:hint="default"/>
          <w:spacing w:val="-2"/>
        </w:rPr>
        <w:t>2015-12-29</w:t>
      </w:r>
      <w:r>
        <w:rPr>
          <w:spacing w:val="-2"/>
        </w:rPr>
        <w:t>）；《关于对外投资的补充公告》（</w:t>
      </w:r>
      <w:r>
        <w:rPr>
          <w:rFonts w:ascii="Times New Roman" w:hAnsi="Times New Roman" w:cs="Times New Roman" w:eastAsia="Times New Roman" w:hint="default"/>
          <w:spacing w:val="-2"/>
        </w:rPr>
        <w:t>2015-12-31</w:t>
      </w:r>
      <w:r>
        <w:rPr>
          <w:spacing w:val="-2"/>
        </w:rPr>
        <w:t>）；《关于拟对外投资事项进</w:t>
      </w:r>
      <w:r>
        <w:rPr>
          <w:spacing w:val="-16"/>
        </w:rPr>
        <w:t> </w:t>
      </w:r>
      <w:r>
        <w:rPr>
          <w:spacing w:val="-16"/>
        </w:rPr>
      </w:r>
      <w:r>
        <w:rPr/>
        <w:t>展公告》（</w:t>
      </w:r>
      <w:r>
        <w:rPr>
          <w:rFonts w:ascii="Times New Roman" w:hAnsi="Times New Roman" w:cs="Times New Roman" w:eastAsia="Times New Roman" w:hint="default"/>
        </w:rPr>
        <w:t>2016-01-19</w:t>
      </w:r>
      <w:r>
        <w:rPr/>
        <w:t>）。。</w:t>
      </w:r>
    </w:p>
    <w:p>
      <w:pPr>
        <w:pStyle w:val="Heading6"/>
        <w:spacing w:line="249" w:lineRule="exact"/>
        <w:ind w:left="583" w:right="99"/>
        <w:jc w:val="left"/>
      </w:pPr>
      <w:r>
        <w:rPr>
          <w:rFonts w:ascii="Times New Roman" w:hAnsi="Times New Roman" w:cs="Times New Roman" w:eastAsia="Times New Roman" w:hint="default"/>
        </w:rPr>
        <w:t>9</w:t>
      </w:r>
      <w:r>
        <w:rPr/>
        <w:t>、关于公司拟投资人民今典事项</w:t>
      </w:r>
    </w:p>
    <w:p>
      <w:pPr>
        <w:pStyle w:val="Heading6"/>
        <w:spacing w:line="240" w:lineRule="auto" w:before="98"/>
        <w:ind w:left="583" w:right="99"/>
        <w:jc w:val="left"/>
      </w:pPr>
      <w:r>
        <w:rPr/>
        <w:t>详情请参见公司在创业板信息披露指定网站上发布的《拟对外投资的公告》</w:t>
      </w:r>
    </w:p>
    <w:p>
      <w:pPr>
        <w:spacing w:line="240" w:lineRule="auto" w:before="10"/>
        <w:rPr>
          <w:rFonts w:ascii="宋体" w:hAnsi="宋体" w:cs="宋体" w:eastAsia="宋体" w:hint="default"/>
          <w:sz w:val="14"/>
          <w:szCs w:val="14"/>
        </w:rPr>
      </w:pPr>
    </w:p>
    <w:p>
      <w:pPr>
        <w:pStyle w:val="Heading6"/>
        <w:spacing w:line="240" w:lineRule="auto"/>
        <w:ind w:right="99"/>
        <w:jc w:val="left"/>
      </w:pPr>
      <w:r>
        <w:rPr/>
        <w:t>（</w:t>
      </w:r>
      <w:r>
        <w:rPr>
          <w:rFonts w:ascii="Times New Roman" w:hAnsi="Times New Roman" w:cs="Times New Roman" w:eastAsia="Times New Roman" w:hint="default"/>
        </w:rPr>
        <w:t>2015-12-31</w:t>
      </w:r>
      <w:r>
        <w:rPr/>
        <w:t>）。</w:t>
      </w:r>
    </w:p>
    <w:p>
      <w:pPr>
        <w:pStyle w:val="Heading6"/>
        <w:spacing w:line="386" w:lineRule="auto" w:before="177"/>
        <w:ind w:left="583" w:right="99"/>
        <w:jc w:val="left"/>
      </w:pPr>
      <w:r>
        <w:rPr>
          <w:rFonts w:ascii="Times New Roman" w:hAnsi="Times New Roman" w:cs="Times New Roman" w:eastAsia="Times New Roman" w:hint="default"/>
        </w:rPr>
        <w:t>10</w:t>
      </w:r>
      <w:r>
        <w:rPr/>
        <w:t>、关于公司变更办公地址事项</w:t>
      </w:r>
      <w:r>
        <w:rPr>
          <w:w w:val="100"/>
        </w:rPr>
        <w:t> </w:t>
      </w:r>
      <w:r>
        <w:rPr>
          <w:spacing w:val="-3"/>
        </w:rPr>
        <w:t>详情请参见公司在创业板信息披露指定网站上发布的《关于变更办公地址和联系电话的</w:t>
      </w:r>
    </w:p>
    <w:p>
      <w:pPr>
        <w:pStyle w:val="Heading6"/>
        <w:spacing w:line="288" w:lineRule="auto" w:before="65"/>
        <w:ind w:left="583" w:right="1866" w:hanging="420"/>
        <w:jc w:val="left"/>
      </w:pPr>
      <w:r>
        <w:rPr/>
        <w:t>公告》（</w:t>
      </w:r>
      <w:r>
        <w:rPr>
          <w:rFonts w:ascii="Times New Roman" w:hAnsi="Times New Roman" w:cs="Times New Roman" w:eastAsia="Times New Roman" w:hint="default"/>
        </w:rPr>
        <w:t>2015-07-28</w:t>
      </w:r>
      <w:r>
        <w:rPr/>
        <w:t>）。</w:t>
      </w:r>
      <w:r>
        <w:rPr>
          <w:w w:val="100"/>
        </w:rPr>
        <w:t> </w:t>
      </w:r>
      <w:r>
        <w:rPr>
          <w:spacing w:val="-2"/>
        </w:rPr>
        <w:t>以上公告已在巨潮资讯网（</w:t>
      </w:r>
      <w:hyperlink r:id="rId9">
        <w:r>
          <w:rPr>
            <w:rFonts w:ascii="Arial" w:hAnsi="Arial" w:cs="Arial" w:eastAsia="Arial" w:hint="default"/>
            <w:spacing w:val="-2"/>
          </w:rPr>
          <w:t>http://www.cninfo.com.cn/</w:t>
        </w:r>
      </w:hyperlink>
      <w:r>
        <w:rPr>
          <w:spacing w:val="-2"/>
        </w:rPr>
        <w:t>）发布。</w:t>
      </w:r>
    </w:p>
    <w:p>
      <w:pPr>
        <w:pStyle w:val="Heading3"/>
        <w:spacing w:line="240" w:lineRule="auto" w:before="158"/>
        <w:ind w:left="163" w:right="99"/>
        <w:jc w:val="left"/>
        <w:rPr>
          <w:b w:val="0"/>
          <w:bCs w:val="0"/>
        </w:rPr>
      </w:pPr>
      <w:r>
        <w:rPr/>
        <w:t>十八、公司子公司重大事项</w:t>
      </w:r>
      <w:r>
        <w:rPr>
          <w:b w:val="0"/>
          <w:bCs w:val="0"/>
        </w:rPr>
      </w:r>
    </w:p>
    <w:p>
      <w:pPr>
        <w:pStyle w:val="Heading6"/>
        <w:spacing w:line="240" w:lineRule="auto" w:before="179"/>
        <w:ind w:right="99"/>
        <w:jc w:val="left"/>
      </w:pPr>
      <w:r>
        <w:rPr/>
        <w:t>□适用√不适用</w:t>
      </w:r>
    </w:p>
    <w:p>
      <w:pPr>
        <w:pStyle w:val="Heading3"/>
        <w:spacing w:line="240" w:lineRule="auto" w:before="167"/>
        <w:ind w:left="163" w:right="99"/>
        <w:jc w:val="left"/>
        <w:rPr>
          <w:b w:val="0"/>
          <w:bCs w:val="0"/>
        </w:rPr>
      </w:pPr>
      <w:r>
        <w:rPr/>
        <w:t>十九、社会责任情况</w:t>
      </w:r>
      <w:r>
        <w:rPr>
          <w:b w:val="0"/>
          <w:bCs w:val="0"/>
        </w:rPr>
      </w:r>
    </w:p>
    <w:p>
      <w:pPr>
        <w:pStyle w:val="Heading6"/>
        <w:spacing w:line="240" w:lineRule="auto" w:before="179"/>
        <w:ind w:right="99"/>
        <w:jc w:val="left"/>
      </w:pPr>
      <w:r>
        <w:rPr/>
        <w:t>□适用√不适用</w:t>
      </w:r>
    </w:p>
    <w:p>
      <w:pPr>
        <w:pStyle w:val="Heading6"/>
        <w:spacing w:line="393" w:lineRule="auto" w:before="168"/>
        <w:ind w:right="99"/>
        <w:jc w:val="left"/>
      </w:pPr>
      <w:r>
        <w:rPr>
          <w:rFonts w:ascii="宋体" w:hAnsi="宋体" w:cs="宋体" w:eastAsia="宋体" w:hint="default"/>
          <w:b/>
          <w:bCs/>
          <w:sz w:val="24"/>
          <w:szCs w:val="24"/>
        </w:rPr>
        <w:t>二十、公司债券相关情况</w:t>
      </w:r>
      <w:r>
        <w:rPr>
          <w:rFonts w:ascii="宋体" w:hAnsi="宋体" w:cs="宋体" w:eastAsia="宋体" w:hint="default"/>
          <w:b/>
          <w:bCs/>
          <w:w w:val="99"/>
          <w:sz w:val="24"/>
          <w:szCs w:val="24"/>
        </w:rPr>
        <w:t> </w:t>
      </w:r>
      <w:r>
        <w:rPr>
          <w:spacing w:val="-3"/>
        </w:rPr>
        <w:t>公司是否存在公开发行并在证券交易所上市，且在年度报告批准报出日未到期或到期未能全</w:t>
      </w:r>
      <w:r>
        <w:rPr>
          <w:spacing w:val="-28"/>
        </w:rPr>
        <w:t> </w:t>
      </w:r>
      <w:r>
        <w:rPr>
          <w:spacing w:val="-28"/>
        </w:rPr>
      </w:r>
      <w:r>
        <w:rPr/>
        <w:t>额兑付的公司债券</w:t>
      </w:r>
    </w:p>
    <w:p>
      <w:pPr>
        <w:pStyle w:val="Heading6"/>
        <w:spacing w:line="240" w:lineRule="auto" w:before="58"/>
        <w:ind w:right="99"/>
        <w:jc w:val="left"/>
      </w:pPr>
      <w:r>
        <w:rPr/>
        <w:t>□是√否</w:t>
      </w:r>
    </w:p>
    <w:p>
      <w:pPr>
        <w:spacing w:after="0" w:line="240" w:lineRule="auto"/>
        <w:jc w:val="left"/>
        <w:sectPr>
          <w:pgSz w:w="11910" w:h="16840"/>
          <w:pgMar w:header="0" w:footer="959" w:top="1480" w:bottom="1140" w:left="1680" w:right="1560"/>
        </w:sectPr>
      </w:pPr>
    </w:p>
    <w:p>
      <w:pPr>
        <w:spacing w:line="240" w:lineRule="auto" w:before="6"/>
        <w:rPr>
          <w:rFonts w:ascii="宋体" w:hAnsi="宋体" w:cs="宋体" w:eastAsia="宋体" w:hint="default"/>
          <w:sz w:val="19"/>
          <w:szCs w:val="19"/>
        </w:rPr>
      </w:pPr>
    </w:p>
    <w:p>
      <w:pPr>
        <w:pStyle w:val="Heading1"/>
        <w:spacing w:line="240" w:lineRule="auto"/>
        <w:ind w:left="3057" w:right="0"/>
        <w:jc w:val="left"/>
        <w:rPr>
          <w:b w:val="0"/>
          <w:bCs w:val="0"/>
        </w:rPr>
      </w:pPr>
      <w:bookmarkStart w:name="_TOC_250004" w:id="6"/>
      <w:r>
        <w:rPr/>
        <w:t>第六节股份变动及股东情况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left="803"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803"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615"/>
        <w:jc w:val="right"/>
      </w:pPr>
      <w:r>
        <w:rPr/>
        <w:t>单位：股</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217"/>
        <w:gridCol w:w="821"/>
        <w:gridCol w:w="823"/>
        <w:gridCol w:w="823"/>
        <w:gridCol w:w="824"/>
        <w:gridCol w:w="821"/>
        <w:gridCol w:w="823"/>
        <w:gridCol w:w="821"/>
        <w:gridCol w:w="794"/>
        <w:gridCol w:w="794"/>
      </w:tblGrid>
      <w:tr>
        <w:trPr>
          <w:trHeight w:val="362" w:hRule="exact"/>
        </w:trPr>
        <w:tc>
          <w:tcPr>
            <w:tcW w:w="2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7" w:type="dxa"/>
            <w:vMerge w:val="restart"/>
            <w:tcBorders>
              <w:top w:val="nil" w:sz="6" w:space="0" w:color="auto"/>
              <w:left w:val="single" w:sz="4" w:space="0" w:color="000000"/>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314"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3" w:hRule="exact"/>
        </w:trPr>
        <w:tc>
          <w:tcPr>
            <w:tcW w:w="2217" w:type="dxa"/>
            <w:vMerge/>
            <w:tcBorders>
              <w:left w:val="single" w:sz="4" w:space="0" w:color="000000"/>
              <w:bottom w:val="nil" w:sz="6" w:space="0" w:color="auto"/>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vMerge/>
            <w:tcBorders>
              <w:left w:val="single" w:sz="4" w:space="0" w:color="000000"/>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80" w:hRule="exact"/>
        </w:trPr>
        <w:tc>
          <w:tcPr>
            <w:tcW w:w="2217" w:type="dxa"/>
            <w:vMerge w:val="restart"/>
            <w:tcBorders>
              <w:top w:val="nil" w:sz="6" w:space="0" w:color="auto"/>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7"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9" w:space="0" w:color="D2D2D2"/>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124,978,5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35.51%</w:t>
            </w:r>
          </w:p>
        </w:tc>
        <w:tc>
          <w:tcPr>
            <w:tcW w:w="823"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24,999,01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-66,250,9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-41,251,9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83,726,62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19.82%</w:t>
            </w:r>
          </w:p>
        </w:tc>
      </w:tr>
      <w:tr>
        <w:trPr>
          <w:trHeight w:val="353" w:hRule="exact"/>
        </w:trPr>
        <w:tc>
          <w:tcPr>
            <w:tcW w:w="22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1"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362" w:hRule="exact"/>
        </w:trPr>
        <w:tc>
          <w:tcPr>
            <w:tcW w:w="2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1" w:type="dxa"/>
            <w:tcBorders>
              <w:top w:val="single" w:sz="4" w:space="0" w:color="000000"/>
              <w:left w:val="single" w:sz="13"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1" w:type="dxa"/>
            <w:tcBorders>
              <w:top w:val="single" w:sz="4" w:space="0" w:color="000000"/>
              <w:left w:val="single" w:sz="13"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9" w:space="0" w:color="D2D2D2"/>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124,978,5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35.51%</w:t>
            </w:r>
          </w:p>
        </w:tc>
        <w:tc>
          <w:tcPr>
            <w:tcW w:w="823"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24,999,01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-66,250,9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-41,251,9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83,726,62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19.82%</w:t>
            </w:r>
          </w:p>
        </w:tc>
      </w:tr>
      <w:tr>
        <w:trPr>
          <w:trHeight w:val="350" w:hRule="exact"/>
        </w:trPr>
        <w:tc>
          <w:tcPr>
            <w:tcW w:w="22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1"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9" w:space="0" w:color="D2D2D2"/>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10,953,03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3.11%</w:t>
            </w:r>
          </w:p>
        </w:tc>
        <w:tc>
          <w:tcPr>
            <w:tcW w:w="823"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2,190,607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-1,769,39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9,183,642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2.17%</w:t>
            </w:r>
          </w:p>
        </w:tc>
      </w:tr>
      <w:tr>
        <w:trPr>
          <w:trHeight w:val="353" w:hRule="exact"/>
        </w:trPr>
        <w:tc>
          <w:tcPr>
            <w:tcW w:w="22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1"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9" w:space="0" w:color="D2D2D2"/>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w w:val="95"/>
                <w:sz w:val="18"/>
              </w:rPr>
              <w:t>114,025,5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32.40%</w:t>
            </w:r>
          </w:p>
        </w:tc>
        <w:tc>
          <w:tcPr>
            <w:tcW w:w="823"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22,808,40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-62,290,9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-39,482,5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74,542,97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17.65%</w:t>
            </w:r>
          </w:p>
        </w:tc>
      </w:tr>
      <w:tr>
        <w:trPr>
          <w:trHeight w:val="353" w:hRule="exact"/>
        </w:trPr>
        <w:tc>
          <w:tcPr>
            <w:tcW w:w="22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393"/>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1"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362" w:hRule="exact"/>
        </w:trPr>
        <w:tc>
          <w:tcPr>
            <w:tcW w:w="2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1" w:type="dxa"/>
            <w:tcBorders>
              <w:top w:val="single" w:sz="4" w:space="0" w:color="000000"/>
              <w:left w:val="single" w:sz="13"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1" w:type="dxa"/>
            <w:tcBorders>
              <w:top w:val="single" w:sz="4" w:space="0" w:color="000000"/>
              <w:left w:val="single" w:sz="13"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3"/>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1" w:type="dxa"/>
            <w:tcBorders>
              <w:top w:val="single" w:sz="4" w:space="0" w:color="000000"/>
              <w:left w:val="single" w:sz="13"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9" w:space="0" w:color="D2D2D2"/>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226,981,0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64.49%</w:t>
            </w:r>
          </w:p>
        </w:tc>
        <w:tc>
          <w:tcPr>
            <w:tcW w:w="823"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45,392,90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66,250,98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2"/>
                <w:sz w:val="18"/>
              </w:rPr>
              <w:t>111,643,8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338,624,8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80.18%</w:t>
            </w:r>
          </w:p>
        </w:tc>
      </w:tr>
      <w:tr>
        <w:trPr>
          <w:trHeight w:val="350" w:hRule="exact"/>
        </w:trPr>
        <w:tc>
          <w:tcPr>
            <w:tcW w:w="22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1"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9" w:space="0" w:color="D2D2D2"/>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226,981,0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64.49%</w:t>
            </w:r>
          </w:p>
        </w:tc>
        <w:tc>
          <w:tcPr>
            <w:tcW w:w="823"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45,392,90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66,250,98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111,643,8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338,624,8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80.18%</w:t>
            </w:r>
          </w:p>
        </w:tc>
      </w:tr>
      <w:tr>
        <w:trPr>
          <w:trHeight w:val="353" w:hRule="exact"/>
        </w:trPr>
        <w:tc>
          <w:tcPr>
            <w:tcW w:w="22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1"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363" w:hRule="exact"/>
        </w:trPr>
        <w:tc>
          <w:tcPr>
            <w:tcW w:w="2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1" w:type="dxa"/>
            <w:tcBorders>
              <w:top w:val="single" w:sz="4" w:space="0" w:color="000000"/>
              <w:left w:val="single" w:sz="13"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1" w:type="dxa"/>
            <w:tcBorders>
              <w:top w:val="single" w:sz="4" w:space="0" w:color="000000"/>
              <w:left w:val="single" w:sz="13"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1" w:type="dxa"/>
            <w:tcBorders>
              <w:top w:val="single" w:sz="4" w:space="0" w:color="000000"/>
              <w:left w:val="single" w:sz="13" w:space="0" w:color="D2D2D2"/>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9" w:space="0" w:color="D2D2D2"/>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351,959,5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70,391,91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70,391,91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422,351,5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50" w:hRule="exact"/>
        </w:trPr>
        <w:tc>
          <w:tcPr>
            <w:tcW w:w="22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1"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3" w:hRule="exact"/>
        </w:trPr>
        <w:tc>
          <w:tcPr>
            <w:tcW w:w="2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316" w:lineRule="auto" w:before="8"/>
        <w:ind w:left="803" w:right="683"/>
        <w:jc w:val="left"/>
      </w:pPr>
      <w:r>
        <w:rPr/>
        <w:t>注：上表股份数测算以中国登记结算股份有限公司出具的股份数为主。因部分股份数四舍五入后与上年期 末股份数</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股之差。</w:t>
      </w:r>
    </w:p>
    <w:p>
      <w:pPr>
        <w:spacing w:after="0" w:line="316" w:lineRule="auto"/>
        <w:jc w:val="left"/>
        <w:sectPr>
          <w:pgSz w:w="11910" w:h="16840"/>
          <w:pgMar w:header="0" w:footer="959" w:top="1580" w:bottom="1140" w:left="1040" w:right="1080"/>
        </w:sectPr>
      </w:pPr>
    </w:p>
    <w:p>
      <w:pPr>
        <w:pStyle w:val="Heading6"/>
        <w:spacing w:line="240" w:lineRule="auto" w:before="6"/>
        <w:ind w:right="0"/>
        <w:jc w:val="left"/>
      </w:pPr>
      <w:r>
        <w:rPr/>
        <w:t>股份变动的原因</w:t>
      </w:r>
    </w:p>
    <w:p>
      <w:pPr>
        <w:spacing w:line="240" w:lineRule="auto" w:before="10"/>
        <w:rPr>
          <w:rFonts w:ascii="宋体" w:hAnsi="宋体" w:cs="宋体" w:eastAsia="宋体" w:hint="default"/>
          <w:sz w:val="14"/>
          <w:szCs w:val="14"/>
        </w:rPr>
      </w:pPr>
    </w:p>
    <w:p>
      <w:pPr>
        <w:pStyle w:val="Heading6"/>
        <w:spacing w:line="240" w:lineRule="auto"/>
        <w:ind w:left="58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日公司首次公开发行部分限售股解除限售。</w:t>
      </w:r>
    </w:p>
    <w:p>
      <w:pPr>
        <w:pStyle w:val="Heading6"/>
        <w:spacing w:line="398" w:lineRule="auto" w:before="177"/>
        <w:ind w:right="115" w:firstLine="419"/>
        <w:jc w:val="both"/>
      </w:pPr>
      <w:r>
        <w:rPr>
          <w:rFonts w:ascii="Times New Roman" w:hAnsi="Times New Roman" w:cs="Times New Roman" w:eastAsia="Times New Roman" w:hint="default"/>
        </w:rPr>
        <w:t>2</w:t>
      </w:r>
      <w:r>
        <w:rPr/>
        <w:t>、因原公司监事赵伟立及高管人员陈晶德、喻宇汉辞去公司职务，自离职信息申报之</w:t>
      </w:r>
      <w:r>
        <w:rPr>
          <w:w w:val="100"/>
        </w:rPr>
        <w:t> </w:t>
      </w:r>
      <w:r>
        <w:rPr>
          <w:spacing w:val="-3"/>
        </w:rPr>
        <w:t>日起六个月内，所持公司股份将予以锁定，该部分股份已于报告期解除锁定；新任监事周艳</w:t>
      </w:r>
      <w:r>
        <w:rPr>
          <w:spacing w:val="-35"/>
        </w:rPr>
        <w:t> </w:t>
      </w:r>
      <w:r>
        <w:rPr>
          <w:spacing w:val="-35"/>
        </w:rPr>
      </w:r>
      <w:r>
        <w:rPr/>
        <w:t>所持公司股份按高管锁定股部分锁定。</w:t>
      </w:r>
    </w:p>
    <w:p>
      <w:pPr>
        <w:pStyle w:val="Heading6"/>
        <w:spacing w:line="240" w:lineRule="auto" w:before="54"/>
        <w:ind w:left="583" w:right="0"/>
        <w:jc w:val="left"/>
      </w:pPr>
      <w:r>
        <w:rPr>
          <w:rFonts w:ascii="Times New Roman" w:hAnsi="Times New Roman" w:cs="Times New Roman" w:eastAsia="Times New Roman" w:hint="default"/>
        </w:rPr>
        <w:t>3</w:t>
      </w:r>
      <w:r>
        <w:rPr/>
        <w:t>、根据公司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日召开的</w:t>
      </w:r>
      <w:r>
        <w:rPr>
          <w:rFonts w:ascii="Times New Roman" w:hAnsi="Times New Roman" w:cs="Times New Roman" w:eastAsia="Times New Roman" w:hint="default"/>
        </w:rPr>
        <w:t>2014</w:t>
      </w:r>
      <w:r>
        <w:rPr/>
        <w:t>度股东大会决议，以公司</w:t>
      </w:r>
      <w:r>
        <w:rPr>
          <w:rFonts w:ascii="Times New Roman" w:hAnsi="Times New Roman" w:cs="Times New Roman" w:eastAsia="Times New Roman" w:hint="default"/>
        </w:rPr>
        <w:t>2014</w:t>
      </w:r>
      <w:r>
        <w:rPr/>
        <w:t>年末的总股本</w:t>
      </w:r>
    </w:p>
    <w:p>
      <w:pPr>
        <w:pStyle w:val="Heading6"/>
        <w:spacing w:line="386" w:lineRule="auto" w:before="177"/>
        <w:ind w:right="0"/>
        <w:jc w:val="left"/>
      </w:pPr>
      <w:r>
        <w:rPr>
          <w:rFonts w:ascii="Times New Roman" w:hAnsi="Times New Roman" w:cs="Times New Roman" w:eastAsia="Times New Roman" w:hint="default"/>
          <w:spacing w:val="-2"/>
        </w:rPr>
        <w:t>351,959,591</w:t>
      </w:r>
      <w:r>
        <w:rPr>
          <w:spacing w:val="-2"/>
        </w:rPr>
        <w:t>股为基数，以资本公积金向全体股东每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2</w:t>
      </w:r>
      <w:r>
        <w:rPr>
          <w:spacing w:val="-2"/>
        </w:rPr>
        <w:t>股，上述方案于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8</w:t>
      </w:r>
      <w:r>
        <w:rPr>
          <w:spacing w:val="-2"/>
        </w:rPr>
        <w:t>日</w:t>
      </w:r>
      <w:r>
        <w:rPr>
          <w:spacing w:val="-16"/>
        </w:rPr>
        <w:t> </w:t>
      </w:r>
      <w:r>
        <w:rPr/>
        <w:t>实施完毕，公司总股本由</w:t>
      </w:r>
      <w:r>
        <w:rPr>
          <w:rFonts w:ascii="Times New Roman" w:hAnsi="Times New Roman" w:cs="Times New Roman" w:eastAsia="Times New Roman" w:hint="default"/>
        </w:rPr>
        <w:t>351,959,591</w:t>
      </w:r>
      <w:r>
        <w:rPr/>
        <w:t>股增至</w:t>
      </w:r>
      <w:r>
        <w:rPr>
          <w:rFonts w:ascii="Times New Roman" w:hAnsi="Times New Roman" w:cs="Times New Roman" w:eastAsia="Times New Roman" w:hint="default"/>
        </w:rPr>
        <w:t>422,351,509</w:t>
      </w:r>
      <w:r>
        <w:rPr/>
        <w:t>股。</w:t>
      </w:r>
    </w:p>
    <w:p>
      <w:pPr>
        <w:pStyle w:val="Heading6"/>
        <w:spacing w:line="240" w:lineRule="auto" w:before="35"/>
        <w:ind w:left="583"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日公司非公开发行部分股份解除限售。</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Heading6"/>
        <w:spacing w:line="240" w:lineRule="auto"/>
        <w:ind w:right="0"/>
        <w:jc w:val="left"/>
      </w:pPr>
      <w:r>
        <w:rPr/>
        <w:t>股份变动的批准情况</w:t>
      </w:r>
    </w:p>
    <w:p>
      <w:pPr>
        <w:spacing w:line="240" w:lineRule="auto" w:before="10"/>
        <w:rPr>
          <w:rFonts w:ascii="宋体" w:hAnsi="宋体" w:cs="宋体" w:eastAsia="宋体" w:hint="default"/>
          <w:sz w:val="14"/>
          <w:szCs w:val="14"/>
        </w:rPr>
      </w:pPr>
    </w:p>
    <w:p>
      <w:pPr>
        <w:pStyle w:val="Heading6"/>
        <w:spacing w:line="386" w:lineRule="auto"/>
        <w:ind w:right="179" w:firstLine="419"/>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16</w:t>
      </w:r>
      <w:r>
        <w:rPr>
          <w:spacing w:val="-2"/>
        </w:rPr>
        <w:t>日公司首次公开发行部份限售股解除限售，于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12</w:t>
      </w:r>
      <w:r>
        <w:rPr>
          <w:spacing w:val="-2"/>
        </w:rPr>
        <w:t>日在中国证</w:t>
      </w:r>
      <w:r>
        <w:rPr>
          <w:w w:val="100"/>
        </w:rPr>
        <w:t> </w:t>
      </w:r>
      <w:r>
        <w:rPr/>
        <w:t>监会创业板指定信息披露网站公告了《关于限售股份上市流通的提示性公告》。</w:t>
      </w:r>
    </w:p>
    <w:p>
      <w:pPr>
        <w:pStyle w:val="Heading6"/>
        <w:spacing w:line="396" w:lineRule="auto" w:before="65"/>
        <w:ind w:right="110" w:firstLine="419"/>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日公司</w:t>
      </w:r>
      <w:r>
        <w:rPr>
          <w:rFonts w:ascii="Times New Roman" w:hAnsi="Times New Roman" w:cs="Times New Roman" w:eastAsia="Times New Roman" w:hint="default"/>
        </w:rPr>
        <w:t>2015</w:t>
      </w:r>
      <w:r>
        <w:rPr/>
        <w:t>年第二次临时股东大会审议通过了《关于提名公司非职工监</w:t>
      </w:r>
      <w:r>
        <w:rPr>
          <w:w w:val="100"/>
        </w:rPr>
        <w:t> </w:t>
      </w:r>
      <w:r>
        <w:rPr>
          <w:spacing w:val="-3"/>
        </w:rPr>
        <w:t>事候选人的议案》，同时公司在中国证监会创业板指定信息披露网站公告了《关于公司变更</w:t>
      </w:r>
      <w:r>
        <w:rPr>
          <w:spacing w:val="-31"/>
        </w:rPr>
        <w:t> </w:t>
      </w:r>
      <w:r>
        <w:rPr>
          <w:spacing w:val="-31"/>
        </w:rPr>
      </w:r>
      <w:r>
        <w:rPr>
          <w:spacing w:val="-2"/>
        </w:rPr>
        <w:t>监事的公告》，因新任监事周艳女士持有本公司</w:t>
      </w:r>
      <w:r>
        <w:rPr>
          <w:rFonts w:ascii="Times New Roman" w:hAnsi="Times New Roman" w:cs="Times New Roman" w:eastAsia="Times New Roman" w:hint="default"/>
          <w:spacing w:val="-2"/>
        </w:rPr>
        <w:t>79,167</w:t>
      </w:r>
      <w:r>
        <w:rPr>
          <w:spacing w:val="-2"/>
        </w:rPr>
        <w:t>股股份，于股东大会审议通过之日起</w:t>
      </w:r>
      <w:r>
        <w:rPr>
          <w:spacing w:val="-30"/>
        </w:rPr>
        <w:t> </w:t>
      </w:r>
      <w:r>
        <w:rPr>
          <w:spacing w:val="-30"/>
        </w:rPr>
      </w:r>
      <w:r>
        <w:rPr>
          <w:spacing w:val="-3"/>
        </w:rPr>
        <w:t>所持公司股份按高管锁定股部分锁定；历任监事赵伟立女士辞职申请自股东大会审议通过后</w:t>
      </w:r>
      <w:r>
        <w:rPr>
          <w:spacing w:val="-27"/>
        </w:rPr>
        <w:t> </w:t>
      </w:r>
      <w:r>
        <w:rPr>
          <w:spacing w:val="-27"/>
        </w:rPr>
      </w:r>
      <w:r>
        <w:rPr>
          <w:spacing w:val="-4"/>
        </w:rPr>
        <w:t>生效，其所持公司</w:t>
      </w:r>
      <w:r>
        <w:rPr>
          <w:rFonts w:ascii="Times New Roman" w:hAnsi="Times New Roman" w:cs="Times New Roman" w:eastAsia="Times New Roman" w:hint="default"/>
          <w:spacing w:val="-4"/>
        </w:rPr>
        <w:t>769,680</w:t>
      </w:r>
      <w:r>
        <w:rPr>
          <w:spacing w:val="-4"/>
        </w:rPr>
        <w:t>股股份自离职信息申报之日起六个月内予以锁定，该部分股份已于</w:t>
      </w:r>
      <w:r>
        <w:rPr>
          <w:spacing w:val="-22"/>
        </w:rPr>
        <w:t> </w:t>
      </w:r>
      <w:r>
        <w:rPr>
          <w:spacing w:val="-22"/>
        </w:rPr>
      </w:r>
      <w:r>
        <w:rPr/>
        <w:t>报告期内解除锁定。</w:t>
      </w:r>
    </w:p>
    <w:p>
      <w:pPr>
        <w:pStyle w:val="Heading6"/>
        <w:spacing w:line="393" w:lineRule="auto" w:before="56"/>
        <w:ind w:right="110" w:firstLine="419"/>
        <w:jc w:val="both"/>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24</w:t>
      </w:r>
      <w:r>
        <w:rPr>
          <w:spacing w:val="-3"/>
        </w:rPr>
        <w:t>日公司在中国证监会创业板指定信息披露网站公告了《关于公司高管辞</w:t>
      </w:r>
      <w:r>
        <w:rPr>
          <w:w w:val="100"/>
        </w:rPr>
        <w:t> </w:t>
      </w:r>
      <w:r>
        <w:rPr>
          <w:spacing w:val="-3"/>
        </w:rPr>
        <w:t>职的公告》，陈晶德先生辞去公司副总裁职务，辞职后不再公司担任任何职务，自离职信息</w:t>
      </w:r>
      <w:r>
        <w:rPr>
          <w:spacing w:val="-28"/>
        </w:rPr>
        <w:t> </w:t>
      </w:r>
      <w:r>
        <w:rPr>
          <w:spacing w:val="-28"/>
        </w:rPr>
      </w:r>
      <w:r>
        <w:rPr>
          <w:spacing w:val="-4"/>
          <w:w w:val="100"/>
        </w:rPr>
        <w:t>申报之日起六个月内陈晶德先生所持公司</w:t>
      </w:r>
      <w:r>
        <w:rPr>
          <w:rFonts w:ascii="Times New Roman" w:hAnsi="Times New Roman" w:cs="Times New Roman" w:eastAsia="Times New Roman" w:hint="default"/>
          <w:spacing w:val="-4"/>
          <w:w w:val="100"/>
        </w:rPr>
        <w:t>183,926</w:t>
      </w:r>
      <w:r>
        <w:rPr>
          <w:spacing w:val="-4"/>
          <w:w w:val="100"/>
        </w:rPr>
        <w:t>股股份予以锁定，该部分股份已于报告期内</w:t>
      </w:r>
      <w:r>
        <w:rPr>
          <w:spacing w:val="-76"/>
          <w:w w:val="100"/>
        </w:rPr>
        <w:t> </w:t>
      </w:r>
      <w:r>
        <w:rPr>
          <w:spacing w:val="-76"/>
          <w:w w:val="100"/>
        </w:rPr>
      </w:r>
      <w:r>
        <w:rPr/>
        <w:t>解除锁定。</w:t>
      </w:r>
    </w:p>
    <w:p>
      <w:pPr>
        <w:pStyle w:val="Heading6"/>
        <w:spacing w:line="240" w:lineRule="auto" w:before="58"/>
        <w:ind w:left="583" w:right="0"/>
        <w:jc w:val="left"/>
      </w:pPr>
      <w:r>
        <w:rPr>
          <w:rFonts w:ascii="Times New Roman" w:hAnsi="Times New Roman" w:cs="Times New Roman" w:eastAsia="Times New Roman" w:hint="default"/>
        </w:rPr>
        <w:t>4</w:t>
      </w:r>
      <w:r>
        <w:rPr/>
        <w:t>、根据公司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日召开的</w:t>
      </w:r>
      <w:r>
        <w:rPr>
          <w:rFonts w:ascii="Times New Roman" w:hAnsi="Times New Roman" w:cs="Times New Roman" w:eastAsia="Times New Roman" w:hint="default"/>
        </w:rPr>
        <w:t>2014</w:t>
      </w:r>
      <w:r>
        <w:rPr/>
        <w:t>度股东大会决议，以公司</w:t>
      </w:r>
      <w:r>
        <w:rPr>
          <w:rFonts w:ascii="Times New Roman" w:hAnsi="Times New Roman" w:cs="Times New Roman" w:eastAsia="Times New Roman" w:hint="default"/>
        </w:rPr>
        <w:t>2014</w:t>
      </w:r>
      <w:r>
        <w:rPr/>
        <w:t>年末的总股本</w:t>
      </w:r>
    </w:p>
    <w:p>
      <w:pPr>
        <w:pStyle w:val="Heading6"/>
        <w:spacing w:line="386" w:lineRule="auto" w:before="177"/>
        <w:ind w:right="0"/>
        <w:jc w:val="left"/>
      </w:pPr>
      <w:r>
        <w:rPr>
          <w:rFonts w:ascii="Times New Roman" w:hAnsi="Times New Roman" w:cs="Times New Roman" w:eastAsia="Times New Roman" w:hint="default"/>
          <w:spacing w:val="-2"/>
        </w:rPr>
        <w:t>351,959,591</w:t>
      </w:r>
      <w:r>
        <w:rPr>
          <w:spacing w:val="-2"/>
        </w:rPr>
        <w:t>股为基数，以资本公积金向全体股东每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2</w:t>
      </w:r>
      <w:r>
        <w:rPr>
          <w:spacing w:val="-2"/>
        </w:rPr>
        <w:t>股。公司于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spacing w:val="-2"/>
        </w:rPr>
        <w:t>日在中</w:t>
      </w:r>
      <w:r>
        <w:rPr>
          <w:spacing w:val="-50"/>
        </w:rPr>
        <w:t> </w:t>
      </w:r>
      <w:r>
        <w:rPr>
          <w:spacing w:val="-50"/>
        </w:rPr>
      </w:r>
      <w:r>
        <w:rPr>
          <w:spacing w:val="-3"/>
        </w:rPr>
        <w:t>国证监会创业板指定信息披露网站公告了《</w:t>
      </w:r>
      <w:r>
        <w:rPr>
          <w:rFonts w:ascii="Times New Roman" w:hAnsi="Times New Roman" w:cs="Times New Roman" w:eastAsia="Times New Roman" w:hint="default"/>
          <w:spacing w:val="-3"/>
        </w:rPr>
        <w:t>2014</w:t>
      </w:r>
      <w:r>
        <w:rPr>
          <w:spacing w:val="-3"/>
        </w:rPr>
        <w:t>年度权益分派实施公告》，本次权益分派股</w:t>
      </w:r>
      <w:r>
        <w:rPr>
          <w:spacing w:val="-25"/>
        </w:rPr>
        <w:t> </w:t>
      </w:r>
      <w:r>
        <w:rPr>
          <w:spacing w:val="-25"/>
        </w:rPr>
      </w:r>
      <w:r>
        <w:rPr/>
        <w:t>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日，除权除息日为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日，实施完毕后公司总股本由</w:t>
      </w:r>
      <w:r>
        <w:rPr>
          <w:w w:val="100"/>
        </w:rPr>
        <w:t> </w:t>
      </w:r>
      <w:r>
        <w:rPr>
          <w:rFonts w:ascii="Times New Roman" w:hAnsi="Times New Roman" w:cs="Times New Roman" w:eastAsia="Times New Roman" w:hint="default"/>
        </w:rPr>
        <w:t>351,959,591</w:t>
      </w:r>
      <w:r>
        <w:rPr/>
        <w:t>股增至</w:t>
      </w:r>
      <w:r>
        <w:rPr>
          <w:rFonts w:ascii="Times New Roman" w:hAnsi="Times New Roman" w:cs="Times New Roman" w:eastAsia="Times New Roman" w:hint="default"/>
        </w:rPr>
        <w:t>422,351,509</w:t>
      </w:r>
      <w:r>
        <w:rPr/>
        <w:t>股。</w:t>
      </w:r>
    </w:p>
    <w:p>
      <w:pPr>
        <w:pStyle w:val="Heading6"/>
        <w:spacing w:line="386" w:lineRule="auto" w:before="36"/>
        <w:ind w:right="180" w:firstLine="419"/>
        <w:jc w:val="both"/>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16</w:t>
      </w:r>
      <w:r>
        <w:rPr>
          <w:spacing w:val="-2"/>
        </w:rPr>
        <w:t>日公司非公开发行部分股份解除限售，于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日在中国证监会</w:t>
      </w:r>
      <w:r>
        <w:rPr>
          <w:w w:val="100"/>
        </w:rPr>
        <w:t> </w:t>
      </w:r>
      <w:r>
        <w:rPr/>
        <w:t>创业板指定信息披露网站公告了《关于限售股份上市流通的提示性公告》。</w:t>
      </w:r>
    </w:p>
    <w:p>
      <w:pPr>
        <w:spacing w:after="0" w:line="386" w:lineRule="auto"/>
        <w:jc w:val="both"/>
        <w:sectPr>
          <w:pgSz w:w="11910" w:h="16840"/>
          <w:pgMar w:header="0" w:footer="959" w:top="1480" w:bottom="1140" w:left="1680" w:right="1580"/>
        </w:sectPr>
      </w:pPr>
    </w:p>
    <w:p>
      <w:pPr>
        <w:pStyle w:val="Heading6"/>
        <w:spacing w:line="393" w:lineRule="auto" w:before="6"/>
        <w:ind w:left="823" w:right="670" w:firstLine="419"/>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日公司在中国证监会创业板指定信息披露网站公告了《关于公司常务副</w:t>
      </w:r>
      <w:r>
        <w:rPr>
          <w:w w:val="100"/>
        </w:rPr>
        <w:t> </w:t>
      </w:r>
      <w:r>
        <w:rPr>
          <w:spacing w:val="-3"/>
        </w:rPr>
        <w:t>总裁、董事会秘书辞职的公告》，喻宇汉先生辞去公司常务副总裁、董事会秘书职务，辞职</w:t>
      </w:r>
      <w:r>
        <w:rPr>
          <w:spacing w:val="-35"/>
        </w:rPr>
        <w:t> </w:t>
      </w:r>
      <w:r>
        <w:rPr>
          <w:spacing w:val="-35"/>
        </w:rPr>
      </w:r>
      <w:r>
        <w:rPr>
          <w:spacing w:val="-4"/>
          <w:w w:val="100"/>
        </w:rPr>
        <w:t>后不在公司担任任何职务，自离职信息申报之日起六个月内喻宇汉先生所持公司</w:t>
      </w:r>
      <w:r>
        <w:rPr>
          <w:rFonts w:ascii="Times New Roman" w:hAnsi="Times New Roman" w:cs="Times New Roman" w:eastAsia="Times New Roman" w:hint="default"/>
          <w:spacing w:val="-4"/>
          <w:w w:val="100"/>
        </w:rPr>
        <w:t>115,501</w:t>
      </w:r>
      <w:r>
        <w:rPr>
          <w:spacing w:val="-4"/>
          <w:w w:val="100"/>
        </w:rPr>
        <w:t>股股</w:t>
      </w:r>
      <w:r>
        <w:rPr>
          <w:spacing w:val="-73"/>
          <w:w w:val="100"/>
        </w:rPr>
        <w:t> </w:t>
      </w:r>
      <w:r>
        <w:rPr/>
        <w:t>份予以锁定，该部分股份已于报告期内解除锁定。</w:t>
      </w:r>
    </w:p>
    <w:p>
      <w:pPr>
        <w:pStyle w:val="Heading6"/>
        <w:spacing w:line="240" w:lineRule="auto" w:before="58"/>
        <w:ind w:left="823" w:right="3641"/>
        <w:jc w:val="left"/>
      </w:pPr>
      <w:r>
        <w:rPr/>
        <w:t>股份变动的过户情况</w:t>
      </w:r>
    </w:p>
    <w:p>
      <w:pPr>
        <w:spacing w:line="240" w:lineRule="auto" w:before="10"/>
        <w:rPr>
          <w:rFonts w:ascii="宋体" w:hAnsi="宋体" w:cs="宋体" w:eastAsia="宋体" w:hint="default"/>
          <w:sz w:val="14"/>
          <w:szCs w:val="14"/>
        </w:rPr>
      </w:pPr>
    </w:p>
    <w:p>
      <w:pPr>
        <w:pStyle w:val="Heading6"/>
        <w:spacing w:line="240" w:lineRule="auto"/>
        <w:ind w:left="823" w:right="3641"/>
        <w:jc w:val="left"/>
      </w:pPr>
      <w:r>
        <w:rPr/>
        <w:t>□适用√不适用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408" w:lineRule="auto" w:before="138"/>
        <w:ind w:left="823" w:right="687"/>
        <w:jc w:val="left"/>
      </w:pPr>
      <w:r>
        <w:rPr>
          <w:spacing w:val="-3"/>
        </w:rPr>
        <w:t>股份变动对最近一年和最近一期基本每股收益和稀释每股收益、归属于公司普通股股东的每</w:t>
      </w:r>
      <w:r>
        <w:rPr>
          <w:spacing w:val="-27"/>
        </w:rPr>
        <w:t> </w:t>
      </w:r>
      <w:r>
        <w:rPr>
          <w:spacing w:val="-27"/>
        </w:rPr>
      </w:r>
      <w:r>
        <w:rPr/>
        <w:t>股净资产等财务指标的影响</w:t>
      </w:r>
    </w:p>
    <w:p>
      <w:pPr>
        <w:pStyle w:val="Heading6"/>
        <w:spacing w:line="240" w:lineRule="auto" w:before="46"/>
        <w:ind w:left="1243" w:right="687"/>
        <w:jc w:val="left"/>
      </w:pPr>
      <w:r>
        <w:rPr/>
        <w:t>根据公司</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3"/>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6</w:t>
      </w:r>
      <w:r>
        <w:rPr>
          <w:rFonts w:ascii="宋体" w:hAnsi="宋体" w:cs="宋体" w:eastAsia="宋体" w:hint="default"/>
          <w:spacing w:val="-56"/>
        </w:rPr>
        <w:t> </w:t>
      </w:r>
      <w:r>
        <w:rPr/>
        <w:t>日召开的</w:t>
      </w:r>
      <w:r>
        <w:rPr>
          <w:spacing w:val="-54"/>
        </w:rPr>
        <w:t> </w:t>
      </w:r>
      <w:r>
        <w:rPr>
          <w:rFonts w:ascii="宋体" w:hAnsi="宋体" w:cs="宋体" w:eastAsia="宋体" w:hint="default"/>
        </w:rPr>
        <w:t>2014</w:t>
      </w:r>
      <w:r>
        <w:rPr>
          <w:rFonts w:ascii="宋体" w:hAnsi="宋体" w:cs="宋体" w:eastAsia="宋体" w:hint="default"/>
          <w:spacing w:val="-54"/>
        </w:rPr>
        <w:t> </w:t>
      </w:r>
      <w:r>
        <w:rPr/>
        <w:t>度股东大会决议，以公司</w:t>
      </w:r>
      <w:r>
        <w:rPr>
          <w:spacing w:val="-54"/>
        </w:rPr>
        <w:t> </w:t>
      </w:r>
      <w:r>
        <w:rPr>
          <w:rFonts w:ascii="宋体" w:hAnsi="宋体" w:cs="宋体" w:eastAsia="宋体" w:hint="default"/>
        </w:rPr>
        <w:t>2014</w:t>
      </w:r>
      <w:r>
        <w:rPr>
          <w:rFonts w:ascii="宋体" w:hAnsi="宋体" w:cs="宋体" w:eastAsia="宋体" w:hint="default"/>
          <w:spacing w:val="-54"/>
        </w:rPr>
        <w:t> </w:t>
      </w:r>
      <w:r>
        <w:rPr/>
        <w:t>年末的总股本</w:t>
      </w:r>
    </w:p>
    <w:p>
      <w:pPr>
        <w:spacing w:line="240" w:lineRule="auto" w:before="10"/>
        <w:rPr>
          <w:rFonts w:ascii="宋体" w:hAnsi="宋体" w:cs="宋体" w:eastAsia="宋体" w:hint="default"/>
          <w:sz w:val="14"/>
          <w:szCs w:val="14"/>
        </w:rPr>
      </w:pPr>
    </w:p>
    <w:p>
      <w:pPr>
        <w:pStyle w:val="Heading6"/>
        <w:spacing w:line="240" w:lineRule="auto"/>
        <w:ind w:left="823" w:right="687"/>
        <w:jc w:val="left"/>
      </w:pPr>
      <w:r>
        <w:rPr>
          <w:rFonts w:ascii="宋体" w:hAnsi="宋体" w:cs="宋体" w:eastAsia="宋体" w:hint="default"/>
        </w:rPr>
        <w:t>351,959,591</w:t>
      </w:r>
      <w:r>
        <w:rPr>
          <w:rFonts w:ascii="宋体" w:hAnsi="宋体" w:cs="宋体" w:eastAsia="宋体" w:hint="default"/>
          <w:spacing w:val="-53"/>
        </w:rPr>
        <w:t> </w:t>
      </w:r>
      <w:r>
        <w:rPr/>
        <w:t>股为基数，以资本公积金向全体股东每</w:t>
      </w:r>
      <w:r>
        <w:rPr>
          <w:spacing w:val="-52"/>
        </w:rPr>
        <w:t> </w:t>
      </w:r>
      <w:r>
        <w:rPr>
          <w:rFonts w:ascii="宋体" w:hAnsi="宋体" w:cs="宋体" w:eastAsia="宋体" w:hint="default"/>
        </w:rPr>
        <w:t>10</w:t>
      </w:r>
      <w:r>
        <w:rPr>
          <w:rFonts w:ascii="宋体" w:hAnsi="宋体" w:cs="宋体" w:eastAsia="宋体" w:hint="default"/>
          <w:spacing w:val="-55"/>
        </w:rPr>
        <w:t> </w:t>
      </w:r>
      <w:r>
        <w:rPr/>
        <w:t>股转增</w:t>
      </w:r>
      <w:r>
        <w:rPr>
          <w:spacing w:val="-53"/>
        </w:rPr>
        <w:t> </w:t>
      </w:r>
      <w:r>
        <w:rPr>
          <w:rFonts w:ascii="宋体" w:hAnsi="宋体" w:cs="宋体" w:eastAsia="宋体" w:hint="default"/>
        </w:rPr>
        <w:t>2</w:t>
      </w:r>
      <w:r>
        <w:rPr>
          <w:rFonts w:ascii="宋体" w:hAnsi="宋体" w:cs="宋体" w:eastAsia="宋体" w:hint="default"/>
          <w:spacing w:val="-55"/>
        </w:rPr>
        <w:t> </w:t>
      </w:r>
      <w:r>
        <w:rPr/>
        <w:t>股，公司总股本由</w:t>
      </w:r>
    </w:p>
    <w:p>
      <w:pPr>
        <w:spacing w:line="240" w:lineRule="auto" w:before="10"/>
        <w:rPr>
          <w:rFonts w:ascii="宋体" w:hAnsi="宋体" w:cs="宋体" w:eastAsia="宋体" w:hint="default"/>
          <w:sz w:val="14"/>
          <w:szCs w:val="14"/>
        </w:rPr>
      </w:pPr>
    </w:p>
    <w:p>
      <w:pPr>
        <w:pStyle w:val="Heading6"/>
        <w:spacing w:line="408" w:lineRule="auto"/>
        <w:ind w:left="823" w:right="687"/>
        <w:jc w:val="left"/>
      </w:pPr>
      <w:r>
        <w:rPr>
          <w:rFonts w:ascii="宋体" w:hAnsi="宋体" w:cs="宋体" w:eastAsia="宋体" w:hint="default"/>
        </w:rPr>
        <w:t>351,959,591</w:t>
      </w:r>
      <w:r>
        <w:rPr>
          <w:rFonts w:ascii="宋体" w:hAnsi="宋体" w:cs="宋体" w:eastAsia="宋体" w:hint="default"/>
          <w:spacing w:val="-56"/>
        </w:rPr>
        <w:t> </w:t>
      </w:r>
      <w:r>
        <w:rPr/>
        <w:t>股增至</w:t>
      </w:r>
      <w:r>
        <w:rPr>
          <w:spacing w:val="-58"/>
        </w:rPr>
        <w:t> </w:t>
      </w:r>
      <w:r>
        <w:rPr>
          <w:rFonts w:ascii="宋体" w:hAnsi="宋体" w:cs="宋体" w:eastAsia="宋体" w:hint="default"/>
        </w:rPr>
        <w:t>422,351,509</w:t>
      </w:r>
      <w:r>
        <w:rPr>
          <w:rFonts w:ascii="宋体" w:hAnsi="宋体" w:cs="宋体" w:eastAsia="宋体" w:hint="default"/>
          <w:spacing w:val="-55"/>
        </w:rPr>
        <w:t> </w:t>
      </w:r>
      <w:r>
        <w:rPr/>
        <w:t>股。受上述股份变化影响，报告期相应的基本每股收益和</w:t>
      </w:r>
      <w:r>
        <w:rPr>
          <w:w w:val="100"/>
        </w:rPr>
        <w:t> </w:t>
      </w:r>
      <w:r>
        <w:rPr/>
        <w:t>稀释每股收益、归属于上市公司普通股股东的每股净资产等财务指标均发生了变化。</w:t>
      </w:r>
    </w:p>
    <w:p>
      <w:pPr>
        <w:spacing w:line="240" w:lineRule="auto" w:before="0"/>
        <w:rPr>
          <w:rFonts w:ascii="宋体" w:hAnsi="宋体" w:cs="宋体" w:eastAsia="宋体" w:hint="default"/>
          <w:sz w:val="20"/>
          <w:szCs w:val="20"/>
        </w:rPr>
      </w:pPr>
    </w:p>
    <w:p>
      <w:pPr>
        <w:pStyle w:val="Heading6"/>
        <w:spacing w:line="240" w:lineRule="auto" w:before="137"/>
        <w:ind w:left="823" w:right="3641"/>
        <w:jc w:val="left"/>
      </w:pPr>
      <w:r>
        <w:rPr/>
        <w:t>公司认为必要或证券监管机构要求披露的其他内容</w:t>
      </w:r>
    </w:p>
    <w:p>
      <w:pPr>
        <w:spacing w:line="240" w:lineRule="auto" w:before="10"/>
        <w:rPr>
          <w:rFonts w:ascii="宋体" w:hAnsi="宋体" w:cs="宋体" w:eastAsia="宋体" w:hint="default"/>
          <w:sz w:val="14"/>
          <w:szCs w:val="14"/>
        </w:rPr>
      </w:pPr>
    </w:p>
    <w:p>
      <w:pPr>
        <w:pStyle w:val="Heading6"/>
        <w:spacing w:line="240" w:lineRule="auto"/>
        <w:ind w:left="823" w:right="3641"/>
        <w:jc w:val="left"/>
      </w:pPr>
      <w:r>
        <w:rPr/>
        <w:t>□适用√不适用</w:t>
      </w:r>
    </w:p>
    <w:p>
      <w:pPr>
        <w:spacing w:line="240" w:lineRule="auto" w:before="0"/>
        <w:rPr>
          <w:rFonts w:ascii="宋体" w:hAnsi="宋体" w:cs="宋体" w:eastAsia="宋体" w:hint="default"/>
          <w:sz w:val="20"/>
          <w:szCs w:val="20"/>
        </w:rPr>
      </w:pPr>
    </w:p>
    <w:p>
      <w:pPr>
        <w:pStyle w:val="Heading5"/>
        <w:spacing w:line="240" w:lineRule="auto" w:before="154"/>
        <w:ind w:right="3641"/>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675"/>
        <w:jc w:val="right"/>
      </w:pPr>
      <w:r>
        <w:rPr/>
        <w:t>单位：股</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476"/>
        <w:gridCol w:w="1352"/>
        <w:gridCol w:w="1349"/>
        <w:gridCol w:w="1349"/>
        <w:gridCol w:w="1349"/>
        <w:gridCol w:w="1349"/>
        <w:gridCol w:w="1416"/>
      </w:tblGrid>
      <w:tr>
        <w:trPr>
          <w:trHeight w:val="674"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78" w:right="3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78" w:right="39"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36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茅惠芳</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3,680,000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4,416,000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736,000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陈伟娟</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3,680,000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4,416,000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736,000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李广欣</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5,270,686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1,054,137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6,324,823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36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杨锦</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2,108,274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421,655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2,529,929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36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储达平</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2,108,274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421,655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2,529,929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36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王玉刚</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12,797,225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2,559,445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15,356,670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36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林丹</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14,822,695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17,787,234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2,964,539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张环宇</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1,686,619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337,324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2,023,943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401" w:hRule="exact"/>
        </w:trPr>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李桂华</w:t>
            </w:r>
          </w:p>
        </w:tc>
        <w:tc>
          <w:tcPr>
            <w:tcW w:w="135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58,966,904</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25,299,290</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11,793,381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18"/>
                <w:szCs w:val="18"/>
              </w:rPr>
            </w:pPr>
            <w:r>
              <w:rPr>
                <w:rFonts w:ascii="Times New Roman"/>
                <w:spacing w:val="-1"/>
                <w:sz w:val="18"/>
              </w:rPr>
              <w:t>24,537,589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362" w:hRule="exact"/>
        </w:trPr>
        <w:tc>
          <w:tcPr>
            <w:tcW w:w="1476" w:type="dxa"/>
            <w:vMerge/>
            <w:tcBorders>
              <w:left w:val="single" w:sz="4" w:space="0" w:color="000000"/>
              <w:bottom w:val="single" w:sz="4" w:space="0" w:color="000000"/>
              <w:right w:val="single" w:sz="4" w:space="0" w:color="000000"/>
            </w:tcBorders>
          </w:tcPr>
          <w:p>
            <w:pPr/>
          </w:p>
        </w:tc>
        <w:tc>
          <w:tcPr>
            <w:tcW w:w="1352"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20,923,406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36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章浩</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7,735,879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9,283,054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1,547,175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 w:right="0"/>
              <w:jc w:val="left"/>
              <w:rPr>
                <w:rFonts w:ascii="宋体" w:hAnsi="宋体" w:cs="宋体" w:eastAsia="宋体" w:hint="default"/>
                <w:sz w:val="18"/>
                <w:szCs w:val="18"/>
              </w:rPr>
            </w:pPr>
            <w:r>
              <w:rPr>
                <w:rFonts w:ascii="宋体" w:hAnsi="宋体" w:cs="宋体" w:eastAsia="宋体" w:hint="default"/>
                <w:sz w:val="18"/>
                <w:szCs w:val="18"/>
              </w:rPr>
              <w:t>北京神奇博信投</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7,653,035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1,530,607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9,183,642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0" w:footer="959" w:top="1480" w:bottom="1140" w:left="1020" w:right="1020"/>
        </w:sectPr>
      </w:pPr>
    </w:p>
    <w:p>
      <w:pPr>
        <w:spacing w:line="240" w:lineRule="auto" w:before="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476"/>
        <w:gridCol w:w="1352"/>
        <w:gridCol w:w="1349"/>
        <w:gridCol w:w="1349"/>
        <w:gridCol w:w="1349"/>
        <w:gridCol w:w="1349"/>
        <w:gridCol w:w="1416"/>
      </w:tblGrid>
      <w:tr>
        <w:trPr>
          <w:trHeight w:val="675"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19"/>
              <w:jc w:val="left"/>
              <w:rPr>
                <w:rFonts w:ascii="宋体" w:hAnsi="宋体" w:cs="宋体" w:eastAsia="宋体" w:hint="default"/>
                <w:sz w:val="18"/>
                <w:szCs w:val="18"/>
              </w:rPr>
            </w:pPr>
            <w:r>
              <w:rPr>
                <w:rFonts w:ascii="宋体" w:hAnsi="宋体" w:cs="宋体" w:eastAsia="宋体" w:hint="default"/>
                <w:spacing w:val="-3"/>
                <w:sz w:val="18"/>
                <w:szCs w:val="18"/>
              </w:rPr>
              <w:t>资管理中心（有限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合伙）</w:t>
            </w:r>
          </w:p>
        </w:tc>
        <w:tc>
          <w:tcPr>
            <w:tcW w:w="135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161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183"/>
              <w:jc w:val="left"/>
              <w:rPr>
                <w:rFonts w:ascii="宋体" w:hAnsi="宋体" w:cs="宋体" w:eastAsia="宋体" w:hint="default"/>
                <w:sz w:val="18"/>
                <w:szCs w:val="18"/>
              </w:rPr>
            </w:pPr>
            <w:r>
              <w:rPr>
                <w:rFonts w:ascii="宋体" w:hAnsi="宋体" w:cs="宋体" w:eastAsia="宋体" w:hint="default"/>
                <w:sz w:val="18"/>
                <w:szCs w:val="18"/>
              </w:rPr>
              <w:t>财通基金－平安 银行－平安信托</w:t>
            </w:r>
          </w:p>
          <w:p>
            <w:pPr>
              <w:pStyle w:val="TableParagraph"/>
              <w:spacing w:line="309" w:lineRule="auto" w:before="19"/>
              <w:ind w:left="21" w:right="19"/>
              <w:jc w:val="left"/>
              <w:rPr>
                <w:rFonts w:ascii="宋体" w:hAnsi="宋体" w:cs="宋体" w:eastAsia="宋体" w:hint="default"/>
                <w:sz w:val="18"/>
                <w:szCs w:val="18"/>
              </w:rPr>
            </w:pPr>
            <w:r>
              <w:rPr>
                <w:rFonts w:ascii="宋体" w:hAnsi="宋体" w:cs="宋体" w:eastAsia="宋体" w:hint="default"/>
                <w:sz w:val="18"/>
                <w:szCs w:val="18"/>
              </w:rPr>
              <w:t>－平安财富＊创 赢一期</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号集合 资金信托计划</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1"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喻宇汉</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96,251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115,501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陈晶德</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145,444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2"/>
                <w:sz w:val="18"/>
              </w:rPr>
              <w:t>220,711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75,266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赵伟立</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638,550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769,680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131,130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陈四清</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96,249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19,250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2"/>
                <w:sz w:val="18"/>
              </w:rPr>
              <w:t>115,499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674"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李强</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128,335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32,084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115,501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6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64,167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16,042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37,564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85,689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2" w:hRule="exact"/>
        </w:trPr>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124,978,587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66,315,597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25,063,628</w:t>
            </w:r>
          </w:p>
        </w:tc>
        <w:tc>
          <w:tcPr>
            <w:tcW w:w="134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0"/>
              <w:ind w:right="15"/>
              <w:jc w:val="right"/>
              <w:rPr>
                <w:rFonts w:ascii="Times New Roman" w:hAnsi="Times New Roman" w:cs="Times New Roman" w:eastAsia="Times New Roman" w:hint="default"/>
                <w:sz w:val="18"/>
                <w:szCs w:val="18"/>
              </w:rPr>
            </w:pPr>
            <w:r>
              <w:rPr>
                <w:rFonts w:ascii="Times New Roman"/>
                <w:spacing w:val="-1"/>
                <w:sz w:val="18"/>
              </w:rPr>
              <w:t>83,726,620</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left="823" w:right="3641"/>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spacing w:line="501" w:lineRule="auto" w:before="0"/>
        <w:ind w:left="823" w:right="613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pStyle w:val="BodyText"/>
        <w:spacing w:line="240" w:lineRule="auto" w:before="88"/>
        <w:ind w:left="0" w:right="675"/>
        <w:jc w:val="right"/>
      </w:pPr>
      <w:r>
        <w:rPr/>
        <w:pict>
          <v:shape style="position:absolute;margin-left:449.22699pt;margin-top:70.951714pt;width:85.75pt;height:31.2pt;mso-position-horizontal-relative:page;mso-position-vertical-relative:paragraph;z-index:-1038640" type="#_x0000_t202" filled="false" stroked="false">
            <v:textbox inset="0,0,0,0">
              <w:txbxContent>
                <w:p>
                  <w:pPr>
                    <w:pStyle w:val="BodyText"/>
                    <w:spacing w:line="203" w:lineRule="exact"/>
                    <w:ind w:left="0" w:right="0"/>
                    <w:jc w:val="left"/>
                  </w:pPr>
                  <w:r>
                    <w:rPr/>
                    <w:t>（如有）</w:t>
                  </w:r>
                </w:p>
              </w:txbxContent>
            </v:textbox>
            <w10:wrap type="none"/>
          </v:shape>
        </w:pict>
      </w:r>
      <w:r>
        <w:rPr/>
        <w:pict>
          <v:group style="position:absolute;margin-left:56.52pt;margin-top:21.391699pt;width:478.9pt;height:281.7pt;mso-position-horizontal-relative:page;mso-position-vertical-relative:paragraph;z-index:-1037824" coordorigin="1130,428" coordsize="9578,5634">
            <v:group style="position:absolute;left:1140;top:442;width:1323;height:468" coordorigin="1140,442" coordsize="1323,468">
              <v:shape style="position:absolute;left:1140;top:442;width:1323;height:468" coordorigin="1140,442" coordsize="1323,468" path="m1140,910l2463,910,2463,442,1140,442,1140,910xe" filled="true" fillcolor="#d2d2d2" stroked="false">
                <v:path arrowok="t"/>
                <v:fill type="solid"/>
              </v:shape>
            </v:group>
            <v:group style="position:absolute;left:1151;top:910;width:2;height:665" coordorigin="1151,910" coordsize="2,665">
              <v:shape style="position:absolute;left:1151;top:910;width:2;height:665" coordorigin="1151,910" coordsize="0,665" path="m1151,910l1151,1575e" filled="false" stroked="true" strokeweight="1.08pt" strokecolor="#d2d2d2">
                <v:path arrowok="t"/>
              </v:shape>
            </v:group>
            <v:group style="position:absolute;left:2452;top:910;width:2;height:665" coordorigin="2452,910" coordsize="2,665">
              <v:shape style="position:absolute;left:2452;top:910;width:2;height:665" coordorigin="2452,910" coordsize="0,665" path="m2452,910l2452,1575e" filled="false" stroked="true" strokeweight="1.08pt" strokecolor="#d2d2d2">
                <v:path arrowok="t"/>
              </v:shape>
            </v:group>
            <v:group style="position:absolute;left:1140;top:1575;width:1323;height:468" coordorigin="1140,1575" coordsize="1323,468">
              <v:shape style="position:absolute;left:1140;top:1575;width:1323;height:468" coordorigin="1140,1575" coordsize="1323,468" path="m1140,2043l2463,2043,2463,1575,1140,1575,1140,2043xe" filled="true" fillcolor="#d2d2d2" stroked="false">
                <v:path arrowok="t"/>
                <v:fill type="solid"/>
              </v:shape>
            </v:group>
            <v:group style="position:absolute;left:1162;top:910;width:1280;height:312" coordorigin="1162,910" coordsize="1280,312">
              <v:shape style="position:absolute;left:1162;top:910;width:1280;height:312" coordorigin="1162,910" coordsize="1280,312" path="m1162,1222l2441,1222,2441,910,1162,910,1162,1222xe" filled="true" fillcolor="#d2d2d2" stroked="false">
                <v:path arrowok="t"/>
                <v:fill type="solid"/>
              </v:shape>
            </v:group>
            <v:group style="position:absolute;left:1162;top:1222;width:1280;height:353" coordorigin="1162,1222" coordsize="1280,353">
              <v:shape style="position:absolute;left:1162;top:1222;width:1280;height:353" coordorigin="1162,1222" coordsize="1280,353" path="m1162,1575l2441,1575,2441,1222,1162,1222,1162,1575xe" filled="true" fillcolor="#d2d2d2" stroked="false">
                <v:path arrowok="t"/>
                <v:fill type="solid"/>
              </v:shape>
            </v:group>
            <v:group style="position:absolute;left:1140;top:437;width:1323;height:2" coordorigin="1140,437" coordsize="1323,2">
              <v:shape style="position:absolute;left:1140;top:437;width:1323;height:2" coordorigin="1140,437" coordsize="1323,0" path="m1140,437l2463,437e" filled="false" stroked="true" strokeweight=".48001pt" strokecolor="#000000">
                <v:path arrowok="t"/>
              </v:shape>
            </v:group>
            <v:group style="position:absolute;left:3269;top:442;width:1453;height:312" coordorigin="3269,442" coordsize="1453,312">
              <v:shape style="position:absolute;left:3269;top:442;width:1453;height:312" coordorigin="3269,442" coordsize="1453,312" path="m3269,754l4722,754,4722,442,3269,442,3269,754xe" filled="true" fillcolor="#d2d2d2" stroked="false">
                <v:path arrowok="t"/>
                <v:fill type="solid"/>
              </v:shape>
            </v:group>
            <v:group style="position:absolute;left:3281;top:754;width:2;height:977" coordorigin="3281,754" coordsize="2,977">
              <v:shape style="position:absolute;left:3281;top:754;width:2;height:977" coordorigin="3281,754" coordsize="0,977" path="m3281,754l3281,1731e" filled="false" stroked="true" strokeweight="1.2pt" strokecolor="#d2d2d2">
                <v:path arrowok="t"/>
              </v:shape>
            </v:group>
            <v:group style="position:absolute;left:4710;top:754;width:2;height:977" coordorigin="4710,754" coordsize="2,977">
              <v:shape style="position:absolute;left:4710;top:754;width:2;height:977" coordorigin="4710,754" coordsize="0,977" path="m4710,754l4710,1731e" filled="false" stroked="true" strokeweight="1.2pt" strokecolor="#d2d2d2">
                <v:path arrowok="t"/>
              </v:shape>
            </v:group>
            <v:group style="position:absolute;left:3269;top:1731;width:1453;height:312" coordorigin="3269,1731" coordsize="1453,312">
              <v:shape style="position:absolute;left:3269;top:1731;width:1453;height:312" coordorigin="3269,1731" coordsize="1453,312" path="m3269,2043l4722,2043,4722,1731,3269,1731,3269,2043xe" filled="true" fillcolor="#d2d2d2" stroked="false">
                <v:path arrowok="t"/>
                <v:fill type="solid"/>
              </v:shape>
            </v:group>
            <v:group style="position:absolute;left:3293;top:754;width:1405;height:312" coordorigin="3293,754" coordsize="1405,312">
              <v:shape style="position:absolute;left:3293;top:754;width:1405;height:312" coordorigin="3293,754" coordsize="1405,312" path="m3293,1066l4698,1066,4698,754,3293,754,3293,1066xe" filled="true" fillcolor="#d2d2d2" stroked="false">
                <v:path arrowok="t"/>
                <v:fill type="solid"/>
              </v:shape>
            </v:group>
            <v:group style="position:absolute;left:3293;top:1066;width:1405;height:312" coordorigin="3293,1066" coordsize="1405,312">
              <v:shape style="position:absolute;left:3293;top:1066;width:1405;height:312" coordorigin="3293,1066" coordsize="1405,312" path="m3293,1378l4698,1378,4698,1066,3293,1066,3293,1378xe" filled="true" fillcolor="#d2d2d2" stroked="false">
                <v:path arrowok="t"/>
                <v:fill type="solid"/>
              </v:shape>
            </v:group>
            <v:group style="position:absolute;left:3293;top:1378;width:1405;height:353" coordorigin="3293,1378" coordsize="1405,353">
              <v:shape style="position:absolute;left:3293;top:1378;width:1405;height:353" coordorigin="3293,1378" coordsize="1405,353" path="m3293,1731l4698,1731,4698,1378,3293,1378,3293,1731xe" filled="true" fillcolor="#d2d2d2" stroked="false">
                <v:path arrowok="t"/>
                <v:fill type="solid"/>
              </v:shape>
            </v:group>
            <v:group style="position:absolute;left:2472;top:437;width:788;height:2" coordorigin="2472,437" coordsize="788,2">
              <v:shape style="position:absolute;left:2472;top:437;width:788;height:2" coordorigin="2472,437" coordsize="788,0" path="m2472,437l3260,437e" filled="false" stroked="true" strokeweight=".48001pt" strokecolor="#000000">
                <v:path arrowok="t"/>
              </v:shape>
            </v:group>
            <v:group style="position:absolute;left:3269;top:437;width:1453;height:2" coordorigin="3269,437" coordsize="1453,2">
              <v:shape style="position:absolute;left:3269;top:437;width:1453;height:2" coordorigin="3269,437" coordsize="1453,0" path="m3269,437l4722,437e" filled="false" stroked="true" strokeweight=".48001pt" strokecolor="#000000">
                <v:path arrowok="t"/>
              </v:shape>
            </v:group>
            <v:group style="position:absolute;left:5927;top:442;width:1321;height:156" coordorigin="5927,442" coordsize="1321,156">
              <v:shape style="position:absolute;left:5927;top:442;width:1321;height:156" coordorigin="5927,442" coordsize="1321,156" path="m5927,598l7247,598,7247,442,5927,442,5927,598xe" filled="true" fillcolor="#d2d2d2" stroked="false">
                <v:path arrowok="t"/>
                <v:fill type="solid"/>
              </v:shape>
            </v:group>
            <v:group style="position:absolute;left:5939;top:598;width:2;height:1289" coordorigin="5939,598" coordsize="2,1289">
              <v:shape style="position:absolute;left:5939;top:598;width:2;height:1289" coordorigin="5939,598" coordsize="0,1289" path="m5939,598l5939,1887e" filled="false" stroked="true" strokeweight="1.2pt" strokecolor="#d2d2d2">
                <v:path arrowok="t"/>
              </v:shape>
            </v:group>
            <v:group style="position:absolute;left:7235;top:598;width:2;height:1289" coordorigin="7235,598" coordsize="2,1289">
              <v:shape style="position:absolute;left:7235;top:598;width:2;height:1289" coordorigin="7235,598" coordsize="0,1289" path="m7235,598l7235,1887e" filled="false" stroked="true" strokeweight="1.2pt" strokecolor="#d2d2d2">
                <v:path arrowok="t"/>
              </v:shape>
            </v:group>
            <v:group style="position:absolute;left:5927;top:1887;width:1321;height:156" coordorigin="5927,1887" coordsize="1321,156">
              <v:shape style="position:absolute;left:5927;top:1887;width:1321;height:156" coordorigin="5927,1887" coordsize="1321,156" path="m5927,2043l7247,2043,7247,1887,5927,1887,5927,2043xe" filled="true" fillcolor="#d2d2d2" stroked="false">
                <v:path arrowok="t"/>
                <v:fill type="solid"/>
              </v:shape>
            </v:group>
            <v:group style="position:absolute;left:5951;top:598;width:1273;height:312" coordorigin="5951,598" coordsize="1273,312">
              <v:shape style="position:absolute;left:5951;top:598;width:1273;height:312" coordorigin="5951,598" coordsize="1273,312" path="m5951,910l7223,910,7223,598,5951,598,5951,910xe" filled="true" fillcolor="#d2d2d2" stroked="false">
                <v:path arrowok="t"/>
                <v:fill type="solid"/>
              </v:shape>
            </v:group>
            <v:group style="position:absolute;left:5951;top:910;width:1273;height:312" coordorigin="5951,910" coordsize="1273,312">
              <v:shape style="position:absolute;left:5951;top:910;width:1273;height:312" coordorigin="5951,910" coordsize="1273,312" path="m5951,1222l7223,1222,7223,910,5951,910,5951,1222xe" filled="true" fillcolor="#d2d2d2" stroked="false">
                <v:path arrowok="t"/>
                <v:fill type="solid"/>
              </v:shape>
            </v:group>
            <v:group style="position:absolute;left:5951;top:1222;width:1273;height:312" coordorigin="5951,1222" coordsize="1273,312">
              <v:shape style="position:absolute;left:5951;top:1222;width:1273;height:312" coordorigin="5951,1222" coordsize="1273,312" path="m5951,1534l7223,1534,7223,1222,5951,1222,5951,1534xe" filled="true" fillcolor="#d2d2d2" stroked="false">
                <v:path arrowok="t"/>
                <v:fill type="solid"/>
              </v:shape>
            </v:group>
            <v:group style="position:absolute;left:5951;top:1534;width:1273;height:353" coordorigin="5951,1534" coordsize="1273,353">
              <v:shape style="position:absolute;left:5951;top:1534;width:1273;height:353" coordorigin="5951,1534" coordsize="1273,353" path="m5951,1887l7223,1887,7223,1534,5951,1534,5951,1887xe" filled="true" fillcolor="#d2d2d2" stroked="false">
                <v:path arrowok="t"/>
                <v:fill type="solid"/>
              </v:shape>
            </v:group>
            <v:group style="position:absolute;left:4731;top:437;width:1186;height:2" coordorigin="4731,437" coordsize="1186,2">
              <v:shape style="position:absolute;left:4731;top:437;width:1186;height:2" coordorigin="4731,437" coordsize="1186,0" path="m4731,437l5917,437e" filled="false" stroked="true" strokeweight=".48001pt" strokecolor="#000000">
                <v:path arrowok="t"/>
              </v:shape>
            </v:group>
            <v:group style="position:absolute;left:5927;top:437;width:1321;height:2" coordorigin="5927,437" coordsize="1321,2">
              <v:shape style="position:absolute;left:5927;top:437;width:1321;height:2" coordorigin="5927,437" coordsize="1321,0" path="m5927,437l7247,437e" filled="false" stroked="true" strokeweight=".48001pt" strokecolor="#000000">
                <v:path arrowok="t"/>
              </v:shape>
            </v:group>
            <v:group style="position:absolute;left:8331;top:442;width:2;height:1601" coordorigin="8331,442" coordsize="2,1601">
              <v:shape style="position:absolute;left:8331;top:442;width:2;height:1601" coordorigin="8331,442" coordsize="0,1601" path="m8331,442l8331,2043e" filled="false" stroked="true" strokeweight="1.08pt" strokecolor="#d2d2d2">
                <v:path arrowok="t"/>
              </v:shape>
            </v:group>
            <v:group style="position:absolute;left:9627;top:442;width:2;height:1601" coordorigin="9627,442" coordsize="2,1601">
              <v:shape style="position:absolute;left:9627;top:442;width:2;height:1601" coordorigin="9627,442" coordsize="0,1601" path="m9627,442l9627,2043e" filled="false" stroked="true" strokeweight="1.08pt" strokecolor="#d2d2d2">
                <v:path arrowok="t"/>
              </v:shape>
            </v:group>
            <v:group style="position:absolute;left:8341;top:442;width:1275;height:312" coordorigin="8341,442" coordsize="1275,312">
              <v:shape style="position:absolute;left:8341;top:442;width:1275;height:312" coordorigin="8341,442" coordsize="1275,312" path="m8341,754l9616,754,9616,442,8341,442,8341,754xe" filled="true" fillcolor="#d2d2d2" stroked="false">
                <v:path arrowok="t"/>
                <v:fill type="solid"/>
              </v:shape>
            </v:group>
            <v:group style="position:absolute;left:8341;top:754;width:1275;height:312" coordorigin="8341,754" coordsize="1275,312">
              <v:shape style="position:absolute;left:8341;top:754;width:1275;height:312" coordorigin="8341,754" coordsize="1275,312" path="m8341,1066l9616,1066,9616,754,8341,754,8341,1066xe" filled="true" fillcolor="#d2d2d2" stroked="false">
                <v:path arrowok="t"/>
                <v:fill type="solid"/>
              </v:shape>
            </v:group>
            <v:group style="position:absolute;left:8341;top:1066;width:1275;height:312" coordorigin="8341,1066" coordsize="1275,312">
              <v:shape style="position:absolute;left:8341;top:1066;width:1275;height:312" coordorigin="8341,1066" coordsize="1275,312" path="m8341,1378l9616,1378,9616,1066,8341,1066,8341,1378xe" filled="true" fillcolor="#d2d2d2" stroked="false">
                <v:path arrowok="t"/>
                <v:fill type="solid"/>
              </v:shape>
            </v:group>
            <v:group style="position:absolute;left:8341;top:1378;width:1275;height:312" coordorigin="8341,1378" coordsize="1275,312">
              <v:shape style="position:absolute;left:8341;top:1378;width:1275;height:312" coordorigin="8341,1378" coordsize="1275,312" path="m8341,1690l9616,1690,9616,1378,8341,1378,8341,1690xe" filled="true" fillcolor="#d2d2d2" stroked="false">
                <v:path arrowok="t"/>
                <v:fill type="solid"/>
              </v:shape>
            </v:group>
            <v:group style="position:absolute;left:8341;top:1690;width:1275;height:353" coordorigin="8341,1690" coordsize="1275,353">
              <v:shape style="position:absolute;left:8341;top:1690;width:1275;height:353" coordorigin="8341,1690" coordsize="1275,353" path="m8341,2043l9616,2043,9616,1690,8341,1690,8341,2043xe" filled="true" fillcolor="#d2d2d2" stroked="false">
                <v:path arrowok="t"/>
                <v:fill type="solid"/>
              </v:shape>
            </v:group>
            <v:group style="position:absolute;left:9650;top:1419;width:1049;height:624" coordorigin="9650,1419" coordsize="1049,624">
              <v:shape style="position:absolute;left:9650;top:1419;width:1049;height:624" coordorigin="9650,1419" coordsize="1049,624" path="m9650,2043l10699,2043,10699,1419,9650,1419,9650,2043xe" filled="true" fillcolor="#ffffff" stroked="false">
                <v:path arrowok="t"/>
                <v:fill type="solid"/>
              </v:shape>
            </v:group>
            <v:group style="position:absolute;left:7257;top:437;width:1054;height:2" coordorigin="7257,437" coordsize="1054,2">
              <v:shape style="position:absolute;left:7257;top:437;width:1054;height:2" coordorigin="7257,437" coordsize="1054,0" path="m7257,437l8310,437e" filled="false" stroked="true" strokeweight=".48001pt" strokecolor="#000000">
                <v:path arrowok="t"/>
              </v:shape>
            </v:group>
            <v:group style="position:absolute;left:8320;top:437;width:1321;height:2" coordorigin="8320,437" coordsize="1321,2">
              <v:shape style="position:absolute;left:8320;top:437;width:1321;height:2" coordorigin="8320,437" coordsize="1321,0" path="m8320,437l9640,437e" filled="false" stroked="true" strokeweight=".48001pt" strokecolor="#000000">
                <v:path arrowok="t"/>
              </v:shape>
            </v:group>
            <v:group style="position:absolute;left:9650;top:437;width:1049;height:2" coordorigin="9650,437" coordsize="1049,2">
              <v:shape style="position:absolute;left:9650;top:437;width:1049;height:2" coordorigin="9650,437" coordsize="1049,0" path="m9650,437l10699,437e" filled="false" stroked="true" strokeweight=".48001pt" strokecolor="#000000">
                <v:path arrowok="t"/>
              </v:shape>
            </v:group>
            <v:group style="position:absolute;left:2468;top:433;width:2;height:1620" coordorigin="2468,433" coordsize="2,1620">
              <v:shape style="position:absolute;left:2468;top:433;width:2;height:1620" coordorigin="2468,433" coordsize="0,1620" path="m2468,433l2468,2053e" filled="false" stroked="true" strokeweight=".48pt" strokecolor="#000000">
                <v:path arrowok="t"/>
              </v:shape>
            </v:group>
            <v:group style="position:absolute;left:3264;top:433;width:2;height:1620" coordorigin="3264,433" coordsize="2,1620">
              <v:shape style="position:absolute;left:3264;top:433;width:2;height:1620" coordorigin="3264,433" coordsize="0,1620" path="m3264,433l3264,2053e" filled="false" stroked="true" strokeweight=".48pt" strokecolor="#000000">
                <v:path arrowok="t"/>
              </v:shape>
            </v:group>
            <v:group style="position:absolute;left:4727;top:433;width:2;height:1620" coordorigin="4727,433" coordsize="2,1620">
              <v:shape style="position:absolute;left:4727;top:433;width:2;height:1620" coordorigin="4727,433" coordsize="0,1620" path="m4727,433l4727,2053e" filled="false" stroked="true" strokeweight=".48001pt" strokecolor="#000000">
                <v:path arrowok="t"/>
              </v:shape>
            </v:group>
            <v:group style="position:absolute;left:5922;top:433;width:2;height:1620" coordorigin="5922,433" coordsize="2,1620">
              <v:shape style="position:absolute;left:5922;top:433;width:2;height:1620" coordorigin="5922,433" coordsize="0,1620" path="m5922,433l5922,2053e" filled="false" stroked="true" strokeweight=".48001pt" strokecolor="#000000">
                <v:path arrowok="t"/>
              </v:shape>
            </v:group>
            <v:group style="position:absolute;left:7252;top:433;width:2;height:1620" coordorigin="7252,433" coordsize="2,1620">
              <v:shape style="position:absolute;left:7252;top:433;width:2;height:1620" coordorigin="7252,433" coordsize="0,1620" path="m7252,433l7252,2053e" filled="false" stroked="true" strokeweight=".48001pt" strokecolor="#000000">
                <v:path arrowok="t"/>
              </v:shape>
            </v:group>
            <v:group style="position:absolute;left:8315;top:433;width:2;height:1620" coordorigin="8315,433" coordsize="2,1620">
              <v:shape style="position:absolute;left:8315;top:433;width:2;height:1620" coordorigin="8315,433" coordsize="0,1620" path="m8315,433l8315,2053e" filled="false" stroked="true" strokeweight=".48001pt" strokecolor="#000000">
                <v:path arrowok="t"/>
              </v:shape>
            </v:group>
            <v:group style="position:absolute;left:9645;top:433;width:2;height:1620" coordorigin="9645,433" coordsize="2,1620">
              <v:shape style="position:absolute;left:9645;top:433;width:2;height:1620" coordorigin="9645,433" coordsize="0,1620" path="m9645,433l9645,2053e" filled="false" stroked="true" strokeweight=".48001pt" strokecolor="#000000">
                <v:path arrowok="t"/>
              </v:shape>
            </v:group>
            <v:group style="position:absolute;left:1151;top:2053;width:2;height:354" coordorigin="1151,2053" coordsize="2,354">
              <v:shape style="position:absolute;left:1151;top:2053;width:2;height:354" coordorigin="1151,2053" coordsize="0,354" path="m1151,2053l1151,2406e" filled="false" stroked="true" strokeweight="1.08pt" strokecolor="#d2d2d2">
                <v:path arrowok="t"/>
              </v:shape>
            </v:group>
            <v:group style="position:absolute;left:10687;top:2053;width:2;height:354" coordorigin="10687,2053" coordsize="2,354">
              <v:shape style="position:absolute;left:10687;top:2053;width:2;height:354" coordorigin="10687,2053" coordsize="0,354" path="m10687,2053l10687,2406e" filled="false" stroked="true" strokeweight="1.2pt" strokecolor="#d2d2d2">
                <v:path arrowok="t"/>
              </v:shape>
            </v:group>
            <v:group style="position:absolute;left:1162;top:2053;width:9514;height:354" coordorigin="1162,2053" coordsize="9514,354">
              <v:shape style="position:absolute;left:1162;top:2053;width:9514;height:354" coordorigin="1162,2053" coordsize="9514,354" path="m1162,2406l10675,2406,10675,2053,1162,2053,1162,2406xe" filled="true" fillcolor="#d2d2d2" stroked="false">
                <v:path arrowok="t"/>
                <v:fill type="solid"/>
              </v:shape>
            </v:group>
            <v:group style="position:absolute;left:1140;top:2048;width:1323;height:2" coordorigin="1140,2048" coordsize="1323,2">
              <v:shape style="position:absolute;left:1140;top:2048;width:1323;height:2" coordorigin="1140,2048" coordsize="1323,0" path="m1140,2048l2463,2048e" filled="false" stroked="true" strokeweight=".48004pt" strokecolor="#000000">
                <v:path arrowok="t"/>
              </v:shape>
            </v:group>
            <v:group style="position:absolute;left:2472;top:2048;width:788;height:2" coordorigin="2472,2048" coordsize="788,2">
              <v:shape style="position:absolute;left:2472;top:2048;width:788;height:2" coordorigin="2472,2048" coordsize="788,0" path="m2472,2048l3260,2048e" filled="false" stroked="true" strokeweight=".48004pt" strokecolor="#000000">
                <v:path arrowok="t"/>
              </v:shape>
            </v:group>
            <v:group style="position:absolute;left:3269;top:2048;width:1453;height:2" coordorigin="3269,2048" coordsize="1453,2">
              <v:shape style="position:absolute;left:3269;top:2048;width:1453;height:2" coordorigin="3269,2048" coordsize="1453,0" path="m3269,2048l4722,2048e" filled="false" stroked="true" strokeweight=".48004pt" strokecolor="#000000">
                <v:path arrowok="t"/>
              </v:shape>
            </v:group>
            <v:group style="position:absolute;left:4731;top:2048;width:1186;height:2" coordorigin="4731,2048" coordsize="1186,2">
              <v:shape style="position:absolute;left:4731;top:2048;width:1186;height:2" coordorigin="4731,2048" coordsize="1186,0" path="m4731,2048l5917,2048e" filled="false" stroked="true" strokeweight=".48004pt" strokecolor="#000000">
                <v:path arrowok="t"/>
              </v:shape>
            </v:group>
            <v:group style="position:absolute;left:5927;top:2048;width:1321;height:2" coordorigin="5927,2048" coordsize="1321,2">
              <v:shape style="position:absolute;left:5927;top:2048;width:1321;height:2" coordorigin="5927,2048" coordsize="1321,0" path="m5927,2048l7247,2048e" filled="false" stroked="true" strokeweight=".48004pt" strokecolor="#000000">
                <v:path arrowok="t"/>
              </v:shape>
            </v:group>
            <v:group style="position:absolute;left:7257;top:2048;width:1054;height:2" coordorigin="7257,2048" coordsize="1054,2">
              <v:shape style="position:absolute;left:7257;top:2048;width:1054;height:2" coordorigin="7257,2048" coordsize="1054,0" path="m7257,2048l8310,2048e" filled="false" stroked="true" strokeweight=".48004pt" strokecolor="#000000">
                <v:path arrowok="t"/>
              </v:shape>
            </v:group>
            <v:group style="position:absolute;left:8320;top:2048;width:1321;height:2" coordorigin="8320,2048" coordsize="1321,2">
              <v:shape style="position:absolute;left:8320;top:2048;width:1321;height:2" coordorigin="8320,2048" coordsize="1321,0" path="m8320,2048l9640,2048e" filled="false" stroked="true" strokeweight=".48004pt" strokecolor="#000000">
                <v:path arrowok="t"/>
              </v:shape>
            </v:group>
            <v:group style="position:absolute;left:9650;top:2048;width:1049;height:2" coordorigin="9650,2048" coordsize="1049,2">
              <v:shape style="position:absolute;left:9650;top:2048;width:1049;height:2" coordorigin="9650,2048" coordsize="1049,0" path="m9650,2048l10699,2048e" filled="false" stroked="true" strokeweight=".48004pt" strokecolor="#000000">
                <v:path arrowok="t"/>
              </v:shape>
            </v:group>
            <v:group style="position:absolute;left:1140;top:2416;width:1458;height:312" coordorigin="1140,2416" coordsize="1458,312">
              <v:shape style="position:absolute;left:1140;top:2416;width:1458;height:312" coordorigin="1140,2416" coordsize="1458,312" path="m1140,2728l2597,2728,2597,2416,1140,2416,1140,2728xe" filled="true" fillcolor="#d2d2d2" stroked="false">
                <v:path arrowok="t"/>
                <v:fill type="solid"/>
              </v:shape>
            </v:group>
            <v:group style="position:absolute;left:1151;top:2728;width:2;height:351" coordorigin="1151,2728" coordsize="2,351">
              <v:shape style="position:absolute;left:1151;top:2728;width:2;height:351" coordorigin="1151,2728" coordsize="0,351" path="m1151,2728l1151,3078e" filled="false" stroked="true" strokeweight="1.08pt" strokecolor="#d2d2d2">
                <v:path arrowok="t"/>
              </v:shape>
            </v:group>
            <v:group style="position:absolute;left:2586;top:2728;width:2;height:351" coordorigin="2586,2728" coordsize="2,351">
              <v:shape style="position:absolute;left:2586;top:2728;width:2;height:351" coordorigin="2586,2728" coordsize="0,351" path="m2586,2728l2586,3078e" filled="false" stroked="true" strokeweight="1.08pt" strokecolor="#d2d2d2">
                <v:path arrowok="t"/>
              </v:shape>
            </v:group>
            <v:group style="position:absolute;left:1140;top:3078;width:1458;height:312" coordorigin="1140,3078" coordsize="1458,312">
              <v:shape style="position:absolute;left:1140;top:3078;width:1458;height:312" coordorigin="1140,3078" coordsize="1458,312" path="m1140,3390l2597,3390,2597,3078,1140,3078,1140,3390xe" filled="true" fillcolor="#d2d2d2" stroked="false">
                <v:path arrowok="t"/>
                <v:fill type="solid"/>
              </v:shape>
            </v:group>
            <v:group style="position:absolute;left:1162;top:2728;width:1415;height:351" coordorigin="1162,2728" coordsize="1415,351">
              <v:shape style="position:absolute;left:1162;top:2728;width:1415;height:351" coordorigin="1162,2728" coordsize="1415,351" path="m1162,3078l2576,3078,2576,2728,1162,2728,1162,3078xe" filled="true" fillcolor="#d2d2d2" stroked="false">
                <v:path arrowok="t"/>
                <v:fill type="solid"/>
              </v:shape>
            </v:group>
            <v:group style="position:absolute;left:2609;top:2416;width:1400;height:312" coordorigin="2609,2416" coordsize="1400,312">
              <v:shape style="position:absolute;left:2609;top:2416;width:1400;height:312" coordorigin="2609,2416" coordsize="1400,312" path="m2609,2728l4009,2728,4009,2416,2609,2416,2609,2728xe" filled="true" fillcolor="#d2d2d2" stroked="false">
                <v:path arrowok="t"/>
                <v:fill type="solid"/>
              </v:shape>
            </v:group>
            <v:group style="position:absolute;left:2620;top:2728;width:2;height:351" coordorigin="2620,2728" coordsize="2,351">
              <v:shape style="position:absolute;left:2620;top:2728;width:2;height:351" coordorigin="2620,2728" coordsize="0,351" path="m2620,2728l2620,3078e" filled="false" stroked="true" strokeweight="1.08pt" strokecolor="#d2d2d2">
                <v:path arrowok="t"/>
              </v:shape>
            </v:group>
            <v:group style="position:absolute;left:3998;top:2728;width:2;height:351" coordorigin="3998,2728" coordsize="2,351">
              <v:shape style="position:absolute;left:3998;top:2728;width:2;height:351" coordorigin="3998,2728" coordsize="0,351" path="m3998,2728l3998,3078e" filled="false" stroked="true" strokeweight="1.08pt" strokecolor="#d2d2d2">
                <v:path arrowok="t"/>
              </v:shape>
            </v:group>
            <v:group style="position:absolute;left:2609;top:3078;width:1400;height:312" coordorigin="2609,3078" coordsize="1400,312">
              <v:shape style="position:absolute;left:2609;top:3078;width:1400;height:312" coordorigin="2609,3078" coordsize="1400,312" path="m2609,3390l4009,3390,4009,3078,2609,3078,2609,3390xe" filled="true" fillcolor="#d2d2d2" stroked="false">
                <v:path arrowok="t"/>
                <v:fill type="solid"/>
              </v:shape>
            </v:group>
            <v:group style="position:absolute;left:2631;top:2728;width:1357;height:351" coordorigin="2631,2728" coordsize="1357,351">
              <v:shape style="position:absolute;left:2631;top:2728;width:1357;height:351" coordorigin="2631,2728" coordsize="1357,351" path="m2631,3078l3987,3078,3987,2728,2631,2728,2631,3078xe" filled="true" fillcolor="#d2d2d2" stroked="false">
                <v:path arrowok="t"/>
                <v:fill type="solid"/>
              </v:shape>
            </v:group>
            <v:group style="position:absolute;left:4021;top:2416;width:778;height:312" coordorigin="4021,2416" coordsize="778,312">
              <v:shape style="position:absolute;left:4021;top:2416;width:778;height:312" coordorigin="4021,2416" coordsize="778,312" path="m4021,2728l4799,2728,4799,2416,4021,2416,4021,2728xe" filled="true" fillcolor="#d2d2d2" stroked="false">
                <v:path arrowok="t"/>
                <v:fill type="solid"/>
              </v:shape>
            </v:group>
            <v:group style="position:absolute;left:4032;top:2728;width:2;height:351" coordorigin="4032,2728" coordsize="2,351">
              <v:shape style="position:absolute;left:4032;top:2728;width:2;height:351" coordorigin="4032,2728" coordsize="0,351" path="m4032,2728l4032,3078e" filled="false" stroked="true" strokeweight="1.08pt" strokecolor="#d2d2d2">
                <v:path arrowok="t"/>
              </v:shape>
            </v:group>
            <v:group style="position:absolute;left:4787;top:2728;width:2;height:351" coordorigin="4787,2728" coordsize="2,351">
              <v:shape style="position:absolute;left:4787;top:2728;width:2;height:351" coordorigin="4787,2728" coordsize="0,351" path="m4787,2728l4787,3078e" filled="false" stroked="true" strokeweight="1.2pt" strokecolor="#d2d2d2">
                <v:path arrowok="t"/>
              </v:shape>
            </v:group>
            <v:group style="position:absolute;left:4021;top:3078;width:778;height:312" coordorigin="4021,3078" coordsize="778,312">
              <v:shape style="position:absolute;left:4021;top:3078;width:778;height:312" coordorigin="4021,3078" coordsize="778,312" path="m4021,3390l4799,3390,4799,3078,4021,3078,4021,3390xe" filled="true" fillcolor="#d2d2d2" stroked="false">
                <v:path arrowok="t"/>
                <v:fill type="solid"/>
              </v:shape>
            </v:group>
            <v:group style="position:absolute;left:4043;top:2728;width:732;height:351" coordorigin="4043,2728" coordsize="732,351">
              <v:shape style="position:absolute;left:4043;top:2728;width:732;height:351" coordorigin="4043,2728" coordsize="732,351" path="m4043,3078l4775,3078,4775,2728,4043,2728,4043,3078xe" filled="true" fillcolor="#d2d2d2" stroked="false">
                <v:path arrowok="t"/>
                <v:fill type="solid"/>
              </v:shape>
            </v:group>
            <v:group style="position:absolute;left:4808;top:2416;width:776;height:156" coordorigin="4808,2416" coordsize="776,156">
              <v:shape style="position:absolute;left:4808;top:2416;width:776;height:156" coordorigin="4808,2416" coordsize="776,156" path="m4808,2572l5583,2572,5583,2416,4808,2416,4808,2572xe" filled="true" fillcolor="#d2d2d2" stroked="false">
                <v:path arrowok="t"/>
                <v:fill type="solid"/>
              </v:shape>
            </v:group>
            <v:group style="position:absolute;left:4819;top:2572;width:2;height:663" coordorigin="4819,2572" coordsize="2,663">
              <v:shape style="position:absolute;left:4819;top:2572;width:2;height:663" coordorigin="4819,2572" coordsize="0,663" path="m4819,2572l4819,3234e" filled="false" stroked="true" strokeweight="1.08pt" strokecolor="#d2d2d2">
                <v:path arrowok="t"/>
              </v:shape>
            </v:group>
            <v:group style="position:absolute;left:5573;top:2572;width:2;height:663" coordorigin="5573,2572" coordsize="2,663">
              <v:shape style="position:absolute;left:5573;top:2572;width:2;height:663" coordorigin="5573,2572" coordsize="0,663" path="m5573,2572l5573,3234e" filled="false" stroked="true" strokeweight="1.08pt" strokecolor="#d2d2d2">
                <v:path arrowok="t"/>
              </v:shape>
            </v:group>
            <v:group style="position:absolute;left:4808;top:3234;width:776;height:156" coordorigin="4808,3234" coordsize="776,156">
              <v:shape style="position:absolute;left:4808;top:3234;width:776;height:156" coordorigin="4808,3234" coordsize="776,156" path="m4808,3390l5583,3390,5583,3234,4808,3234,4808,3390xe" filled="true" fillcolor="#d2d2d2" stroked="false">
                <v:path arrowok="t"/>
                <v:fill type="solid"/>
              </v:shape>
            </v:group>
            <v:group style="position:absolute;left:4830;top:2572;width:732;height:312" coordorigin="4830,2572" coordsize="732,312">
              <v:shape style="position:absolute;left:4830;top:2572;width:732;height:312" coordorigin="4830,2572" coordsize="732,312" path="m4830,2884l5562,2884,5562,2572,4830,2572,4830,2884xe" filled="true" fillcolor="#d2d2d2" stroked="false">
                <v:path arrowok="t"/>
                <v:fill type="solid"/>
              </v:shape>
            </v:group>
            <v:group style="position:absolute;left:4830;top:2884;width:732;height:351" coordorigin="4830,2884" coordsize="732,351">
              <v:shape style="position:absolute;left:4830;top:2884;width:732;height:351" coordorigin="4830,2884" coordsize="732,351" path="m4830,3234l5562,3234,5562,2884,4830,2884,4830,3234xe" filled="true" fillcolor="#d2d2d2" stroked="false">
                <v:path arrowok="t"/>
                <v:fill type="solid"/>
              </v:shape>
            </v:group>
            <v:group style="position:absolute;left:5605;top:2416;width:2;height:975" coordorigin="5605,2416" coordsize="2,975">
              <v:shape style="position:absolute;left:5605;top:2416;width:2;height:975" coordorigin="5605,2416" coordsize="0,975" path="m5605,2416l5605,3390e" filled="false" stroked="true" strokeweight="1.2pt" strokecolor="#d2d2d2">
                <v:path arrowok="t"/>
              </v:shape>
            </v:group>
            <v:group style="position:absolute;left:6361;top:2416;width:2;height:975" coordorigin="6361,2416" coordsize="2,975">
              <v:shape style="position:absolute;left:6361;top:2416;width:2;height:975" coordorigin="6361,2416" coordsize="0,975" path="m6361,2416l6361,3390e" filled="false" stroked="true" strokeweight="1.2pt" strokecolor="#d2d2d2">
                <v:path arrowok="t"/>
              </v:shape>
            </v:group>
            <v:group style="position:absolute;left:5617;top:2416;width:733;height:312" coordorigin="5617,2416" coordsize="733,312">
              <v:shape style="position:absolute;left:5617;top:2416;width:733;height:312" coordorigin="5617,2416" coordsize="733,312" path="m5617,2728l6349,2728,6349,2416,5617,2416,5617,2728xe" filled="true" fillcolor="#d2d2d2" stroked="false">
                <v:path arrowok="t"/>
                <v:fill type="solid"/>
              </v:shape>
            </v:group>
            <v:group style="position:absolute;left:5617;top:2728;width:733;height:312" coordorigin="5617,2728" coordsize="733,312">
              <v:shape style="position:absolute;left:5617;top:2728;width:733;height:312" coordorigin="5617,2728" coordsize="733,312" path="m5617,3040l6349,3040,6349,2728,5617,2728,5617,3040xe" filled="true" fillcolor="#d2d2d2" stroked="false">
                <v:path arrowok="t"/>
                <v:fill type="solid"/>
              </v:shape>
            </v:group>
            <v:group style="position:absolute;left:5617;top:3040;width:733;height:351" coordorigin="5617,3040" coordsize="733,351">
              <v:shape style="position:absolute;left:5617;top:3040;width:733;height:351" coordorigin="5617,3040" coordsize="733,351" path="m5617,3390l6349,3390,6349,3040,5617,3040,5617,3390xe" filled="true" fillcolor="#d2d2d2" stroked="false">
                <v:path arrowok="t"/>
                <v:fill type="solid"/>
              </v:shape>
            </v:group>
            <v:group style="position:absolute;left:6395;top:2416;width:2;height:975" coordorigin="6395,2416" coordsize="2,975">
              <v:shape style="position:absolute;left:6395;top:2416;width:2;height:975" coordorigin="6395,2416" coordsize="0,975" path="m6395,2416l6395,3390e" filled="false" stroked="true" strokeweight="1.2pt" strokecolor="#d2d2d2">
                <v:path arrowok="t"/>
              </v:shape>
            </v:group>
            <v:group style="position:absolute;left:7147;top:2416;width:2;height:975" coordorigin="7147,2416" coordsize="2,975">
              <v:shape style="position:absolute;left:7147;top:2416;width:2;height:975" coordorigin="7147,2416" coordsize="0,975" path="m7147,2416l7147,3390e" filled="false" stroked="true" strokeweight="1.08pt" strokecolor="#d2d2d2">
                <v:path arrowok="t"/>
              </v:shape>
            </v:group>
            <v:group style="position:absolute;left:6407;top:2416;width:730;height:312" coordorigin="6407,2416" coordsize="730,312">
              <v:shape style="position:absolute;left:6407;top:2416;width:730;height:312" coordorigin="6407,2416" coordsize="730,312" path="m6407,2728l7137,2728,7137,2416,6407,2416,6407,2728xe" filled="true" fillcolor="#d2d2d2" stroked="false">
                <v:path arrowok="t"/>
                <v:fill type="solid"/>
              </v:shape>
            </v:group>
            <v:group style="position:absolute;left:6407;top:2728;width:730;height:312" coordorigin="6407,2728" coordsize="730,312">
              <v:shape style="position:absolute;left:6407;top:2728;width:730;height:312" coordorigin="6407,2728" coordsize="730,312" path="m6407,3040l7137,3040,7137,2728,6407,2728,6407,3040xe" filled="true" fillcolor="#d2d2d2" stroked="false">
                <v:path arrowok="t"/>
                <v:fill type="solid"/>
              </v:shape>
            </v:group>
            <v:group style="position:absolute;left:6407;top:3040;width:730;height:351" coordorigin="6407,3040" coordsize="730,351">
              <v:shape style="position:absolute;left:6407;top:3040;width:730;height:351" coordorigin="6407,3040" coordsize="730,351" path="m6407,3390l7137,3390,7137,3040,6407,3040,6407,3390xe" filled="true" fillcolor="#d2d2d2" stroked="false">
                <v:path arrowok="t"/>
                <v:fill type="solid"/>
              </v:shape>
            </v:group>
            <v:group style="position:absolute;left:7181;top:2416;width:2;height:975" coordorigin="7181,2416" coordsize="2,975">
              <v:shape style="position:absolute;left:7181;top:2416;width:2;height:975" coordorigin="7181,2416" coordsize="0,975" path="m7181,2416l7181,3390e" filled="false" stroked="true" strokeweight="1.08pt" strokecolor="#d2d2d2">
                <v:path arrowok="t"/>
              </v:shape>
            </v:group>
            <v:group style="position:absolute;left:7987;top:2416;width:2;height:975" coordorigin="7987,2416" coordsize="2,975">
              <v:shape style="position:absolute;left:7987;top:2416;width:2;height:975" coordorigin="7987,2416" coordsize="0,975" path="m7987,2416l7987,3390e" filled="false" stroked="true" strokeweight="1.08pt" strokecolor="#d2d2d2">
                <v:path arrowok="t"/>
              </v:shape>
            </v:group>
            <v:group style="position:absolute;left:7192;top:2416;width:785;height:312" coordorigin="7192,2416" coordsize="785,312">
              <v:shape style="position:absolute;left:7192;top:2416;width:785;height:312" coordorigin="7192,2416" coordsize="785,312" path="m7192,2728l7977,2728,7977,2416,7192,2416,7192,2728xe" filled="true" fillcolor="#d2d2d2" stroked="false">
                <v:path arrowok="t"/>
                <v:fill type="solid"/>
              </v:shape>
            </v:group>
            <v:group style="position:absolute;left:7192;top:2728;width:785;height:312" coordorigin="7192,2728" coordsize="785,312">
              <v:shape style="position:absolute;left:7192;top:2728;width:785;height:312" coordorigin="7192,2728" coordsize="785,312" path="m7192,3040l7977,3040,7977,2728,7192,2728,7192,3040xe" filled="true" fillcolor="#d2d2d2" stroked="false">
                <v:path arrowok="t"/>
                <v:fill type="solid"/>
              </v:shape>
            </v:group>
            <v:group style="position:absolute;left:7192;top:3040;width:785;height:351" coordorigin="7192,3040" coordsize="785,351">
              <v:shape style="position:absolute;left:7192;top:3040;width:785;height:351" coordorigin="7192,3040" coordsize="785,351" path="m7192,3390l7977,3390,7977,3040,7192,3040,7192,3390xe" filled="true" fillcolor="#d2d2d2" stroked="false">
                <v:path arrowok="t"/>
                <v:fill type="solid"/>
              </v:shape>
            </v:group>
            <v:group style="position:absolute;left:8021;top:2416;width:2;height:351" coordorigin="8021,2416" coordsize="2,351">
              <v:shape style="position:absolute;left:8021;top:2416;width:2;height:351" coordorigin="8021,2416" coordsize="0,351" path="m8021,2416l8021,2766e" filled="false" stroked="true" strokeweight="1.08pt" strokecolor="#d2d2d2">
                <v:path arrowok="t"/>
              </v:shape>
            </v:group>
            <v:group style="position:absolute;left:10687;top:2416;width:2;height:351" coordorigin="10687,2416" coordsize="2,351">
              <v:shape style="position:absolute;left:10687;top:2416;width:2;height:351" coordorigin="10687,2416" coordsize="0,351" path="m10687,2416l10687,2766e" filled="false" stroked="true" strokeweight="1.2pt" strokecolor="#d2d2d2">
                <v:path arrowok="t"/>
              </v:shape>
            </v:group>
            <v:group style="position:absolute;left:8032;top:2416;width:2643;height:351" coordorigin="8032,2416" coordsize="2643,351">
              <v:shape style="position:absolute;left:8032;top:2416;width:2643;height:351" coordorigin="8032,2416" coordsize="2643,351" path="m8032,2766l10675,2766,10675,2416,8032,2416,8032,2766xe" filled="true" fillcolor="#d2d2d2" stroked="false">
                <v:path arrowok="t"/>
                <v:fill type="solid"/>
              </v:shape>
            </v:group>
            <v:group style="position:absolute;left:1140;top:2411;width:1460;height:2" coordorigin="1140,2411" coordsize="1460,2">
              <v:shape style="position:absolute;left:1140;top:2411;width:1460;height:2" coordorigin="1140,2411" coordsize="1460,0" path="m1140,2411l2600,2411e" filled="false" stroked="true" strokeweight=".47998pt" strokecolor="#000000">
                <v:path arrowok="t"/>
              </v:shape>
            </v:group>
            <v:group style="position:absolute;left:2609;top:2411;width:1403;height:2" coordorigin="2609,2411" coordsize="1403,2">
              <v:shape style="position:absolute;left:2609;top:2411;width:1403;height:2" coordorigin="2609,2411" coordsize="1403,0" path="m2609,2411l4011,2411e" filled="false" stroked="true" strokeweight=".47998pt" strokecolor="#000000">
                <v:path arrowok="t"/>
              </v:shape>
            </v:group>
            <v:group style="position:absolute;left:4021;top:2411;width:778;height:2" coordorigin="4021,2411" coordsize="778,2">
              <v:shape style="position:absolute;left:4021;top:2411;width:778;height:2" coordorigin="4021,2411" coordsize="778,0" path="m4021,2411l4799,2411e" filled="false" stroked="true" strokeweight=".47998pt" strokecolor="#000000">
                <v:path arrowok="t"/>
              </v:shape>
            </v:group>
            <v:group style="position:absolute;left:4808;top:2411;width:776;height:2" coordorigin="4808,2411" coordsize="776,2">
              <v:shape style="position:absolute;left:4808;top:2411;width:776;height:2" coordorigin="4808,2411" coordsize="776,0" path="m4808,2411l5583,2411e" filled="false" stroked="true" strokeweight=".47998pt" strokecolor="#000000">
                <v:path arrowok="t"/>
              </v:shape>
            </v:group>
            <v:group style="position:absolute;left:5593;top:2411;width:781;height:2" coordorigin="5593,2411" coordsize="781,2">
              <v:shape style="position:absolute;left:5593;top:2411;width:781;height:2" coordorigin="5593,2411" coordsize="781,0" path="m5593,2411l6373,2411e" filled="false" stroked="true" strokeweight=".47998pt" strokecolor="#000000">
                <v:path arrowok="t"/>
              </v:shape>
            </v:group>
            <v:group style="position:absolute;left:6383;top:2411;width:778;height:2" coordorigin="6383,2411" coordsize="778,2">
              <v:shape style="position:absolute;left:6383;top:2411;width:778;height:2" coordorigin="6383,2411" coordsize="778,0" path="m6383,2411l7161,2411e" filled="false" stroked="true" strokeweight=".47998pt" strokecolor="#000000">
                <v:path arrowok="t"/>
              </v:shape>
            </v:group>
            <v:group style="position:absolute;left:7170;top:2411;width:831;height:2" coordorigin="7170,2411" coordsize="831,2">
              <v:shape style="position:absolute;left:7170;top:2411;width:831;height:2" coordorigin="7170,2411" coordsize="831,0" path="m7170,2411l8001,2411e" filled="false" stroked="true" strokeweight=".47998pt" strokecolor="#000000">
                <v:path arrowok="t"/>
              </v:shape>
            </v:group>
            <v:group style="position:absolute;left:8010;top:2411;width:2689;height:2" coordorigin="8010,2411" coordsize="2689,2">
              <v:shape style="position:absolute;left:8010;top:2411;width:2689;height:2" coordorigin="8010,2411" coordsize="2689,0" path="m8010,2411l10699,2411e" filled="false" stroked="true" strokeweight=".47998pt" strokecolor="#000000">
                <v:path arrowok="t"/>
              </v:shape>
            </v:group>
            <v:group style="position:absolute;left:8010;top:2778;width:1340;height:130" coordorigin="8010,2778" coordsize="1340,130">
              <v:shape style="position:absolute;left:8010;top:2778;width:1340;height:130" coordorigin="8010,2778" coordsize="1340,130" path="m8010,2908l9350,2908,9350,2778,8010,2778,8010,2908xe" filled="true" fillcolor="#d2d2d2" stroked="false">
                <v:path arrowok="t"/>
                <v:fill type="solid"/>
              </v:shape>
            </v:group>
            <v:group style="position:absolute;left:8021;top:2908;width:2;height:353" coordorigin="8021,2908" coordsize="2,353">
              <v:shape style="position:absolute;left:8021;top:2908;width:2;height:353" coordorigin="8021,2908" coordsize="0,353" path="m8021,2908l8021,3260e" filled="false" stroked="true" strokeweight="1.08pt" strokecolor="#d2d2d2">
                <v:path arrowok="t"/>
              </v:shape>
            </v:group>
            <v:group style="position:absolute;left:9338;top:2908;width:2;height:353" coordorigin="9338,2908" coordsize="2,353">
              <v:shape style="position:absolute;left:9338;top:2908;width:2;height:353" coordorigin="9338,2908" coordsize="0,353" path="m9338,2908l9338,3260e" filled="false" stroked="true" strokeweight="1.2pt" strokecolor="#d2d2d2">
                <v:path arrowok="t"/>
              </v:shape>
            </v:group>
            <v:group style="position:absolute;left:8010;top:3260;width:1340;height:130" coordorigin="8010,3260" coordsize="1340,130">
              <v:shape style="position:absolute;left:8010;top:3260;width:1340;height:130" coordorigin="8010,3260" coordsize="1340,130" path="m8010,3390l9350,3390,9350,3260,8010,3260,8010,3390xe" filled="true" fillcolor="#d2d2d2" stroked="false">
                <v:path arrowok="t"/>
                <v:fill type="solid"/>
              </v:shape>
            </v:group>
            <v:group style="position:absolute;left:8032;top:2908;width:1295;height:353" coordorigin="8032,2908" coordsize="1295,353">
              <v:shape style="position:absolute;left:8032;top:2908;width:1295;height:353" coordorigin="8032,2908" coordsize="1295,353" path="m8032,3260l9326,3260,9326,2908,8032,2908,8032,3260xe" filled="true" fillcolor="#d2d2d2" stroked="false">
                <v:path arrowok="t"/>
                <v:fill type="solid"/>
              </v:shape>
            </v:group>
            <v:group style="position:absolute;left:9360;top:2778;width:1340;height:130" coordorigin="9360,2778" coordsize="1340,130">
              <v:shape style="position:absolute;left:9360;top:2778;width:1340;height:130" coordorigin="9360,2778" coordsize="1340,130" path="m9360,2908l10699,2908,10699,2778,9360,2778,9360,2908xe" filled="true" fillcolor="#d2d2d2" stroked="false">
                <v:path arrowok="t"/>
                <v:fill type="solid"/>
              </v:shape>
            </v:group>
            <v:group style="position:absolute;left:9370;top:2908;width:2;height:353" coordorigin="9370,2908" coordsize="2,353">
              <v:shape style="position:absolute;left:9370;top:2908;width:2;height:353" coordorigin="9370,2908" coordsize="0,353" path="m9370,2908l9370,3260e" filled="false" stroked="true" strokeweight="1.08pt" strokecolor="#d2d2d2">
                <v:path arrowok="t"/>
              </v:shape>
            </v:group>
            <v:group style="position:absolute;left:10687;top:2908;width:2;height:353" coordorigin="10687,2908" coordsize="2,353">
              <v:shape style="position:absolute;left:10687;top:2908;width:2;height:353" coordorigin="10687,2908" coordsize="0,353" path="m10687,2908l10687,3260e" filled="false" stroked="true" strokeweight="1.2pt" strokecolor="#d2d2d2">
                <v:path arrowok="t"/>
              </v:shape>
            </v:group>
            <v:group style="position:absolute;left:9360;top:3260;width:1340;height:130" coordorigin="9360,3260" coordsize="1340,130">
              <v:shape style="position:absolute;left:9360;top:3260;width:1340;height:130" coordorigin="9360,3260" coordsize="1340,130" path="m9360,3390l10699,3390,10699,3260,9360,3260,9360,3390xe" filled="true" fillcolor="#d2d2d2" stroked="false">
                <v:path arrowok="t"/>
                <v:fill type="solid"/>
              </v:shape>
            </v:group>
            <v:group style="position:absolute;left:9381;top:2908;width:1294;height:353" coordorigin="9381,2908" coordsize="1294,353">
              <v:shape style="position:absolute;left:9381;top:2908;width:1294;height:353" coordorigin="9381,2908" coordsize="1294,353" path="m9381,3260l10675,3260,10675,2908,9381,2908,9381,3260xe" filled="true" fillcolor="#d2d2d2" stroked="false">
                <v:path arrowok="t"/>
                <v:fill type="solid"/>
              </v:shape>
            </v:group>
            <v:group style="position:absolute;left:8010;top:2771;width:1340;height:2" coordorigin="8010,2771" coordsize="1340,2">
              <v:shape style="position:absolute;left:8010;top:2771;width:1340;height:2" coordorigin="8010,2771" coordsize="1340,0" path="m8010,2771l9350,2771e" filled="false" stroked="true" strokeweight=".47998pt" strokecolor="#000000">
                <v:path arrowok="t"/>
              </v:shape>
            </v:group>
            <v:group style="position:absolute;left:9360;top:2771;width:1340;height:2" coordorigin="9360,2771" coordsize="1340,2">
              <v:shape style="position:absolute;left:9360;top:2771;width:1340;height:2" coordorigin="9360,2771" coordsize="1340,0" path="m9360,2771l10699,2771e" filled="false" stroked="true" strokeweight=".47998pt" strokecolor="#000000">
                <v:path arrowok="t"/>
              </v:shape>
            </v:group>
            <v:group style="position:absolute;left:1140;top:3395;width:1460;height:2" coordorigin="1140,3395" coordsize="1460,2">
              <v:shape style="position:absolute;left:1140;top:3395;width:1460;height:2" coordorigin="1140,3395" coordsize="1460,0" path="m1140,3395l2600,3395e" filled="false" stroked="true" strokeweight=".48004pt" strokecolor="#000000">
                <v:path arrowok="t"/>
              </v:shape>
            </v:group>
            <v:group style="position:absolute;left:2609;top:3395;width:1403;height:2" coordorigin="2609,3395" coordsize="1403,2">
              <v:shape style="position:absolute;left:2609;top:3395;width:1403;height:2" coordorigin="2609,3395" coordsize="1403,0" path="m2609,3395l4011,3395e" filled="false" stroked="true" strokeweight=".48004pt" strokecolor="#000000">
                <v:path arrowok="t"/>
              </v:shape>
            </v:group>
            <v:group style="position:absolute;left:4021;top:3395;width:778;height:2" coordorigin="4021,3395" coordsize="778,2">
              <v:shape style="position:absolute;left:4021;top:3395;width:778;height:2" coordorigin="4021,3395" coordsize="778,0" path="m4021,3395l4799,3395e" filled="false" stroked="true" strokeweight=".48004pt" strokecolor="#000000">
                <v:path arrowok="t"/>
              </v:shape>
            </v:group>
            <v:group style="position:absolute;left:4808;top:3395;width:776;height:2" coordorigin="4808,3395" coordsize="776,2">
              <v:shape style="position:absolute;left:4808;top:3395;width:776;height:2" coordorigin="4808,3395" coordsize="776,0" path="m4808,3395l5583,3395e" filled="false" stroked="true" strokeweight=".48004pt" strokecolor="#000000">
                <v:path arrowok="t"/>
              </v:shape>
            </v:group>
            <v:group style="position:absolute;left:5593;top:3395;width:781;height:2" coordorigin="5593,3395" coordsize="781,2">
              <v:shape style="position:absolute;left:5593;top:3395;width:781;height:2" coordorigin="5593,3395" coordsize="781,0" path="m5593,3395l6373,3395e" filled="false" stroked="true" strokeweight=".48004pt" strokecolor="#000000">
                <v:path arrowok="t"/>
              </v:shape>
            </v:group>
            <v:group style="position:absolute;left:6383;top:3395;width:778;height:2" coordorigin="6383,3395" coordsize="778,2">
              <v:shape style="position:absolute;left:6383;top:3395;width:778;height:2" coordorigin="6383,3395" coordsize="778,0" path="m6383,3395l7161,3395e" filled="false" stroked="true" strokeweight=".48004pt" strokecolor="#000000">
                <v:path arrowok="t"/>
              </v:shape>
            </v:group>
            <v:group style="position:absolute;left:7170;top:3395;width:831;height:2" coordorigin="7170,3395" coordsize="831,2">
              <v:shape style="position:absolute;left:7170;top:3395;width:831;height:2" coordorigin="7170,3395" coordsize="831,0" path="m7170,3395l8001,3395e" filled="false" stroked="true" strokeweight=".48004pt" strokecolor="#000000">
                <v:path arrowok="t"/>
              </v:shape>
            </v:group>
            <v:group style="position:absolute;left:8010;top:3395;width:1340;height:2" coordorigin="8010,3395" coordsize="1340,2">
              <v:shape style="position:absolute;left:8010;top:3395;width:1340;height:2" coordorigin="8010,3395" coordsize="1340,0" path="m8010,3395l9350,3395e" filled="false" stroked="true" strokeweight=".48004pt" strokecolor="#000000">
                <v:path arrowok="t"/>
              </v:shape>
            </v:group>
            <v:group style="position:absolute;left:9360;top:3395;width:1340;height:2" coordorigin="9360,3395" coordsize="1340,2">
              <v:shape style="position:absolute;left:9360;top:3395;width:1340;height:2" coordorigin="9360,3395" coordsize="1340,0" path="m9360,3395l10699,3395e" filled="false" stroked="true" strokeweight=".48004pt" strokecolor="#000000">
                <v:path arrowok="t"/>
              </v:shape>
            </v:group>
            <v:group style="position:absolute;left:1140;top:4069;width:1460;height:2" coordorigin="1140,4069" coordsize="1460,2">
              <v:shape style="position:absolute;left:1140;top:4069;width:1460;height:2" coordorigin="1140,4069" coordsize="1460,0" path="m1140,4069l2600,4069e" filled="false" stroked="true" strokeweight=".47998pt" strokecolor="#000000">
                <v:path arrowok="t"/>
              </v:shape>
            </v:group>
            <v:group style="position:absolute;left:2609;top:4069;width:1403;height:2" coordorigin="2609,4069" coordsize="1403,2">
              <v:shape style="position:absolute;left:2609;top:4069;width:1403;height:2" coordorigin="2609,4069" coordsize="1403,0" path="m2609,4069l4011,4069e" filled="false" stroked="true" strokeweight=".47998pt" strokecolor="#000000">
                <v:path arrowok="t"/>
              </v:shape>
            </v:group>
            <v:group style="position:absolute;left:4021;top:4069;width:778;height:2" coordorigin="4021,4069" coordsize="778,2">
              <v:shape style="position:absolute;left:4021;top:4069;width:778;height:2" coordorigin="4021,4069" coordsize="778,0" path="m4021,4069l4799,4069e" filled="false" stroked="true" strokeweight=".47998pt" strokecolor="#000000">
                <v:path arrowok="t"/>
              </v:shape>
            </v:group>
            <v:group style="position:absolute;left:4808;top:4069;width:776;height:2" coordorigin="4808,4069" coordsize="776,2">
              <v:shape style="position:absolute;left:4808;top:4069;width:776;height:2" coordorigin="4808,4069" coordsize="776,0" path="m4808,4069l5583,4069e" filled="false" stroked="true" strokeweight=".47998pt" strokecolor="#000000">
                <v:path arrowok="t"/>
              </v:shape>
            </v:group>
            <v:group style="position:absolute;left:5593;top:4069;width:781;height:2" coordorigin="5593,4069" coordsize="781,2">
              <v:shape style="position:absolute;left:5593;top:4069;width:781;height:2" coordorigin="5593,4069" coordsize="781,0" path="m5593,4069l6373,4069e" filled="false" stroked="true" strokeweight=".47998pt" strokecolor="#000000">
                <v:path arrowok="t"/>
              </v:shape>
            </v:group>
            <v:group style="position:absolute;left:6383;top:4069;width:778;height:2" coordorigin="6383,4069" coordsize="778,2">
              <v:shape style="position:absolute;left:6383;top:4069;width:778;height:2" coordorigin="6383,4069" coordsize="778,0" path="m6383,4069l7161,4069e" filled="false" stroked="true" strokeweight=".47998pt" strokecolor="#000000">
                <v:path arrowok="t"/>
              </v:shape>
            </v:group>
            <v:group style="position:absolute;left:7170;top:4069;width:831;height:2" coordorigin="7170,4069" coordsize="831,2">
              <v:shape style="position:absolute;left:7170;top:4069;width:831;height:2" coordorigin="7170,4069" coordsize="831,0" path="m7170,4069l8001,4069e" filled="false" stroked="true" strokeweight=".47998pt" strokecolor="#000000">
                <v:path arrowok="t"/>
              </v:shape>
            </v:group>
            <v:group style="position:absolute;left:8010;top:4069;width:1340;height:2" coordorigin="8010,4069" coordsize="1340,2">
              <v:shape style="position:absolute;left:8010;top:4069;width:1340;height:2" coordorigin="8010,4069" coordsize="1340,0" path="m8010,4069l9350,4069e" filled="false" stroked="true" strokeweight=".47998pt" strokecolor="#000000">
                <v:path arrowok="t"/>
              </v:shape>
            </v:group>
            <v:group style="position:absolute;left:9360;top:4069;width:1340;height:2" coordorigin="9360,4069" coordsize="1340,2">
              <v:shape style="position:absolute;left:9360;top:4069;width:1340;height:2" coordorigin="9360,4069" coordsize="1340,0" path="m9360,4069l10699,4069e" filled="false" stroked="true" strokeweight=".47998pt" strokecolor="#000000">
                <v:path arrowok="t"/>
              </v:shape>
            </v:group>
            <v:group style="position:absolute;left:1140;top:4744;width:1460;height:2" coordorigin="1140,4744" coordsize="1460,2">
              <v:shape style="position:absolute;left:1140;top:4744;width:1460;height:2" coordorigin="1140,4744" coordsize="1460,0" path="m1140,4744l2600,4744e" filled="false" stroked="true" strokeweight=".48004pt" strokecolor="#000000">
                <v:path arrowok="t"/>
              </v:shape>
            </v:group>
            <v:group style="position:absolute;left:2609;top:4744;width:1403;height:2" coordorigin="2609,4744" coordsize="1403,2">
              <v:shape style="position:absolute;left:2609;top:4744;width:1403;height:2" coordorigin="2609,4744" coordsize="1403,0" path="m2609,4744l4011,4744e" filled="false" stroked="true" strokeweight=".48004pt" strokecolor="#000000">
                <v:path arrowok="t"/>
              </v:shape>
            </v:group>
            <v:group style="position:absolute;left:4021;top:4744;width:778;height:2" coordorigin="4021,4744" coordsize="778,2">
              <v:shape style="position:absolute;left:4021;top:4744;width:778;height:2" coordorigin="4021,4744" coordsize="778,0" path="m4021,4744l4799,4744e" filled="false" stroked="true" strokeweight=".48004pt" strokecolor="#000000">
                <v:path arrowok="t"/>
              </v:shape>
            </v:group>
            <v:group style="position:absolute;left:4808;top:4744;width:776;height:2" coordorigin="4808,4744" coordsize="776,2">
              <v:shape style="position:absolute;left:4808;top:4744;width:776;height:2" coordorigin="4808,4744" coordsize="776,0" path="m4808,4744l5583,4744e" filled="false" stroked="true" strokeweight=".48004pt" strokecolor="#000000">
                <v:path arrowok="t"/>
              </v:shape>
            </v:group>
            <v:group style="position:absolute;left:5593;top:4744;width:781;height:2" coordorigin="5593,4744" coordsize="781,2">
              <v:shape style="position:absolute;left:5593;top:4744;width:781;height:2" coordorigin="5593,4744" coordsize="781,0" path="m5593,4744l6373,4744e" filled="false" stroked="true" strokeweight=".48004pt" strokecolor="#000000">
                <v:path arrowok="t"/>
              </v:shape>
            </v:group>
            <v:group style="position:absolute;left:6383;top:4744;width:778;height:2" coordorigin="6383,4744" coordsize="778,2">
              <v:shape style="position:absolute;left:6383;top:4744;width:778;height:2" coordorigin="6383,4744" coordsize="778,0" path="m6383,4744l7161,4744e" filled="false" stroked="true" strokeweight=".48004pt" strokecolor="#000000">
                <v:path arrowok="t"/>
              </v:shape>
            </v:group>
            <v:group style="position:absolute;left:7170;top:4744;width:831;height:2" coordorigin="7170,4744" coordsize="831,2">
              <v:shape style="position:absolute;left:7170;top:4744;width:831;height:2" coordorigin="7170,4744" coordsize="831,0" path="m7170,4744l8001,4744e" filled="false" stroked="true" strokeweight=".48004pt" strokecolor="#000000">
                <v:path arrowok="t"/>
              </v:shape>
            </v:group>
            <v:group style="position:absolute;left:8010;top:4744;width:1340;height:2" coordorigin="8010,4744" coordsize="1340,2">
              <v:shape style="position:absolute;left:8010;top:4744;width:1340;height:2" coordorigin="8010,4744" coordsize="1340,0" path="m8010,4744l9350,4744e" filled="false" stroked="true" strokeweight=".48004pt" strokecolor="#000000">
                <v:path arrowok="t"/>
              </v:shape>
            </v:group>
            <v:group style="position:absolute;left:9360;top:4744;width:1340;height:2" coordorigin="9360,4744" coordsize="1340,2">
              <v:shape style="position:absolute;left:9360;top:4744;width:1340;height:2" coordorigin="9360,4744" coordsize="1340,0" path="m9360,4744l10699,4744e" filled="false" stroked="true" strokeweight=".48004pt" strokecolor="#000000">
                <v:path arrowok="t"/>
              </v:shape>
            </v:group>
            <v:group style="position:absolute;left:1140;top:5418;width:1460;height:2" coordorigin="1140,5418" coordsize="1460,2">
              <v:shape style="position:absolute;left:1140;top:5418;width:1460;height:2" coordorigin="1140,5418" coordsize="1460,0" path="m1140,5418l2600,5418e" filled="false" stroked="true" strokeweight=".47998pt" strokecolor="#000000">
                <v:path arrowok="t"/>
              </v:shape>
            </v:group>
            <v:group style="position:absolute;left:2609;top:5418;width:1403;height:2" coordorigin="2609,5418" coordsize="1403,2">
              <v:shape style="position:absolute;left:2609;top:5418;width:1403;height:2" coordorigin="2609,5418" coordsize="1403,0" path="m2609,5418l4011,5418e" filled="false" stroked="true" strokeweight=".47998pt" strokecolor="#000000">
                <v:path arrowok="t"/>
              </v:shape>
            </v:group>
            <v:group style="position:absolute;left:4021;top:5418;width:778;height:2" coordorigin="4021,5418" coordsize="778,2">
              <v:shape style="position:absolute;left:4021;top:5418;width:778;height:2" coordorigin="4021,5418" coordsize="778,0" path="m4021,5418l4799,5418e" filled="false" stroked="true" strokeweight=".47998pt" strokecolor="#000000">
                <v:path arrowok="t"/>
              </v:shape>
            </v:group>
            <v:group style="position:absolute;left:4808;top:5418;width:776;height:2" coordorigin="4808,5418" coordsize="776,2">
              <v:shape style="position:absolute;left:4808;top:5418;width:776;height:2" coordorigin="4808,5418" coordsize="776,0" path="m4808,5418l5583,5418e" filled="false" stroked="true" strokeweight=".47998pt" strokecolor="#000000">
                <v:path arrowok="t"/>
              </v:shape>
            </v:group>
            <v:group style="position:absolute;left:5593;top:5418;width:781;height:2" coordorigin="5593,5418" coordsize="781,2">
              <v:shape style="position:absolute;left:5593;top:5418;width:781;height:2" coordorigin="5593,5418" coordsize="781,0" path="m5593,5418l6373,5418e" filled="false" stroked="true" strokeweight=".47998pt" strokecolor="#000000">
                <v:path arrowok="t"/>
              </v:shape>
            </v:group>
            <v:group style="position:absolute;left:6383;top:5418;width:778;height:2" coordorigin="6383,5418" coordsize="778,2">
              <v:shape style="position:absolute;left:6383;top:5418;width:778;height:2" coordorigin="6383,5418" coordsize="778,0" path="m6383,5418l7161,5418e" filled="false" stroked="true" strokeweight=".47998pt" strokecolor="#000000">
                <v:path arrowok="t"/>
              </v:shape>
            </v:group>
            <v:group style="position:absolute;left:7170;top:5418;width:831;height:2" coordorigin="7170,5418" coordsize="831,2">
              <v:shape style="position:absolute;left:7170;top:5418;width:831;height:2" coordorigin="7170,5418" coordsize="831,0" path="m7170,5418l8001,5418e" filled="false" stroked="true" strokeweight=".47998pt" strokecolor="#000000">
                <v:path arrowok="t"/>
              </v:shape>
            </v:group>
            <v:group style="position:absolute;left:8010;top:5418;width:1340;height:2" coordorigin="8010,5418" coordsize="1340,2">
              <v:shape style="position:absolute;left:8010;top:5418;width:1340;height:2" coordorigin="8010,5418" coordsize="1340,0" path="m8010,5418l9350,5418e" filled="false" stroked="true" strokeweight=".47998pt" strokecolor="#000000">
                <v:path arrowok="t"/>
              </v:shape>
            </v:group>
            <v:group style="position:absolute;left:9360;top:5418;width:1340;height:2" coordorigin="9360,5418" coordsize="1340,2">
              <v:shape style="position:absolute;left:9360;top:5418;width:1340;height:2" coordorigin="9360,5418" coordsize="1340,0" path="m9360,5418l10699,5418e" filled="false" stroked="true" strokeweight=".47998pt" strokecolor="#000000">
                <v:path arrowok="t"/>
              </v:shape>
            </v:group>
            <v:group style="position:absolute;left:1135;top:433;width:2;height:5625" coordorigin="1135,433" coordsize="2,5625">
              <v:shape style="position:absolute;left:1135;top:433;width:2;height:5625" coordorigin="1135,433" coordsize="0,5625" path="m1135,433l1135,6057e" filled="false" stroked="true" strokeweight=".48pt" strokecolor="#000000">
                <v:path arrowok="t"/>
              </v:shape>
            </v:group>
            <v:group style="position:absolute;left:1140;top:6052;width:1460;height:2" coordorigin="1140,6052" coordsize="1460,2">
              <v:shape style="position:absolute;left:1140;top:6052;width:1460;height:2" coordorigin="1140,6052" coordsize="1460,0" path="m1140,6052l2600,6052e" filled="false" stroked="true" strokeweight=".47998pt" strokecolor="#000000">
                <v:path arrowok="t"/>
              </v:shape>
            </v:group>
            <v:group style="position:absolute;left:2604;top:2406;width:2;height:3651" coordorigin="2604,2406" coordsize="2,3651">
              <v:shape style="position:absolute;left:2604;top:2406;width:2;height:3651" coordorigin="2604,2406" coordsize="0,3651" path="m2604,2406l2604,6057e" filled="false" stroked="true" strokeweight=".48001pt" strokecolor="#000000">
                <v:path arrowok="t"/>
              </v:shape>
            </v:group>
            <v:group style="position:absolute;left:2609;top:6052;width:1403;height:2" coordorigin="2609,6052" coordsize="1403,2">
              <v:shape style="position:absolute;left:2609;top:6052;width:1403;height:2" coordorigin="2609,6052" coordsize="1403,0" path="m2609,6052l4011,6052e" filled="false" stroked="true" strokeweight=".47998pt" strokecolor="#000000">
                <v:path arrowok="t"/>
              </v:shape>
            </v:group>
            <v:group style="position:absolute;left:4016;top:2406;width:2;height:3651" coordorigin="4016,2406" coordsize="2,3651">
              <v:shape style="position:absolute;left:4016;top:2406;width:2;height:3651" coordorigin="4016,2406" coordsize="0,3651" path="m4016,2406l4016,6057e" filled="false" stroked="true" strokeweight=".48pt" strokecolor="#000000">
                <v:path arrowok="t"/>
              </v:shape>
            </v:group>
            <v:group style="position:absolute;left:4021;top:6052;width:778;height:2" coordorigin="4021,6052" coordsize="778,2">
              <v:shape style="position:absolute;left:4021;top:6052;width:778;height:2" coordorigin="4021,6052" coordsize="778,0" path="m4021,6052l4799,6052e" filled="false" stroked="true" strokeweight=".47998pt" strokecolor="#000000">
                <v:path arrowok="t"/>
              </v:shape>
            </v:group>
            <v:group style="position:absolute;left:4803;top:2406;width:2;height:3651" coordorigin="4803,2406" coordsize="2,3651">
              <v:shape style="position:absolute;left:4803;top:2406;width:2;height:3651" coordorigin="4803,2406" coordsize="0,3651" path="m4803,2406l4803,6057e" filled="false" stroked="true" strokeweight=".48pt" strokecolor="#000000">
                <v:path arrowok="t"/>
              </v:shape>
            </v:group>
            <v:group style="position:absolute;left:4808;top:6052;width:776;height:2" coordorigin="4808,6052" coordsize="776,2">
              <v:shape style="position:absolute;left:4808;top:6052;width:776;height:2" coordorigin="4808,6052" coordsize="776,0" path="m4808,6052l5583,6052e" filled="false" stroked="true" strokeweight=".47998pt" strokecolor="#000000">
                <v:path arrowok="t"/>
              </v:shape>
            </v:group>
            <v:group style="position:absolute;left:5588;top:2406;width:2;height:3651" coordorigin="5588,2406" coordsize="2,3651">
              <v:shape style="position:absolute;left:5588;top:2406;width:2;height:3651" coordorigin="5588,2406" coordsize="0,3651" path="m5588,2406l5588,6057e" filled="false" stroked="true" strokeweight=".48001pt" strokecolor="#000000">
                <v:path arrowok="t"/>
              </v:shape>
            </v:group>
            <v:group style="position:absolute;left:5593;top:6052;width:781;height:2" coordorigin="5593,6052" coordsize="781,2">
              <v:shape style="position:absolute;left:5593;top:6052;width:781;height:2" coordorigin="5593,6052" coordsize="781,0" path="m5593,6052l6373,6052e" filled="false" stroked="true" strokeweight=".47998pt" strokecolor="#000000">
                <v:path arrowok="t"/>
              </v:shape>
            </v:group>
            <v:group style="position:absolute;left:6378;top:2406;width:2;height:3651" coordorigin="6378,2406" coordsize="2,3651">
              <v:shape style="position:absolute;left:6378;top:2406;width:2;height:3651" coordorigin="6378,2406" coordsize="0,3651" path="m6378,2406l6378,6057e" filled="false" stroked="true" strokeweight=".48001pt" strokecolor="#000000">
                <v:path arrowok="t"/>
              </v:shape>
            </v:group>
            <v:group style="position:absolute;left:6383;top:6052;width:778;height:2" coordorigin="6383,6052" coordsize="778,2">
              <v:shape style="position:absolute;left:6383;top:6052;width:778;height:2" coordorigin="6383,6052" coordsize="778,0" path="m6383,6052l7161,6052e" filled="false" stroked="true" strokeweight=".47998pt" strokecolor="#000000">
                <v:path arrowok="t"/>
              </v:shape>
            </v:group>
            <v:group style="position:absolute;left:7165;top:2406;width:2;height:3651" coordorigin="7165,2406" coordsize="2,3651">
              <v:shape style="position:absolute;left:7165;top:2406;width:2;height:3651" coordorigin="7165,2406" coordsize="0,3651" path="m7165,2406l7165,6057e" filled="false" stroked="true" strokeweight=".47998pt" strokecolor="#000000">
                <v:path arrowok="t"/>
              </v:shape>
            </v:group>
            <v:group style="position:absolute;left:7170;top:6052;width:831;height:2" coordorigin="7170,6052" coordsize="831,2">
              <v:shape style="position:absolute;left:7170;top:6052;width:831;height:2" coordorigin="7170,6052" coordsize="831,0" path="m7170,6052l8001,6052e" filled="false" stroked="true" strokeweight=".47998pt" strokecolor="#000000">
                <v:path arrowok="t"/>
              </v:shape>
            </v:group>
            <v:group style="position:absolute;left:8005;top:2406;width:2;height:3651" coordorigin="8005,2406" coordsize="2,3651">
              <v:shape style="position:absolute;left:8005;top:2406;width:2;height:3651" coordorigin="8005,2406" coordsize="0,3651" path="m8005,2406l8005,6057e" filled="false" stroked="true" strokeweight=".47998pt" strokecolor="#000000">
                <v:path arrowok="t"/>
              </v:shape>
            </v:group>
            <v:group style="position:absolute;left:8010;top:6052;width:1340;height:2" coordorigin="8010,6052" coordsize="1340,2">
              <v:shape style="position:absolute;left:8010;top:6052;width:1340;height:2" coordorigin="8010,6052" coordsize="1340,0" path="m8010,6052l9350,6052e" filled="false" stroked="true" strokeweight=".47998pt" strokecolor="#000000">
                <v:path arrowok="t"/>
              </v:shape>
            </v:group>
            <v:group style="position:absolute;left:9355;top:2766;width:2;height:3291" coordorigin="9355,2766" coordsize="2,3291">
              <v:shape style="position:absolute;left:9355;top:2766;width:2;height:3291" coordorigin="9355,2766" coordsize="0,3291" path="m9355,2766l9355,6057e" filled="false" stroked="true" strokeweight=".48001pt" strokecolor="#000000">
                <v:path arrowok="t"/>
              </v:shape>
            </v:group>
            <v:group style="position:absolute;left:9360;top:6052;width:1340;height:2" coordorigin="9360,6052" coordsize="1340,2">
              <v:shape style="position:absolute;left:9360;top:6052;width:1340;height:2" coordorigin="9360,6052" coordsize="1340,0" path="m9360,6052l10699,6052e" filled="false" stroked="true" strokeweight=".47998pt" strokecolor="#000000">
                <v:path arrowok="t"/>
              </v:shape>
            </v:group>
            <v:group style="position:absolute;left:10704;top:433;width:2;height:5625" coordorigin="10704,433" coordsize="2,5625">
              <v:shape style="position:absolute;left:10704;top:433;width:2;height:5625" coordorigin="10704,433" coordsize="0,5625" path="m10704,433l10704,6057e" filled="false" stroked="true" strokeweight=".47998pt" strokecolor="#000000">
                <v:path arrowok="t"/>
              </v:shape>
              <v:shape style="position:absolute;left:1162;top:818;width:3392;height:804" type="#_x0000_t202" filled="false" stroked="false">
                <v:textbox inset="0,0,0,0">
                  <w:txbxContent>
                    <w:p>
                      <w:pPr>
                        <w:spacing w:line="140" w:lineRule="exact" w:before="0"/>
                        <w:ind w:left="2131" w:right="0" w:firstLine="0"/>
                        <w:jc w:val="left"/>
                        <w:rPr>
                          <w:rFonts w:ascii="宋体" w:hAnsi="宋体" w:cs="宋体" w:eastAsia="宋体" w:hint="default"/>
                          <w:sz w:val="18"/>
                          <w:szCs w:val="18"/>
                        </w:rPr>
                      </w:pPr>
                      <w:r>
                        <w:rPr>
                          <w:rFonts w:ascii="宋体" w:hAnsi="宋体" w:cs="宋体" w:eastAsia="宋体" w:hint="default"/>
                          <w:sz w:val="18"/>
                          <w:szCs w:val="18"/>
                        </w:rPr>
                        <w:t>年度报告披露日</w:t>
                      </w:r>
                    </w:p>
                    <w:p>
                      <w:pPr>
                        <w:spacing w:line="15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报告期末普通股</w:t>
                      </w:r>
                    </w:p>
                    <w:p>
                      <w:pPr>
                        <w:spacing w:line="163" w:lineRule="exact" w:before="0"/>
                        <w:ind w:left="1579"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23,272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前上一月末普通</w:t>
                      </w:r>
                    </w:p>
                    <w:p>
                      <w:pPr>
                        <w:spacing w:line="14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股东总数</w:t>
                      </w:r>
                    </w:p>
                    <w:p>
                      <w:pPr>
                        <w:spacing w:line="196" w:lineRule="exact" w:before="0"/>
                        <w:ind w:left="2131" w:right="0" w:firstLine="0"/>
                        <w:jc w:val="left"/>
                        <w:rPr>
                          <w:rFonts w:ascii="宋体" w:hAnsi="宋体" w:cs="宋体" w:eastAsia="宋体" w:hint="default"/>
                          <w:sz w:val="18"/>
                          <w:szCs w:val="18"/>
                        </w:rPr>
                      </w:pPr>
                      <w:r>
                        <w:rPr>
                          <w:rFonts w:ascii="宋体" w:hAnsi="宋体" w:cs="宋体" w:eastAsia="宋体" w:hint="default"/>
                          <w:sz w:val="18"/>
                          <w:szCs w:val="18"/>
                        </w:rPr>
                        <w:t>股股东总数</w:t>
                      </w:r>
                    </w:p>
                  </w:txbxContent>
                </v:textbox>
                <w10:wrap type="none"/>
              </v:shape>
              <v:shape style="position:absolute;left:5401;top:662;width:1810;height:1126" type="#_x0000_t202" filled="false" stroked="false">
                <v:textbox inset="0,0,0,0">
                  <w:txbxContent>
                    <w:p>
                      <w:pPr>
                        <w:spacing w:line="180" w:lineRule="exact" w:before="0"/>
                        <w:ind w:left="549" w:right="0" w:firstLine="0"/>
                        <w:jc w:val="left"/>
                        <w:rPr>
                          <w:rFonts w:ascii="宋体" w:hAnsi="宋体" w:cs="宋体" w:eastAsia="宋体" w:hint="default"/>
                          <w:sz w:val="18"/>
                          <w:szCs w:val="18"/>
                        </w:rPr>
                      </w:pPr>
                      <w:r>
                        <w:rPr>
                          <w:rFonts w:ascii="宋体" w:hAnsi="宋体" w:cs="宋体" w:eastAsia="宋体" w:hint="default"/>
                          <w:sz w:val="18"/>
                          <w:szCs w:val="18"/>
                        </w:rPr>
                        <w:t>报告期末表决权</w:t>
                      </w:r>
                    </w:p>
                    <w:p>
                      <w:pPr>
                        <w:spacing w:line="217" w:lineRule="exact" w:before="76"/>
                        <w:ind w:left="549" w:right="0" w:firstLine="0"/>
                        <w:jc w:val="left"/>
                        <w:rPr>
                          <w:rFonts w:ascii="宋体" w:hAnsi="宋体" w:cs="宋体" w:eastAsia="宋体" w:hint="default"/>
                          <w:sz w:val="18"/>
                          <w:szCs w:val="18"/>
                        </w:rPr>
                      </w:pPr>
                      <w:r>
                        <w:rPr>
                          <w:rFonts w:ascii="宋体" w:hAnsi="宋体" w:cs="宋体" w:eastAsia="宋体" w:hint="default"/>
                          <w:sz w:val="18"/>
                          <w:szCs w:val="18"/>
                        </w:rPr>
                        <w:t>恢复的优先股股</w:t>
                      </w:r>
                    </w:p>
                    <w:p>
                      <w:pPr>
                        <w:spacing w:line="142" w:lineRule="exact" w:before="0"/>
                        <w:ind w:left="0" w:right="0" w:firstLine="0"/>
                        <w:jc w:val="left"/>
                        <w:rPr>
                          <w:rFonts w:ascii="Times New Roman" w:hAnsi="Times New Roman" w:cs="Times New Roman" w:eastAsia="Times New Roman" w:hint="default"/>
                          <w:sz w:val="18"/>
                          <w:szCs w:val="18"/>
                        </w:rPr>
                      </w:pPr>
                      <w:r>
                        <w:rPr>
                          <w:rFonts w:ascii="Times New Roman"/>
                          <w:sz w:val="18"/>
                        </w:rPr>
                        <w:t>27,836</w:t>
                      </w:r>
                    </w:p>
                    <w:p>
                      <w:pPr>
                        <w:spacing w:line="189" w:lineRule="exact" w:before="0"/>
                        <w:ind w:left="549" w:right="0" w:firstLine="0"/>
                        <w:jc w:val="left"/>
                        <w:rPr>
                          <w:rFonts w:ascii="宋体" w:hAnsi="宋体" w:cs="宋体" w:eastAsia="宋体" w:hint="default"/>
                          <w:sz w:val="18"/>
                          <w:szCs w:val="18"/>
                        </w:rPr>
                      </w:pPr>
                      <w:r>
                        <w:rPr>
                          <w:rFonts w:ascii="宋体" w:hAnsi="宋体" w:cs="宋体" w:eastAsia="宋体" w:hint="default"/>
                          <w:sz w:val="18"/>
                          <w:szCs w:val="18"/>
                        </w:rPr>
                        <w:t>东总数（如有）</w:t>
                      </w:r>
                    </w:p>
                    <w:p>
                      <w:pPr>
                        <w:spacing w:line="245" w:lineRule="exact" w:before="76"/>
                        <w:ind w:left="549" w:right="0" w:firstLine="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xbxContent>
                </v:textbox>
                <w10:wrap type="none"/>
              </v:shape>
              <v:shape style="position:absolute;left:8195;top:506;width:1407;height:1438" type="#_x0000_t202" filled="false" stroked="false">
                <v:textbox inset="0,0,0,0">
                  <w:txbxContent>
                    <w:p>
                      <w:pPr>
                        <w:spacing w:line="180" w:lineRule="exact" w:before="0"/>
                        <w:ind w:left="146" w:right="0" w:firstLine="0"/>
                        <w:jc w:val="left"/>
                        <w:rPr>
                          <w:rFonts w:ascii="宋体" w:hAnsi="宋体" w:cs="宋体" w:eastAsia="宋体" w:hint="default"/>
                          <w:sz w:val="18"/>
                          <w:szCs w:val="18"/>
                        </w:rPr>
                      </w:pPr>
                      <w:r>
                        <w:rPr>
                          <w:rFonts w:ascii="宋体" w:hAnsi="宋体" w:cs="宋体" w:eastAsia="宋体" w:hint="default"/>
                          <w:sz w:val="18"/>
                          <w:szCs w:val="18"/>
                        </w:rPr>
                        <w:t>年度报告披露日</w:t>
                      </w:r>
                    </w:p>
                    <w:p>
                      <w:pPr>
                        <w:spacing w:before="76"/>
                        <w:ind w:left="146" w:right="0" w:firstLine="0"/>
                        <w:jc w:val="left"/>
                        <w:rPr>
                          <w:rFonts w:ascii="宋体" w:hAnsi="宋体" w:cs="宋体" w:eastAsia="宋体" w:hint="default"/>
                          <w:sz w:val="18"/>
                          <w:szCs w:val="18"/>
                        </w:rPr>
                      </w:pPr>
                      <w:r>
                        <w:rPr>
                          <w:rFonts w:ascii="宋体" w:hAnsi="宋体" w:cs="宋体" w:eastAsia="宋体" w:hint="default"/>
                          <w:sz w:val="18"/>
                          <w:szCs w:val="18"/>
                        </w:rPr>
                        <w:t>前上一月末表决</w:t>
                      </w:r>
                    </w:p>
                    <w:p>
                      <w:pPr>
                        <w:spacing w:line="300" w:lineRule="auto" w:before="76"/>
                        <w:ind w:left="146" w:right="0" w:hanging="147"/>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权恢复的优先股 股东总数</w:t>
                      </w:r>
                    </w:p>
                    <w:p>
                      <w:pPr>
                        <w:spacing w:line="245" w:lineRule="exact" w:before="31"/>
                        <w:ind w:left="146" w:right="0" w:firstLine="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xbxContent>
                </v:textbox>
                <w10:wrap type="none"/>
              </v:shape>
              <v:shape style="position:absolute;left:10584;top:1140;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v:shape style="position:absolute;left:4201;top:2117;width:3742;height:543"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p>
                      <w:pPr>
                        <w:spacing w:before="113"/>
                        <w:ind w:left="1420" w:right="0" w:firstLine="0"/>
                        <w:jc w:val="left"/>
                        <w:rPr>
                          <w:rFonts w:ascii="宋体" w:hAnsi="宋体" w:cs="宋体" w:eastAsia="宋体" w:hint="default"/>
                          <w:sz w:val="18"/>
                          <w:szCs w:val="18"/>
                        </w:rPr>
                      </w:pPr>
                      <w:r>
                        <w:rPr>
                          <w:rFonts w:ascii="宋体" w:hAnsi="宋体" w:cs="宋体" w:eastAsia="宋体" w:hint="default"/>
                          <w:sz w:val="18"/>
                          <w:szCs w:val="18"/>
                        </w:rPr>
                        <w:t>报告期内 持有有限</w:t>
                      </w:r>
                      <w:r>
                        <w:rPr>
                          <w:rFonts w:ascii="宋体" w:hAnsi="宋体" w:cs="宋体" w:eastAsia="宋体" w:hint="default"/>
                          <w:spacing w:val="-19"/>
                          <w:sz w:val="18"/>
                          <w:szCs w:val="18"/>
                        </w:rPr>
                        <w:t> </w:t>
                      </w:r>
                      <w:r>
                        <w:rPr>
                          <w:rFonts w:ascii="宋体" w:hAnsi="宋体" w:cs="宋体" w:eastAsia="宋体" w:hint="default"/>
                          <w:sz w:val="18"/>
                          <w:szCs w:val="18"/>
                        </w:rPr>
                        <w:t>持有无限</w:t>
                      </w:r>
                    </w:p>
                  </w:txbxContent>
                </v:textbox>
                <w10:wrap type="none"/>
              </v:shape>
              <v:shape style="position:absolute;left:8723;top:2479;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质押或冻结情况</w:t>
                      </w:r>
                    </w:p>
                  </w:txbxContent>
                </v:textbox>
                <w10:wrap type="none"/>
              </v:shape>
              <v:shape style="position:absolute;left:1508;top:279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股东名称</w:t>
                      </w:r>
                    </w:p>
                  </w:txbxContent>
                </v:textbox>
                <w10:wrap type="none"/>
              </v:shape>
              <v:shape style="position:absolute;left:2948;top:2635;width:2607;height:492" type="#_x0000_t202" filled="false" stroked="false">
                <v:textbox inset="0,0,0,0">
                  <w:txbxContent>
                    <w:p>
                      <w:pPr>
                        <w:spacing w:line="14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报告期末</w:t>
                      </w:r>
                    </w:p>
                    <w:p>
                      <w:pPr>
                        <w:tabs>
                          <w:tab w:pos="1099" w:val="left" w:leader="none"/>
                        </w:tabs>
                        <w:spacing w:line="15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股东性质</w:t>
                        <w:tab/>
                        <w:t>持股比例</w:t>
                      </w:r>
                    </w:p>
                    <w:p>
                      <w:pPr>
                        <w:spacing w:line="19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持股数量</w:t>
                      </w:r>
                    </w:p>
                  </w:txbxContent>
                </v:textbox>
                <w10:wrap type="none"/>
              </v:shape>
              <v:shape style="position:absolute;left:5622;top:2791;width:2322;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增减变动 售条件的</w:t>
                      </w:r>
                      <w:r>
                        <w:rPr>
                          <w:rFonts w:ascii="宋体" w:hAnsi="宋体" w:cs="宋体" w:eastAsia="宋体" w:hint="default"/>
                          <w:spacing w:val="-19"/>
                          <w:sz w:val="18"/>
                          <w:szCs w:val="18"/>
                        </w:rPr>
                        <w:t> </w:t>
                      </w:r>
                      <w:r>
                        <w:rPr>
                          <w:rFonts w:ascii="宋体" w:hAnsi="宋体" w:cs="宋体" w:eastAsia="宋体" w:hint="default"/>
                          <w:sz w:val="18"/>
                          <w:szCs w:val="18"/>
                        </w:rPr>
                        <w:t>售条件的</w:t>
                      </w:r>
                    </w:p>
                    <w:p>
                      <w:pPr>
                        <w:spacing w:before="76"/>
                        <w:ind w:left="180" w:right="0" w:firstLine="0"/>
                        <w:jc w:val="left"/>
                        <w:rPr>
                          <w:rFonts w:ascii="宋体" w:hAnsi="宋体" w:cs="宋体" w:eastAsia="宋体" w:hint="default"/>
                          <w:sz w:val="18"/>
                          <w:szCs w:val="18"/>
                        </w:rPr>
                      </w:pPr>
                      <w:r>
                        <w:rPr>
                          <w:rFonts w:ascii="宋体" w:hAnsi="宋体" w:cs="宋体" w:eastAsia="宋体" w:hint="default"/>
                          <w:sz w:val="18"/>
                          <w:szCs w:val="18"/>
                        </w:rPr>
                        <w:t>情况</w:t>
                      </w:r>
                    </w:p>
                  </w:txbxContent>
                </v:textbox>
                <w10:wrap type="none"/>
              </v:shape>
              <v:shape style="position:absolute;left:8317;top:297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股份状态</w:t>
                      </w:r>
                    </w:p>
                  </w:txbxContent>
                </v:textbox>
                <w10:wrap type="none"/>
              </v:shape>
              <v:shape style="position:absolute;left:9847;top:297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数量</w:t>
                      </w:r>
                    </w:p>
                  </w:txbxContent>
                </v:textbox>
                <w10:wrap type="none"/>
              </v:shape>
              <v:shape style="position:absolute;left:1162;top:3466;width:126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湖南天鸿投资集</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团有限公司</w:t>
                      </w:r>
                    </w:p>
                  </w:txbxContent>
                </v:textbox>
                <w10:wrap type="none"/>
              </v:shape>
              <v:shape style="position:absolute;left:4839;top:3103;width:3138;height:553" type="#_x0000_t202" filled="false" stroked="false">
                <v:textbox inset="0,0,0,0">
                  <w:txbxContent>
                    <w:p>
                      <w:pPr>
                        <w:spacing w:line="180" w:lineRule="exact" w:before="0"/>
                        <w:ind w:left="1572" w:right="0" w:firstLine="0"/>
                        <w:jc w:val="left"/>
                        <w:rPr>
                          <w:rFonts w:ascii="宋体" w:hAnsi="宋体" w:cs="宋体" w:eastAsia="宋体" w:hint="default"/>
                          <w:sz w:val="18"/>
                          <w:szCs w:val="18"/>
                        </w:rPr>
                      </w:pPr>
                      <w:r>
                        <w:rPr>
                          <w:rFonts w:ascii="宋体" w:hAnsi="宋体" w:cs="宋体" w:eastAsia="宋体" w:hint="default"/>
                          <w:sz w:val="18"/>
                          <w:szCs w:val="18"/>
                        </w:rPr>
                        <w:t>股份数量</w:t>
                      </w:r>
                      <w:r>
                        <w:rPr>
                          <w:rFonts w:ascii="宋体" w:hAnsi="宋体" w:cs="宋体" w:eastAsia="宋体" w:hint="default"/>
                          <w:spacing w:val="1"/>
                          <w:sz w:val="18"/>
                          <w:szCs w:val="18"/>
                        </w:rPr>
                        <w:t> </w:t>
                      </w:r>
                      <w:r>
                        <w:rPr>
                          <w:rFonts w:ascii="宋体" w:hAnsi="宋体" w:cs="宋体" w:eastAsia="宋体" w:hint="default"/>
                          <w:sz w:val="18"/>
                          <w:szCs w:val="18"/>
                        </w:rPr>
                        <w:t>股份数量</w:t>
                      </w:r>
                    </w:p>
                    <w:p>
                      <w:pPr>
                        <w:spacing w:line="240" w:lineRule="auto" w:before="12"/>
                        <w:rPr>
                          <w:rFonts w:ascii="宋体" w:hAnsi="宋体" w:cs="宋体" w:eastAsia="宋体" w:hint="default"/>
                          <w:sz w:val="12"/>
                          <w:szCs w:val="12"/>
                        </w:rPr>
                      </w:pPr>
                    </w:p>
                    <w:p>
                      <w:pPr>
                        <w:tabs>
                          <w:tab w:pos="2417" w:val="left" w:leader="none"/>
                        </w:tabs>
                        <w:spacing w:line="203" w:lineRule="exact" w:before="0"/>
                        <w:ind w:left="0" w:right="0" w:firstLine="0"/>
                        <w:jc w:val="left"/>
                        <w:rPr>
                          <w:rFonts w:ascii="Times New Roman" w:hAnsi="Times New Roman" w:cs="Times New Roman" w:eastAsia="Times New Roman" w:hint="default"/>
                          <w:sz w:val="18"/>
                          <w:szCs w:val="18"/>
                        </w:rPr>
                      </w:pPr>
                      <w:r>
                        <w:rPr>
                          <w:rFonts w:ascii="Times New Roman"/>
                          <w:sz w:val="18"/>
                        </w:rPr>
                        <w:t>162,231,5</w:t>
                      </w:r>
                      <w:r>
                        <w:rPr>
                          <w:rFonts w:ascii="Times New Roman"/>
                          <w:spacing w:val="8"/>
                          <w:sz w:val="18"/>
                        </w:rPr>
                        <w:t> </w:t>
                      </w:r>
                      <w:r>
                        <w:rPr>
                          <w:rFonts w:ascii="Times New Roman"/>
                          <w:sz w:val="18"/>
                        </w:rPr>
                        <w:t>27,038,58</w:t>
                        <w:tab/>
                        <w:t>162,231,5</w:t>
                      </w:r>
                    </w:p>
                  </w:txbxContent>
                </v:textbox>
                <w10:wrap type="none"/>
              </v:shape>
              <v:shape style="position:absolute;left:2631;top:3622;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境内非国有法人</w:t>
                      </w:r>
                    </w:p>
                  </w:txbxContent>
                </v:textbox>
                <w10:wrap type="none"/>
              </v:shape>
              <v:shape style="position:absolute;left:4220;top:3632;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38.41%</w:t>
                      </w:r>
                    </w:p>
                  </w:txbxContent>
                </v:textbox>
                <w10:wrap type="none"/>
              </v:shape>
              <v:shape style="position:absolute;left:7045;top:3632;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v:shape style="position:absolute;left:8032;top:36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质押</w:t>
                      </w:r>
                    </w:p>
                  </w:txbxContent>
                </v:textbox>
                <w10:wrap type="none"/>
              </v:shape>
              <v:shape style="position:absolute;left:9864;top:3632;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37,000,000</w:t>
                      </w:r>
                    </w:p>
                  </w:txbxContent>
                </v:textbox>
                <w10:wrap type="none"/>
              </v:shape>
              <v:shape style="position:absolute;left:1162;top:429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李桂华</w:t>
                      </w:r>
                    </w:p>
                  </w:txbxContent>
                </v:textbox>
                <w10:wrap type="none"/>
              </v:shape>
              <v:shape style="position:absolute;left:2631;top:4294;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境内自然人</w:t>
                      </w:r>
                    </w:p>
                  </w:txbxContent>
                </v:textbox>
                <w10:wrap type="none"/>
              </v:shape>
              <v:shape style="position:absolute;left:4220;top:4304;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16.74%</w:t>
                      </w:r>
                    </w:p>
                  </w:txbxContent>
                </v:textbox>
                <w10:wrap type="none"/>
              </v:shape>
              <v:shape style="position:absolute;left:8032;top:429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质押</w:t>
                      </w:r>
                    </w:p>
                  </w:txbxContent>
                </v:textbox>
                <w10:wrap type="none"/>
              </v:shape>
              <v:shape style="position:absolute;left:9864;top:4304;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16,200,000</w:t>
                      </w:r>
                    </w:p>
                  </w:txbxContent>
                </v:textbox>
                <w10:wrap type="none"/>
              </v:shape>
              <v:shape style="position:absolute;left:1162;top:4968;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王玉刚</w:t>
                      </w:r>
                    </w:p>
                  </w:txbxContent>
                </v:textbox>
                <w10:wrap type="none"/>
              </v:shape>
              <v:shape style="position:absolute;left:2631;top:4968;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境内自然人</w:t>
                      </w:r>
                    </w:p>
                  </w:txbxContent>
                </v:textbox>
                <w10:wrap type="none"/>
              </v:shape>
              <v:shape style="position:absolute;left:4309;top:4978;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3.64%</w:t>
                      </w:r>
                    </w:p>
                  </w:txbxContent>
                </v:textbox>
                <w10:wrap type="none"/>
              </v:shape>
              <v:shape style="position:absolute;left:5617;top:4978;width:72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2,559,445</w:t>
                      </w:r>
                    </w:p>
                  </w:txbxContent>
                </v:textbox>
                <w10:wrap type="none"/>
              </v:shape>
              <v:shape style="position:absolute;left:7885;top:4978;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v:shape style="position:absolute;left:5468;top:5134;width:1668;height:180" type="#_x0000_t202" filled="false" stroked="false">
                <v:textbox inset="0,0,0,0">
                  <w:txbxContent>
                    <w:p>
                      <w:pPr>
                        <w:tabs>
                          <w:tab w:pos="1577"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w:t>
                        <w:tab/>
                        <w:t>0</w:t>
                      </w:r>
                    </w:p>
                  </w:txbxContent>
                </v:textbox>
                <w10:wrap type="none"/>
              </v:shape>
              <v:shape style="position:absolute;left:1162;top:5487;width:1414;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北京神奇博信投</w:t>
                      </w:r>
                    </w:p>
                    <w:p>
                      <w:pPr>
                        <w:spacing w:before="76"/>
                        <w:ind w:left="0" w:right="0" w:firstLine="0"/>
                        <w:jc w:val="left"/>
                        <w:rPr>
                          <w:rFonts w:ascii="宋体" w:hAnsi="宋体" w:cs="宋体" w:eastAsia="宋体" w:hint="default"/>
                          <w:sz w:val="18"/>
                          <w:szCs w:val="18"/>
                        </w:rPr>
                      </w:pPr>
                      <w:r>
                        <w:rPr>
                          <w:rFonts w:ascii="宋体" w:hAnsi="宋体" w:cs="宋体" w:eastAsia="宋体" w:hint="default"/>
                          <w:spacing w:val="-4"/>
                          <w:sz w:val="18"/>
                          <w:szCs w:val="18"/>
                        </w:rPr>
                        <w:t>资管理中心（有限</w:t>
                      </w:r>
                    </w:p>
                  </w:txbxContent>
                </v:textbox>
                <w10:wrap type="none"/>
              </v:shape>
              <v:shape style="position:absolute;left:2631;top:5624;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境内非国有法人</w:t>
                      </w:r>
                    </w:p>
                  </w:txbxContent>
                </v:textbox>
                <w10:wrap type="none"/>
              </v:shape>
              <v:shape style="position:absolute;left:4309;top:5634;width:282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2.17% 9,183,642 1,530,607 </w:t>
                      </w:r>
                      <w:r>
                        <w:rPr>
                          <w:rFonts w:ascii="Times New Roman"/>
                          <w:spacing w:val="14"/>
                          <w:sz w:val="18"/>
                        </w:rPr>
                        <w:t> </w:t>
                      </w:r>
                      <w:r>
                        <w:rPr>
                          <w:rFonts w:ascii="Times New Roman"/>
                          <w:sz w:val="18"/>
                        </w:rPr>
                        <w:t>9,183,642</w:t>
                      </w:r>
                    </w:p>
                  </w:txbxContent>
                </v:textbox>
                <w10:wrap type="none"/>
              </v:shape>
              <v:shape style="position:absolute;left:7885;top:5634;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v:group>
            <w10:wrap type="none"/>
          </v:group>
        </w:pict>
      </w: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tbl>
      <w:tblPr>
        <w:tblW w:w="0" w:type="auto"/>
        <w:jc w:val="left"/>
        <w:tblInd w:w="3784" w:type="dxa"/>
        <w:tblLayout w:type="fixed"/>
        <w:tblCellMar>
          <w:top w:w="0" w:type="dxa"/>
          <w:left w:w="0" w:type="dxa"/>
          <w:bottom w:w="0" w:type="dxa"/>
          <w:right w:w="0" w:type="dxa"/>
        </w:tblCellMar>
        <w:tblLook w:val="01E0"/>
      </w:tblPr>
      <w:tblGrid>
        <w:gridCol w:w="1569"/>
        <w:gridCol w:w="823"/>
        <w:gridCol w:w="815"/>
      </w:tblGrid>
      <w:tr>
        <w:trPr>
          <w:trHeight w:val="282" w:hRule="exact"/>
        </w:trPr>
        <w:tc>
          <w:tcPr>
            <w:tcW w:w="1569" w:type="dxa"/>
            <w:tcBorders>
              <w:top w:val="nil" w:sz="6" w:space="0" w:color="auto"/>
              <w:left w:val="nil" w:sz="6" w:space="0" w:color="auto"/>
              <w:bottom w:val="nil" w:sz="6" w:space="0" w:color="auto"/>
              <w:right w:val="nil" w:sz="6" w:space="0" w:color="auto"/>
            </w:tcBorders>
          </w:tcPr>
          <w:p>
            <w:pPr>
              <w:pStyle w:val="TableParagraph"/>
              <w:spacing w:line="184" w:lineRule="exact"/>
              <w:ind w:right="82"/>
              <w:jc w:val="center"/>
              <w:rPr>
                <w:rFonts w:ascii="Times New Roman" w:hAnsi="Times New Roman" w:cs="Times New Roman" w:eastAsia="Times New Roman" w:hint="default"/>
                <w:sz w:val="18"/>
                <w:szCs w:val="18"/>
              </w:rPr>
            </w:pPr>
            <w:r>
              <w:rPr>
                <w:rFonts w:ascii="Times New Roman"/>
                <w:spacing w:val="-3"/>
                <w:sz w:val="18"/>
              </w:rPr>
              <w:t>11</w:t>
            </w:r>
            <w:r>
              <w:rPr>
                <w:rFonts w:ascii="Times New Roman"/>
                <w:spacing w:val="11"/>
                <w:sz w:val="18"/>
              </w:rPr>
              <w:t> </w:t>
            </w:r>
            <w:r>
              <w:rPr>
                <w:rFonts w:ascii="Times New Roman"/>
                <w:sz w:val="18"/>
              </w:rPr>
              <w:t>5</w:t>
            </w:r>
          </w:p>
        </w:tc>
        <w:tc>
          <w:tcPr>
            <w:tcW w:w="823" w:type="dxa"/>
            <w:tcBorders>
              <w:top w:val="nil" w:sz="6" w:space="0" w:color="auto"/>
              <w:left w:val="nil" w:sz="6" w:space="0" w:color="auto"/>
              <w:bottom w:val="nil" w:sz="6" w:space="0" w:color="auto"/>
              <w:right w:val="nil" w:sz="6" w:space="0" w:color="auto"/>
            </w:tcBorders>
          </w:tcPr>
          <w:p>
            <w:pPr/>
          </w:p>
        </w:tc>
        <w:tc>
          <w:tcPr>
            <w:tcW w:w="815" w:type="dxa"/>
            <w:tcBorders>
              <w:top w:val="nil" w:sz="6" w:space="0" w:color="auto"/>
              <w:left w:val="nil" w:sz="6" w:space="0" w:color="auto"/>
              <w:bottom w:val="nil" w:sz="6" w:space="0" w:color="auto"/>
              <w:right w:val="nil" w:sz="6" w:space="0" w:color="auto"/>
            </w:tcBorders>
          </w:tcPr>
          <w:p>
            <w:pPr>
              <w:pStyle w:val="TableParagraph"/>
              <w:spacing w:line="184" w:lineRule="exact"/>
              <w:ind w:right="38"/>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324" w:hRule="exact"/>
        </w:trPr>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Times New Roman" w:hAnsi="Times New Roman" w:cs="Times New Roman" w:eastAsia="Times New Roman" w:hint="default"/>
                <w:sz w:val="18"/>
                <w:szCs w:val="18"/>
              </w:rPr>
            </w:pPr>
            <w:r>
              <w:rPr>
                <w:rFonts w:ascii="Times New Roman"/>
                <w:sz w:val="18"/>
              </w:rPr>
              <w:t>70,710,28</w:t>
            </w:r>
            <w:r>
              <w:rPr>
                <w:rFonts w:ascii="Times New Roman"/>
                <w:spacing w:val="1"/>
                <w:sz w:val="18"/>
              </w:rPr>
              <w:t> </w:t>
            </w:r>
            <w:r>
              <w:rPr>
                <w:rFonts w:ascii="Times New Roman"/>
                <w:sz w:val="18"/>
              </w:rPr>
              <w:t>11,743,38</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7"/>
              <w:jc w:val="right"/>
              <w:rPr>
                <w:rFonts w:ascii="Times New Roman" w:hAnsi="Times New Roman" w:cs="Times New Roman" w:eastAsia="Times New Roman" w:hint="default"/>
                <w:sz w:val="18"/>
                <w:szCs w:val="18"/>
              </w:rPr>
            </w:pPr>
            <w:r>
              <w:rPr>
                <w:rFonts w:ascii="Times New Roman"/>
                <w:spacing w:val="-1"/>
                <w:sz w:val="18"/>
              </w:rPr>
              <w:t>45,460,99</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pacing w:val="-1"/>
                <w:sz w:val="18"/>
              </w:rPr>
              <w:t>25,249,29</w:t>
            </w:r>
          </w:p>
        </w:tc>
      </w:tr>
      <w:tr>
        <w:trPr>
          <w:trHeight w:val="350" w:hRule="exact"/>
        </w:trPr>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5</w:t>
            </w:r>
            <w:r>
              <w:rPr>
                <w:rFonts w:ascii="Times New Roman"/>
                <w:spacing w:val="13"/>
                <w:sz w:val="18"/>
              </w:rPr>
              <w:t> </w:t>
            </w:r>
            <w:r>
              <w:rPr>
                <w:rFonts w:ascii="Times New Roman"/>
                <w:sz w:val="18"/>
              </w:rPr>
              <w:t>1</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9"/>
              <w:jc w:val="right"/>
              <w:rPr>
                <w:rFonts w:ascii="Times New Roman" w:hAnsi="Times New Roman" w:cs="Times New Roman" w:eastAsia="Times New Roman" w:hint="default"/>
                <w:sz w:val="18"/>
                <w:szCs w:val="18"/>
              </w:rPr>
            </w:pPr>
            <w:r>
              <w:rPr>
                <w:rFonts w:ascii="Times New Roman"/>
                <w:sz w:val="18"/>
              </w:rPr>
              <w:t>5</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
              <w:jc w:val="right"/>
              <w:rPr>
                <w:rFonts w:ascii="Times New Roman" w:hAnsi="Times New Roman" w:cs="Times New Roman" w:eastAsia="Times New Roman" w:hint="default"/>
                <w:sz w:val="18"/>
                <w:szCs w:val="18"/>
              </w:rPr>
            </w:pPr>
            <w:r>
              <w:rPr>
                <w:rFonts w:ascii="Times New Roman"/>
                <w:sz w:val="18"/>
              </w:rPr>
              <w:t>0</w:t>
            </w:r>
          </w:p>
        </w:tc>
      </w:tr>
      <w:tr>
        <w:trPr>
          <w:trHeight w:val="258" w:hRule="exact"/>
        </w:trPr>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Times New Roman" w:hAnsi="Times New Roman" w:cs="Times New Roman" w:eastAsia="Times New Roman" w:hint="default"/>
                <w:sz w:val="18"/>
                <w:szCs w:val="18"/>
              </w:rPr>
            </w:pPr>
            <w:r>
              <w:rPr>
                <w:rFonts w:ascii="Times New Roman"/>
                <w:sz w:val="18"/>
              </w:rPr>
              <w:t>15,356,67</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9"/>
              <w:jc w:val="right"/>
              <w:rPr>
                <w:rFonts w:ascii="Times New Roman" w:hAnsi="Times New Roman" w:cs="Times New Roman" w:eastAsia="Times New Roman" w:hint="default"/>
                <w:sz w:val="18"/>
                <w:szCs w:val="18"/>
              </w:rPr>
            </w:pPr>
            <w:r>
              <w:rPr>
                <w:rFonts w:ascii="Times New Roman"/>
                <w:spacing w:val="-1"/>
                <w:sz w:val="18"/>
              </w:rPr>
              <w:t>15,356,67</w:t>
            </w:r>
          </w:p>
        </w:tc>
        <w:tc>
          <w:tcPr>
            <w:tcW w:w="81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59" w:top="1340" w:bottom="1140" w:left="1020" w:right="1020"/>
        </w:sectPr>
      </w:pPr>
    </w:p>
    <w:p>
      <w:pPr>
        <w:spacing w:line="240" w:lineRule="auto" w:before="1"/>
        <w:rPr>
          <w:rFonts w:ascii="Times New Roman" w:hAnsi="Times New Roman" w:cs="Times New Roman" w:eastAsia="Times New Roman"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1469"/>
        <w:gridCol w:w="1412"/>
        <w:gridCol w:w="787"/>
        <w:gridCol w:w="785"/>
        <w:gridCol w:w="790"/>
        <w:gridCol w:w="787"/>
        <w:gridCol w:w="840"/>
        <w:gridCol w:w="1349"/>
        <w:gridCol w:w="1349"/>
      </w:tblGrid>
      <w:tr>
        <w:trPr>
          <w:trHeight w:val="36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李广欣</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1.50%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left"/>
              <w:rPr>
                <w:rFonts w:ascii="Times New Roman" w:hAnsi="Times New Roman" w:cs="Times New Roman" w:eastAsia="Times New Roman" w:hint="default"/>
                <w:sz w:val="18"/>
                <w:szCs w:val="18"/>
              </w:rPr>
            </w:pPr>
            <w:r>
              <w:rPr>
                <w:rFonts w:ascii="Times New Roman"/>
                <w:sz w:val="18"/>
              </w:rPr>
              <w:t>6,324,823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1,054,137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6,324,823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0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1" w:right="115"/>
              <w:jc w:val="left"/>
              <w:rPr>
                <w:rFonts w:ascii="宋体" w:hAnsi="宋体" w:cs="宋体" w:eastAsia="宋体" w:hint="default"/>
                <w:sz w:val="18"/>
                <w:szCs w:val="18"/>
              </w:rPr>
            </w:pPr>
            <w:r>
              <w:rPr>
                <w:rFonts w:ascii="宋体" w:hAnsi="宋体" w:cs="宋体" w:eastAsia="宋体" w:hint="default"/>
                <w:sz w:val="18"/>
                <w:szCs w:val="18"/>
              </w:rPr>
              <w:t>中国农业银行股 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中邮 信息产业灵活配 置混合型证券投 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3,508,604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3,508,604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3,508,604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1" w:right="115"/>
              <w:jc w:val="left"/>
              <w:rPr>
                <w:rFonts w:ascii="宋体" w:hAnsi="宋体" w:cs="宋体" w:eastAsia="宋体" w:hint="default"/>
                <w:sz w:val="18"/>
                <w:szCs w:val="18"/>
              </w:rPr>
            </w:pPr>
            <w:r>
              <w:rPr>
                <w:rFonts w:ascii="宋体" w:hAnsi="宋体" w:cs="宋体" w:eastAsia="宋体" w:hint="default"/>
                <w:sz w:val="18"/>
                <w:szCs w:val="18"/>
              </w:rPr>
              <w:t>兴业银行股份有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中邮战略 新兴产业混合型 证券投资基金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0.82%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1" w:right="0"/>
              <w:jc w:val="left"/>
              <w:rPr>
                <w:rFonts w:ascii="Times New Roman" w:hAnsi="Times New Roman" w:cs="Times New Roman" w:eastAsia="Times New Roman" w:hint="default"/>
                <w:sz w:val="18"/>
                <w:szCs w:val="18"/>
              </w:rPr>
            </w:pPr>
            <w:r>
              <w:rPr>
                <w:rFonts w:ascii="Times New Roman"/>
                <w:sz w:val="18"/>
              </w:rPr>
              <w:t>3,471,597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3,471,597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3,471,597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杨锦</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0.60%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left"/>
              <w:rPr>
                <w:rFonts w:ascii="Times New Roman" w:hAnsi="Times New Roman" w:cs="Times New Roman" w:eastAsia="Times New Roman" w:hint="default"/>
                <w:sz w:val="18"/>
                <w:szCs w:val="18"/>
              </w:rPr>
            </w:pPr>
            <w:r>
              <w:rPr>
                <w:rFonts w:ascii="Times New Roman"/>
                <w:sz w:val="18"/>
              </w:rPr>
              <w:t>2,529,929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421,655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2,529,929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储达平</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0.60%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left"/>
              <w:rPr>
                <w:rFonts w:ascii="Times New Roman" w:hAnsi="Times New Roman" w:cs="Times New Roman" w:eastAsia="Times New Roman" w:hint="default"/>
                <w:sz w:val="18"/>
                <w:szCs w:val="18"/>
              </w:rPr>
            </w:pPr>
            <w:r>
              <w:rPr>
                <w:rFonts w:ascii="Times New Roman"/>
                <w:sz w:val="18"/>
              </w:rPr>
              <w:t>2,529,929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421,655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2,529,929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张环宇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0.48%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left"/>
              <w:rPr>
                <w:rFonts w:ascii="Times New Roman" w:hAnsi="Times New Roman" w:cs="Times New Roman" w:eastAsia="Times New Roman" w:hint="default"/>
                <w:sz w:val="18"/>
                <w:szCs w:val="18"/>
              </w:rPr>
            </w:pPr>
            <w:r>
              <w:rPr>
                <w:rFonts w:ascii="Times New Roman"/>
                <w:sz w:val="18"/>
              </w:rPr>
              <w:t>2,023,943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337,324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2,023,943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21" w:right="2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9" w:right="0"/>
              <w:jc w:val="left"/>
              <w:rPr>
                <w:rFonts w:ascii="宋体" w:hAnsi="宋体" w:cs="宋体" w:eastAsia="宋体" w:hint="default"/>
                <w:sz w:val="18"/>
                <w:szCs w:val="18"/>
              </w:rPr>
            </w:pPr>
            <w:r>
              <w:rPr>
                <w:rFonts w:ascii="宋体" w:hAnsi="宋体" w:cs="宋体" w:eastAsia="宋体" w:hint="default"/>
                <w:sz w:val="18"/>
                <w:szCs w:val="18"/>
              </w:rPr>
              <w:t>报告期内未有因配售新股成为前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tc>
      </w:tr>
      <w:tr>
        <w:trPr>
          <w:trHeight w:val="673"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1"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13" w:space="0" w:color="D2D2D2"/>
              <w:bottom w:val="single" w:sz="4" w:space="0" w:color="000000"/>
              <w:right w:val="single" w:sz="4" w:space="0" w:color="000000"/>
            </w:tcBorders>
          </w:tcPr>
          <w:p>
            <w:pPr>
              <w:pStyle w:val="TableParagraph"/>
              <w:spacing w:line="316" w:lineRule="auto" w:before="8"/>
              <w:ind w:left="9" w:right="24"/>
              <w:jc w:val="left"/>
              <w:rPr>
                <w:rFonts w:ascii="宋体" w:hAnsi="宋体" w:cs="宋体" w:eastAsia="宋体" w:hint="default"/>
                <w:sz w:val="18"/>
                <w:szCs w:val="18"/>
              </w:rPr>
            </w:pPr>
            <w:r>
              <w:rPr>
                <w:rFonts w:ascii="宋体" w:hAnsi="宋体" w:cs="宋体" w:eastAsia="宋体" w:hint="default"/>
                <w:spacing w:val="-1"/>
                <w:sz w:val="18"/>
                <w:szCs w:val="18"/>
              </w:rPr>
              <w:t>李桂华与李广欣存在关联关系，除此之外，公司未知上述其他股东之间是否存在关联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关系或一致行动关系。</w:t>
            </w:r>
          </w:p>
        </w:tc>
      </w:tr>
      <w:tr>
        <w:trPr>
          <w:trHeight w:val="36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2"/>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187"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70"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18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0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85"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162,231,511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162,231,511</w:t>
            </w:r>
          </w:p>
        </w:tc>
      </w:tr>
      <w:tr>
        <w:trPr>
          <w:trHeight w:val="36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李桂华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25,249,290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25,249,290</w:t>
            </w:r>
          </w:p>
        </w:tc>
      </w:tr>
      <w:tr>
        <w:trPr>
          <w:trHeight w:val="98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1" w:right="87"/>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中邮信 息产业灵活配置混合型证券投资基 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3,508,604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3,508,604</w:t>
            </w:r>
          </w:p>
        </w:tc>
      </w:tr>
      <w:tr>
        <w:trPr>
          <w:trHeight w:val="67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1" w:right="87"/>
              <w:jc w:val="left"/>
              <w:rPr>
                <w:rFonts w:ascii="宋体" w:hAnsi="宋体" w:cs="宋体" w:eastAsia="宋体" w:hint="default"/>
                <w:sz w:val="18"/>
                <w:szCs w:val="18"/>
              </w:rPr>
            </w:pPr>
            <w:r>
              <w:rPr>
                <w:rFonts w:ascii="宋体" w:hAnsi="宋体" w:cs="宋体" w:eastAsia="宋体" w:hint="default"/>
                <w:sz w:val="18"/>
                <w:szCs w:val="18"/>
              </w:rPr>
              <w:t>兴业银行股份有限公司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中邮战略新 兴产业混合型证券投资基金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3,471,597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3,471,597</w:t>
            </w:r>
          </w:p>
        </w:tc>
      </w:tr>
      <w:tr>
        <w:trPr>
          <w:trHeight w:val="67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1" w:right="23"/>
              <w:jc w:val="left"/>
              <w:rPr>
                <w:rFonts w:ascii="宋体" w:hAnsi="宋体" w:cs="宋体" w:eastAsia="宋体" w:hint="default"/>
                <w:sz w:val="18"/>
                <w:szCs w:val="18"/>
              </w:rPr>
            </w:pPr>
            <w:r>
              <w:rPr>
                <w:rFonts w:ascii="宋体" w:hAnsi="宋体" w:cs="宋体" w:eastAsia="宋体" w:hint="default"/>
                <w:sz w:val="18"/>
                <w:szCs w:val="18"/>
              </w:rPr>
              <w:t>云南国际信托有限公司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睿赢</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6007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 单一资金信托</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1,705,100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1,705,100</w:t>
            </w:r>
          </w:p>
        </w:tc>
      </w:tr>
      <w:tr>
        <w:trPr>
          <w:trHeight w:val="36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1,045,400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1,045,400</w:t>
            </w:r>
          </w:p>
        </w:tc>
      </w:tr>
      <w:tr>
        <w:trPr>
          <w:trHeight w:val="67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1" w:right="147"/>
              <w:jc w:val="left"/>
              <w:rPr>
                <w:rFonts w:ascii="宋体" w:hAnsi="宋体" w:cs="宋体" w:eastAsia="宋体" w:hint="default"/>
                <w:sz w:val="18"/>
                <w:szCs w:val="18"/>
              </w:rPr>
            </w:pPr>
            <w:r>
              <w:rPr>
                <w:rFonts w:ascii="宋体" w:hAnsi="宋体" w:cs="宋体" w:eastAsia="宋体" w:hint="default"/>
                <w:sz w:val="18"/>
                <w:szCs w:val="18"/>
              </w:rPr>
              <w:t>中融资产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中信证券</w:t>
            </w:r>
            <w:r>
              <w:rPr>
                <w:rFonts w:ascii="Times New Roman" w:hAnsi="Times New Roman" w:cs="Times New Roman" w:eastAsia="Times New Roman" w:hint="default"/>
                <w:sz w:val="18"/>
                <w:szCs w:val="18"/>
              </w:rPr>
              <w:t>-</w:t>
            </w:r>
            <w:r>
              <w:rPr>
                <w:rFonts w:ascii="宋体" w:hAnsi="宋体" w:cs="宋体" w:eastAsia="宋体" w:hint="default"/>
                <w:sz w:val="18"/>
                <w:szCs w:val="18"/>
              </w:rPr>
              <w:t>中融资产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新典 之光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期资产管理计划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36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段红博</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870,840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870,840</w:t>
            </w:r>
          </w:p>
        </w:tc>
      </w:tr>
      <w:tr>
        <w:trPr>
          <w:trHeight w:val="360"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刘有珍</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828,700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828,700</w:t>
            </w:r>
          </w:p>
        </w:tc>
      </w:tr>
      <w:tr>
        <w:trPr>
          <w:trHeight w:val="36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高德忠</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776,950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776,950</w:t>
            </w:r>
          </w:p>
        </w:tc>
      </w:tr>
      <w:tr>
        <w:trPr>
          <w:trHeight w:val="1299"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1" w:right="19"/>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天鸿投资为本公司控股股东，与公司其他前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名无限售条件股东之间不存在关联关</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系和一致行动关系；李桂华与李广欣存在关联关系。除此之外，公司未知其他前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300" w:lineRule="auto" w:before="63"/>
              <w:ind w:left="21" w:right="17"/>
              <w:jc w:val="left"/>
              <w:rPr>
                <w:rFonts w:ascii="宋体" w:hAnsi="宋体" w:cs="宋体" w:eastAsia="宋体" w:hint="default"/>
                <w:sz w:val="18"/>
                <w:szCs w:val="18"/>
              </w:rPr>
            </w:pPr>
            <w:r>
              <w:rPr>
                <w:rFonts w:ascii="宋体" w:hAnsi="宋体" w:cs="宋体" w:eastAsia="宋体" w:hint="default"/>
                <w:sz w:val="18"/>
                <w:szCs w:val="18"/>
              </w:rPr>
              <w:t>名无限售流通股股东之间，以及前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名股东之间是否存 在关联关系或一致行动关系。</w:t>
            </w:r>
          </w:p>
        </w:tc>
      </w:tr>
    </w:tbl>
    <w:p>
      <w:pPr>
        <w:spacing w:after="0" w:line="300" w:lineRule="auto"/>
        <w:jc w:val="left"/>
        <w:rPr>
          <w:rFonts w:ascii="宋体" w:hAnsi="宋体" w:cs="宋体" w:eastAsia="宋体" w:hint="default"/>
          <w:sz w:val="18"/>
          <w:szCs w:val="18"/>
        </w:rPr>
        <w:sectPr>
          <w:pgSz w:w="11910" w:h="16840"/>
          <w:pgMar w:header="0" w:footer="959" w:top="1340" w:bottom="1140" w:left="1020" w:right="1080"/>
        </w:sectPr>
      </w:pPr>
    </w:p>
    <w:p>
      <w:pPr>
        <w:spacing w:line="240" w:lineRule="auto" w:before="1"/>
        <w:rPr>
          <w:rFonts w:ascii="Times New Roman" w:hAnsi="Times New Roman" w:cs="Times New Roman" w:eastAsia="Times New Roman"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2880"/>
        <w:gridCol w:w="6689"/>
      </w:tblGrid>
      <w:tr>
        <w:trPr>
          <w:trHeight w:val="1299"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1" w:right="21"/>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公司股东段红博普通证券账户持有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501,080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股，通过太平洋证券股份有限公司客户信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369,760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870,840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股；股东高德忠普通证</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券账户持有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通过华泰证券股份有限公司客户信用交易担保证券账户持有</w:t>
            </w:r>
            <w:r>
              <w:rPr>
                <w:rFonts w:ascii="宋体" w:hAnsi="宋体" w:cs="宋体" w:eastAsia="宋体" w:hint="default"/>
                <w:spacing w:val="-53"/>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股，合计持有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776,950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股，此外其他股东未有参与融资融券业务情况。</w:t>
            </w:r>
          </w:p>
        </w:tc>
      </w:tr>
    </w:tbl>
    <w:p>
      <w:pPr>
        <w:spacing w:line="240" w:lineRule="auto" w:before="0"/>
        <w:rPr>
          <w:rFonts w:ascii="Times New Roman" w:hAnsi="Times New Roman" w:cs="Times New Roman" w:eastAsia="Times New Roman" w:hint="default"/>
          <w:sz w:val="20"/>
          <w:szCs w:val="20"/>
        </w:rPr>
      </w:pPr>
    </w:p>
    <w:p>
      <w:pPr>
        <w:pStyle w:val="Heading6"/>
        <w:spacing w:line="240" w:lineRule="auto" w:before="187"/>
        <w:ind w:left="823" w:right="516"/>
        <w:jc w:val="left"/>
      </w:pPr>
      <w:r>
        <w:rPr/>
        <w:t>公司前</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6"/>
        </w:rPr>
        <w:t>名普通股股东、前</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名无限售条件普通股股东在报告期内是否进行约定购回交易</w:t>
      </w:r>
    </w:p>
    <w:p>
      <w:pPr>
        <w:pStyle w:val="Heading6"/>
        <w:spacing w:line="240" w:lineRule="auto" w:before="177"/>
        <w:ind w:left="823" w:right="598"/>
        <w:jc w:val="left"/>
      </w:pPr>
      <w:r>
        <w:rPr/>
        <w:t>□是√否</w:t>
      </w:r>
    </w:p>
    <w:p>
      <w:pPr>
        <w:spacing w:line="240" w:lineRule="auto" w:before="10"/>
        <w:rPr>
          <w:rFonts w:ascii="宋体" w:hAnsi="宋体" w:cs="宋体" w:eastAsia="宋体" w:hint="default"/>
          <w:sz w:val="14"/>
          <w:szCs w:val="14"/>
        </w:rPr>
      </w:pPr>
    </w:p>
    <w:p>
      <w:pPr>
        <w:pStyle w:val="Heading6"/>
        <w:spacing w:line="240" w:lineRule="auto"/>
        <w:ind w:left="823" w:right="516"/>
        <w:jc w:val="left"/>
      </w:pPr>
      <w:r>
        <w:rPr/>
        <w:t>公司前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名普通股股东、前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名无限售条件普通股股东在报告期内未进行约定购回交易。</w:t>
      </w:r>
    </w:p>
    <w:p>
      <w:pPr>
        <w:spacing w:line="240" w:lineRule="auto" w:before="9"/>
        <w:rPr>
          <w:rFonts w:ascii="宋体" w:hAnsi="宋体" w:cs="宋体" w:eastAsia="宋体" w:hint="default"/>
          <w:sz w:val="30"/>
          <w:szCs w:val="30"/>
        </w:rPr>
      </w:pPr>
    </w:p>
    <w:p>
      <w:pPr>
        <w:pStyle w:val="Heading5"/>
        <w:spacing w:line="240" w:lineRule="auto"/>
        <w:ind w:right="598"/>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4"/>
          <w:szCs w:val="24"/>
        </w:rPr>
      </w:pPr>
    </w:p>
    <w:p>
      <w:pPr>
        <w:pStyle w:val="Heading6"/>
        <w:spacing w:line="307" w:lineRule="auto"/>
        <w:ind w:left="823" w:right="4413"/>
        <w:jc w:val="left"/>
      </w:pPr>
      <w:r>
        <w:rPr>
          <w:spacing w:val="-2"/>
        </w:rPr>
        <w:t>控股股东性质：社团集体控股</w:t>
      </w:r>
      <w:r>
        <w:rPr>
          <w:spacing w:val="-79"/>
        </w:rPr>
        <w:t> </w:t>
      </w:r>
      <w:r>
        <w:rPr>
          <w:spacing w:val="-79"/>
        </w:rPr>
      </w:r>
      <w:r>
        <w:rPr/>
        <w:t>控股股东类型：法人</w:t>
      </w: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264"/>
        <w:gridCol w:w="1616"/>
        <w:gridCol w:w="1424"/>
        <w:gridCol w:w="2066"/>
        <w:gridCol w:w="2199"/>
      </w:tblGrid>
      <w:tr>
        <w:trPr>
          <w:trHeight w:val="672"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622" w:right="59" w:hanging="56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2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98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91430121734774240G</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3"/>
              <w:jc w:val="both"/>
              <w:rPr>
                <w:rFonts w:ascii="宋体" w:hAnsi="宋体" w:cs="宋体" w:eastAsia="宋体" w:hint="default"/>
                <w:sz w:val="18"/>
                <w:szCs w:val="18"/>
              </w:rPr>
            </w:pPr>
            <w:r>
              <w:rPr>
                <w:rFonts w:ascii="宋体" w:hAnsi="宋体" w:cs="宋体" w:eastAsia="宋体" w:hint="default"/>
                <w:sz w:val="18"/>
                <w:szCs w:val="18"/>
              </w:rPr>
              <w:t>投资高新技术产业、农业、 文化与教育产业，提供企业 管理咨询服务。</w:t>
            </w:r>
          </w:p>
        </w:tc>
      </w:tr>
      <w:tr>
        <w:trPr>
          <w:trHeight w:val="987"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1" w:right="70"/>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21"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日湖南天鸿投资集团有限公司投资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2,550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万元设立了湖南天巽投资管理有限公 司，占比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w:t>
            </w:r>
          </w:p>
        </w:tc>
      </w:tr>
    </w:tbl>
    <w:p>
      <w:pPr>
        <w:pStyle w:val="Heading6"/>
        <w:spacing w:line="240" w:lineRule="auto" w:before="64"/>
        <w:ind w:left="823" w:right="598"/>
        <w:jc w:val="left"/>
      </w:pPr>
      <w:r>
        <w:rPr/>
        <w:t>控股股东报告期内变更</w:t>
      </w:r>
    </w:p>
    <w:p>
      <w:pPr>
        <w:spacing w:line="240" w:lineRule="auto" w:before="10"/>
        <w:rPr>
          <w:rFonts w:ascii="宋体" w:hAnsi="宋体" w:cs="宋体" w:eastAsia="宋体" w:hint="default"/>
          <w:sz w:val="14"/>
          <w:szCs w:val="14"/>
        </w:rPr>
      </w:pPr>
    </w:p>
    <w:p>
      <w:pPr>
        <w:pStyle w:val="Heading6"/>
        <w:spacing w:line="408" w:lineRule="auto"/>
        <w:ind w:left="823" w:right="4413"/>
        <w:jc w:val="left"/>
      </w:pPr>
      <w:r>
        <w:rPr/>
        <w:t>□适用√不适用</w:t>
      </w:r>
      <w:r>
        <w:rPr>
          <w:spacing w:val="-103"/>
        </w:rPr>
        <w:t> </w:t>
      </w:r>
      <w:r>
        <w:rPr>
          <w:spacing w:val="-103"/>
        </w:rPr>
      </w:r>
      <w:r>
        <w:rPr>
          <w:spacing w:val="-2"/>
        </w:rPr>
        <w:t>公司报告期控股股东未发生变更。</w:t>
      </w:r>
    </w:p>
    <w:p>
      <w:pPr>
        <w:spacing w:line="240" w:lineRule="auto" w:before="8"/>
        <w:rPr>
          <w:rFonts w:ascii="宋体" w:hAnsi="宋体" w:cs="宋体" w:eastAsia="宋体" w:hint="default"/>
          <w:sz w:val="20"/>
          <w:szCs w:val="20"/>
        </w:rPr>
      </w:pPr>
    </w:p>
    <w:p>
      <w:pPr>
        <w:pStyle w:val="Heading5"/>
        <w:spacing w:line="240" w:lineRule="auto"/>
        <w:ind w:right="598"/>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10"/>
        <w:rPr>
          <w:rFonts w:ascii="宋体" w:hAnsi="宋体" w:cs="宋体" w:eastAsia="宋体" w:hint="default"/>
          <w:b/>
          <w:bCs/>
          <w:sz w:val="24"/>
          <w:szCs w:val="24"/>
        </w:rPr>
      </w:pPr>
    </w:p>
    <w:p>
      <w:pPr>
        <w:pStyle w:val="Heading6"/>
        <w:spacing w:line="307" w:lineRule="auto"/>
        <w:ind w:left="823" w:right="4413"/>
        <w:jc w:val="left"/>
      </w:pPr>
      <w:r>
        <w:rPr>
          <w:spacing w:val="-2"/>
        </w:rPr>
        <w:t>实际控制人性质：境内自然人</w:t>
      </w:r>
      <w:r>
        <w:rPr>
          <w:spacing w:val="-79"/>
        </w:rPr>
        <w:t> </w:t>
      </w:r>
      <w:r>
        <w:rPr>
          <w:spacing w:val="-79"/>
        </w:rPr>
      </w:r>
      <w:r>
        <w:rPr/>
        <w:t>实际控制人类型：自然人</w:t>
      </w:r>
    </w:p>
    <w:p>
      <w:pPr>
        <w:spacing w:line="240" w:lineRule="auto" w:before="5"/>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327"/>
        <w:gridCol w:w="2122"/>
        <w:gridCol w:w="4119"/>
      </w:tblGrid>
      <w:tr>
        <w:trPr>
          <w:trHeight w:val="36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7"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91"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36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年至今担任天舟文化董事长</w:t>
            </w:r>
          </w:p>
        </w:tc>
      </w:tr>
      <w:tr>
        <w:trPr>
          <w:trHeight w:val="36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0" w:footer="959" w:top="1340" w:bottom="1140" w:left="1020" w:right="1080"/>
        </w:sectPr>
      </w:pPr>
    </w:p>
    <w:p>
      <w:pPr>
        <w:pStyle w:val="Heading6"/>
        <w:spacing w:line="240" w:lineRule="auto" w:before="9"/>
        <w:ind w:right="0"/>
        <w:jc w:val="left"/>
      </w:pPr>
      <w:r>
        <w:rPr/>
        <w:t>公司与实际控制人之间的产权及控制关系的方框图</w:t>
      </w:r>
    </w:p>
    <w:p>
      <w:pPr>
        <w:spacing w:line="240" w:lineRule="auto" w:before="10"/>
        <w:rPr>
          <w:rFonts w:ascii="宋体" w:hAnsi="宋体" w:cs="宋体" w:eastAsia="宋体" w:hint="default"/>
          <w:sz w:val="25"/>
          <w:szCs w:val="25"/>
        </w:rPr>
      </w:pPr>
    </w:p>
    <w:p>
      <w:pPr>
        <w:spacing w:line="5105" w:lineRule="exact"/>
        <w:ind w:left="754" w:right="0" w:firstLine="0"/>
        <w:rPr>
          <w:rFonts w:ascii="宋体" w:hAnsi="宋体" w:cs="宋体" w:eastAsia="宋体" w:hint="default"/>
          <w:sz w:val="20"/>
          <w:szCs w:val="20"/>
        </w:rPr>
      </w:pPr>
      <w:r>
        <w:rPr>
          <w:rFonts w:ascii="宋体" w:hAnsi="宋体" w:cs="宋体" w:eastAsia="宋体" w:hint="default"/>
          <w:position w:val="-101"/>
          <w:sz w:val="20"/>
          <w:szCs w:val="20"/>
        </w:rPr>
        <w:drawing>
          <wp:inline distT="0" distB="0" distL="0" distR="0">
            <wp:extent cx="4270571" cy="3242119"/>
            <wp:effectExtent l="0" t="0" r="0" b="0"/>
            <wp:docPr id="7" name="image8.jpeg" descr=""/>
            <wp:cNvGraphicFramePr>
              <a:graphicFrameLocks noChangeAspect="1"/>
            </wp:cNvGraphicFramePr>
            <a:graphic>
              <a:graphicData uri="http://schemas.openxmlformats.org/drawingml/2006/picture">
                <pic:pic>
                  <pic:nvPicPr>
                    <pic:cNvPr id="8" name="image8.jpeg"/>
                    <pic:cNvPicPr/>
                  </pic:nvPicPr>
                  <pic:blipFill>
                    <a:blip r:embed="rId22" cstate="print"/>
                    <a:stretch>
                      <a:fillRect/>
                    </a:stretch>
                  </pic:blipFill>
                  <pic:spPr>
                    <a:xfrm>
                      <a:off x="0" y="0"/>
                      <a:ext cx="4270571" cy="3242119"/>
                    </a:xfrm>
                    <a:prstGeom prst="rect">
                      <a:avLst/>
                    </a:prstGeom>
                  </pic:spPr>
                </pic:pic>
              </a:graphicData>
            </a:graphic>
          </wp:inline>
        </w:drawing>
      </w:r>
      <w:r>
        <w:rPr>
          <w:rFonts w:ascii="宋体" w:hAnsi="宋体" w:cs="宋体" w:eastAsia="宋体" w:hint="default"/>
          <w:position w:val="-101"/>
          <w:sz w:val="20"/>
          <w:szCs w:val="20"/>
        </w:rPr>
      </w:r>
    </w:p>
    <w:p>
      <w:pPr>
        <w:spacing w:line="240" w:lineRule="auto" w:before="11"/>
        <w:rPr>
          <w:rFonts w:ascii="宋体" w:hAnsi="宋体" w:cs="宋体" w:eastAsia="宋体" w:hint="default"/>
          <w:sz w:val="28"/>
          <w:szCs w:val="28"/>
        </w:rPr>
      </w:pPr>
    </w:p>
    <w:p>
      <w:pPr>
        <w:pStyle w:val="Heading6"/>
        <w:spacing w:line="240" w:lineRule="auto"/>
        <w:ind w:right="0"/>
        <w:jc w:val="left"/>
      </w:pPr>
      <w:r>
        <w:rPr/>
        <w:t>实际控制人通过信托或其他资产管理方式控制公司</w:t>
      </w:r>
    </w:p>
    <w:p>
      <w:pPr>
        <w:spacing w:line="240" w:lineRule="auto" w:before="10"/>
        <w:rPr>
          <w:rFonts w:ascii="宋体" w:hAnsi="宋体" w:cs="宋体" w:eastAsia="宋体" w:hint="default"/>
          <w:sz w:val="14"/>
          <w:szCs w:val="14"/>
        </w:rPr>
      </w:pPr>
    </w:p>
    <w:p>
      <w:pPr>
        <w:pStyle w:val="Heading6"/>
        <w:spacing w:line="240" w:lineRule="auto"/>
        <w:ind w:right="0"/>
        <w:jc w:val="left"/>
      </w:pPr>
      <w:r>
        <w:rPr/>
        <w:t>□适用√不适用</w:t>
      </w:r>
    </w:p>
    <w:p>
      <w:pPr>
        <w:spacing w:line="240" w:lineRule="auto" w:before="0"/>
        <w:rPr>
          <w:rFonts w:ascii="宋体" w:hAnsi="宋体" w:cs="宋体" w:eastAsia="宋体" w:hint="default"/>
          <w:sz w:val="20"/>
          <w:szCs w:val="20"/>
        </w:rPr>
      </w:pPr>
    </w:p>
    <w:p>
      <w:pPr>
        <w:pStyle w:val="Heading5"/>
        <w:spacing w:line="240" w:lineRule="auto" w:before="154"/>
        <w:ind w:left="163" w:right="0"/>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pPr>
      <w:r>
        <w:rPr/>
        <w:t>□适用√不适用</w:t>
      </w:r>
    </w:p>
    <w:p>
      <w:pPr>
        <w:spacing w:line="240" w:lineRule="auto" w:before="10"/>
        <w:rPr>
          <w:rFonts w:ascii="宋体" w:hAnsi="宋体" w:cs="宋体" w:eastAsia="宋体" w:hint="default"/>
          <w:sz w:val="25"/>
          <w:szCs w:val="25"/>
        </w:rPr>
      </w:pPr>
    </w:p>
    <w:p>
      <w:pPr>
        <w:pStyle w:val="Heading5"/>
        <w:spacing w:line="240" w:lineRule="auto"/>
        <w:ind w:left="163"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pPr>
      <w:r>
        <w:rPr/>
        <w:t>□适用√不适用</w:t>
      </w:r>
    </w:p>
    <w:p>
      <w:pPr>
        <w:spacing w:after="0" w:line="240" w:lineRule="auto"/>
        <w:jc w:val="left"/>
        <w:sectPr>
          <w:pgSz w:w="11910" w:h="16840"/>
          <w:pgMar w:header="0" w:footer="959" w:top="1400" w:bottom="1140" w:left="1680" w:right="1680"/>
        </w:sectPr>
      </w:pPr>
    </w:p>
    <w:p>
      <w:pPr>
        <w:spacing w:line="240" w:lineRule="auto" w:before="6"/>
        <w:rPr>
          <w:rFonts w:ascii="宋体" w:hAnsi="宋体" w:cs="宋体" w:eastAsia="宋体" w:hint="default"/>
          <w:sz w:val="19"/>
          <w:szCs w:val="19"/>
        </w:rPr>
      </w:pPr>
    </w:p>
    <w:p>
      <w:pPr>
        <w:pStyle w:val="Heading1"/>
        <w:spacing w:line="240" w:lineRule="auto"/>
        <w:ind w:left="2739" w:right="0"/>
        <w:jc w:val="left"/>
        <w:rPr>
          <w:b w:val="0"/>
          <w:bCs w:val="0"/>
        </w:rPr>
      </w:pPr>
      <w:bookmarkStart w:name="_TOC_250003" w:id="7"/>
      <w:r>
        <w:rPr/>
        <w:t>第七节优先股相关情况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Heading6"/>
        <w:spacing w:line="408" w:lineRule="auto" w:before="36"/>
        <w:ind w:right="4582"/>
        <w:jc w:val="left"/>
      </w:pPr>
      <w:r>
        <w:rPr/>
        <w:t>□适用√不适用</w:t>
      </w:r>
      <w:r>
        <w:rPr>
          <w:spacing w:val="-103"/>
        </w:rPr>
        <w:t> </w:t>
      </w:r>
      <w:r>
        <w:rPr>
          <w:spacing w:val="-103"/>
        </w:rPr>
      </w:r>
      <w:r>
        <w:rPr>
          <w:spacing w:val="-2"/>
        </w:rPr>
        <w:t>报告期公司不存在优先股。</w:t>
      </w:r>
    </w:p>
    <w:p>
      <w:pPr>
        <w:spacing w:after="0" w:line="408" w:lineRule="auto"/>
        <w:jc w:val="left"/>
        <w:sectPr>
          <w:pgSz w:w="11910" w:h="16840"/>
          <w:pgMar w:header="0" w:footer="959" w:top="1580" w:bottom="1140" w:left="1680" w:right="1680"/>
        </w:sectPr>
      </w:pPr>
    </w:p>
    <w:p>
      <w:pPr>
        <w:spacing w:line="240" w:lineRule="auto" w:before="6"/>
        <w:rPr>
          <w:rFonts w:ascii="宋体" w:hAnsi="宋体" w:cs="宋体" w:eastAsia="宋体" w:hint="default"/>
          <w:sz w:val="19"/>
          <w:szCs w:val="19"/>
        </w:rPr>
      </w:pPr>
    </w:p>
    <w:p>
      <w:pPr>
        <w:pStyle w:val="Heading1"/>
        <w:spacing w:line="240" w:lineRule="auto"/>
        <w:ind w:left="1653" w:right="598"/>
        <w:jc w:val="left"/>
        <w:rPr>
          <w:b w:val="0"/>
          <w:bCs w:val="0"/>
        </w:rPr>
      </w:pPr>
      <w:bookmarkStart w:name="_TOC_250002" w:id="8"/>
      <w:r>
        <w:rPr/>
        <w:t>第八节董事、监事、高级管理人员和员工情况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598"/>
        <w:jc w:val="left"/>
        <w:rPr>
          <w:b w:val="0"/>
          <w:bCs w:val="0"/>
        </w:rPr>
      </w:pPr>
      <w:r>
        <w:rPr/>
        <w:t>一、董事、监事和高级管理人员持股变动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755"/>
        <w:jc w:val="right"/>
      </w:pPr>
      <w:r>
        <w:rPr/>
        <w:t>单位：股</w:t>
      </w:r>
    </w:p>
    <w:p>
      <w:pPr>
        <w:spacing w:line="240" w:lineRule="auto" w:before="4"/>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797"/>
        <w:gridCol w:w="797"/>
        <w:gridCol w:w="797"/>
        <w:gridCol w:w="800"/>
        <w:gridCol w:w="797"/>
        <w:gridCol w:w="797"/>
        <w:gridCol w:w="800"/>
        <w:gridCol w:w="797"/>
        <w:gridCol w:w="799"/>
        <w:gridCol w:w="797"/>
        <w:gridCol w:w="799"/>
        <w:gridCol w:w="797"/>
      </w:tblGrid>
      <w:tr>
        <w:trPr>
          <w:trHeight w:val="98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1" w:right="35"/>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1" w:right="3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41"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1" w:right="35"/>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98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r>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罗争玉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r>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刘爱明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r>
      <w:tr>
        <w:trPr>
          <w:trHeight w:val="98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许中缘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r>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李巨龙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r>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监事会召 集人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79,167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15,833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95,000</w:t>
            </w:r>
          </w:p>
        </w:tc>
      </w:tr>
      <w:tr>
        <w:trPr>
          <w:trHeight w:val="98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李剑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r>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张桂叶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r>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张建武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常务副总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r>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陈四清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128,332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19,250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32,083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2"/>
                <w:sz w:val="18"/>
              </w:rPr>
              <w:t>115,499</w:t>
            </w:r>
          </w:p>
        </w:tc>
      </w:tr>
      <w:tr>
        <w:trPr>
          <w:trHeight w:val="67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杨灏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1"/>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9" w:top="1580" w:bottom="1140" w:left="1160" w:right="940"/>
        </w:sectPr>
      </w:pPr>
    </w:p>
    <w:p>
      <w:pPr>
        <w:spacing w:line="240" w:lineRule="auto" w:before="3"/>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797"/>
        <w:gridCol w:w="797"/>
        <w:gridCol w:w="797"/>
        <w:gridCol w:w="800"/>
        <w:gridCol w:w="797"/>
        <w:gridCol w:w="797"/>
        <w:gridCol w:w="800"/>
        <w:gridCol w:w="797"/>
        <w:gridCol w:w="799"/>
        <w:gridCol w:w="797"/>
        <w:gridCol w:w="799"/>
        <w:gridCol w:w="797"/>
      </w:tblGrid>
      <w:tr>
        <w:trPr>
          <w:trHeight w:val="363"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殷明坤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r>
      <w:tr>
        <w:trPr>
          <w:trHeight w:val="98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何红渠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r>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方加春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r>
      <w:tr>
        <w:trPr>
          <w:trHeight w:val="98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赵伟立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监事会召 集人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851,400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128,280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769,680</w:t>
            </w:r>
          </w:p>
        </w:tc>
      </w:tr>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廖兰芳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r>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陈晶德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193,926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36,785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2"/>
                <w:sz w:val="18"/>
              </w:rPr>
              <w:t>220,711</w:t>
            </w:r>
          </w:p>
        </w:tc>
      </w:tr>
      <w:tr>
        <w:trPr>
          <w:trHeight w:val="98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喻宇汉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1"/>
              <w:jc w:val="both"/>
              <w:rPr>
                <w:rFonts w:ascii="宋体" w:hAnsi="宋体" w:cs="宋体" w:eastAsia="宋体" w:hint="default"/>
                <w:sz w:val="18"/>
                <w:szCs w:val="18"/>
              </w:rPr>
            </w:pPr>
            <w:r>
              <w:rPr>
                <w:rFonts w:ascii="宋体" w:hAnsi="宋体" w:cs="宋体" w:eastAsia="宋体" w:hint="default"/>
                <w:sz w:val="18"/>
                <w:szCs w:val="18"/>
              </w:rPr>
              <w:t>常务副总 裁、董事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128,335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19,250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32,084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2"/>
                <w:sz w:val="18"/>
              </w:rPr>
              <w:t>115,501</w:t>
            </w:r>
          </w:p>
        </w:tc>
      </w:tr>
      <w:tr>
        <w:trPr>
          <w:trHeight w:val="362"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1,381,160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219,398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284,167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1,316,391</w:t>
            </w:r>
          </w:p>
        </w:tc>
      </w:tr>
    </w:tbl>
    <w:p>
      <w:pPr>
        <w:spacing w:line="240" w:lineRule="auto" w:before="1"/>
        <w:rPr>
          <w:rFonts w:ascii="宋体" w:hAnsi="宋体" w:cs="宋体" w:eastAsia="宋体" w:hint="default"/>
          <w:sz w:val="18"/>
          <w:szCs w:val="18"/>
        </w:rPr>
      </w:pPr>
    </w:p>
    <w:p>
      <w:pPr>
        <w:pStyle w:val="Heading3"/>
        <w:spacing w:line="240" w:lineRule="auto" w:before="26"/>
        <w:ind w:right="598"/>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1330"/>
        <w:gridCol w:w="1330"/>
        <w:gridCol w:w="1330"/>
        <w:gridCol w:w="1541"/>
        <w:gridCol w:w="3543"/>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李文君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个人原因申请辞职</w:t>
            </w:r>
          </w:p>
        </w:tc>
      </w:tr>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何红渠</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第二届董事会独立董事任期已满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6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方加春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第二届董事会独立董事任期已满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6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赵伟立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监事会召集人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个人原因申请辞职</w:t>
            </w:r>
          </w:p>
        </w:tc>
      </w:tr>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廖兰芳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个人原因申请辞职</w:t>
            </w:r>
          </w:p>
        </w:tc>
      </w:tr>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陈晶德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个人原因申请辞职</w:t>
            </w:r>
          </w:p>
        </w:tc>
      </w:tr>
      <w:tr>
        <w:trPr>
          <w:trHeight w:val="67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喻宇汉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38"/>
              <w:jc w:val="left"/>
              <w:rPr>
                <w:rFonts w:ascii="宋体" w:hAnsi="宋体" w:cs="宋体" w:eastAsia="宋体" w:hint="default"/>
                <w:sz w:val="18"/>
                <w:szCs w:val="18"/>
              </w:rPr>
            </w:pPr>
            <w:r>
              <w:rPr>
                <w:rFonts w:ascii="宋体" w:hAnsi="宋体" w:cs="宋体" w:eastAsia="宋体" w:hint="default"/>
                <w:sz w:val="18"/>
                <w:szCs w:val="18"/>
              </w:rPr>
              <w:t>常务副总裁、董 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个人原因申请辞职</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3"/>
        <w:spacing w:line="240" w:lineRule="auto" w:before="26"/>
        <w:ind w:right="598"/>
        <w:jc w:val="left"/>
        <w:rPr>
          <w:b w:val="0"/>
          <w:bCs w:val="0"/>
        </w:rPr>
      </w:pPr>
      <w:r>
        <w:rPr/>
        <w:t>三、任职情况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left="683" w:right="598"/>
        <w:jc w:val="left"/>
      </w:pPr>
      <w:r>
        <w:rPr/>
        <w:t>公司现任董事、监事、高级管理人员专业背景、主要工作经历以及目前在公司的主要职责</w:t>
      </w:r>
    </w:p>
    <w:p>
      <w:pPr>
        <w:pStyle w:val="Heading6"/>
        <w:spacing w:line="240" w:lineRule="auto" w:before="152"/>
        <w:ind w:left="1103" w:right="598"/>
        <w:jc w:val="left"/>
      </w:pPr>
      <w:r>
        <w:rPr>
          <w:rFonts w:ascii="Times New Roman" w:hAnsi="Times New Roman" w:cs="Times New Roman" w:eastAsia="Times New Roman" w:hint="default"/>
        </w:rPr>
        <w:t>1</w:t>
      </w:r>
      <w:r>
        <w:rPr/>
        <w:t>、董事会成员</w:t>
      </w:r>
    </w:p>
    <w:p>
      <w:pPr>
        <w:spacing w:after="0" w:line="240" w:lineRule="auto"/>
        <w:jc w:val="left"/>
        <w:sectPr>
          <w:pgSz w:w="11910" w:h="16840"/>
          <w:pgMar w:header="0" w:footer="959" w:top="1340" w:bottom="1140" w:left="1160" w:right="940"/>
        </w:sectPr>
      </w:pPr>
    </w:p>
    <w:p>
      <w:pPr>
        <w:pStyle w:val="Heading6"/>
        <w:spacing w:line="408" w:lineRule="auto" w:before="6"/>
        <w:ind w:right="0" w:firstLine="419"/>
        <w:jc w:val="left"/>
      </w:pPr>
      <w:r>
        <w:rPr>
          <w:spacing w:val="-3"/>
        </w:rPr>
        <w:t>肖志鸿，本科学历，中华全国工商业联合会第十一届执行委员会常委，湖南省第十一届</w:t>
      </w:r>
      <w:r>
        <w:rPr>
          <w:w w:val="100"/>
        </w:rPr>
        <w:t> </w:t>
      </w:r>
      <w:r>
        <w:rPr>
          <w:spacing w:val="-3"/>
        </w:rPr>
        <w:t>政协常委，湖南省第九、十、十一届人大代表；兼任中国出版工作者协会常务理事、中国书</w:t>
      </w:r>
      <w:r>
        <w:rPr>
          <w:spacing w:val="-33"/>
        </w:rPr>
        <w:t> </w:t>
      </w:r>
      <w:r>
        <w:rPr>
          <w:spacing w:val="-33"/>
        </w:rPr>
      </w:r>
      <w:r>
        <w:rPr>
          <w:spacing w:val="-3"/>
        </w:rPr>
        <w:t>刊发行业协会副理事长、湖南省工商联合会副主席、湖南省出版工作者协会副会长。</w:t>
      </w:r>
      <w:r>
        <w:rPr>
          <w:rFonts w:ascii="宋体" w:hAnsi="宋体" w:cs="宋体" w:eastAsia="宋体" w:hint="default"/>
          <w:spacing w:val="-3"/>
        </w:rPr>
        <w:t>1983</w:t>
      </w:r>
      <w:r>
        <w:rPr>
          <w:spacing w:val="-3"/>
        </w:rPr>
        <w:t>年</w:t>
      </w:r>
      <w:r>
        <w:rPr>
          <w:spacing w:val="-28"/>
        </w:rPr>
        <w:t> </w:t>
      </w:r>
      <w:r>
        <w:rPr>
          <w:spacing w:val="-3"/>
        </w:rPr>
        <w:t>投身图书发行事业，</w:t>
      </w:r>
      <w:r>
        <w:rPr>
          <w:rFonts w:ascii="宋体" w:hAnsi="宋体" w:cs="宋体" w:eastAsia="宋体" w:hint="default"/>
          <w:spacing w:val="-3"/>
        </w:rPr>
        <w:t>1993</w:t>
      </w:r>
      <w:r>
        <w:rPr>
          <w:spacing w:val="-3"/>
        </w:rPr>
        <w:t>年</w:t>
      </w:r>
      <w:r>
        <w:rPr>
          <w:rFonts w:ascii="宋体" w:hAnsi="宋体" w:cs="宋体" w:eastAsia="宋体" w:hint="default"/>
          <w:spacing w:val="-3"/>
        </w:rPr>
        <w:t>4</w:t>
      </w:r>
      <w:r>
        <w:rPr>
          <w:spacing w:val="-3"/>
        </w:rPr>
        <w:t>月投资成立长沙鸿发印务实业有限公司，</w:t>
      </w:r>
      <w:r>
        <w:rPr>
          <w:rFonts w:ascii="宋体" w:hAnsi="宋体" w:cs="宋体" w:eastAsia="宋体" w:hint="default"/>
          <w:spacing w:val="-3"/>
        </w:rPr>
        <w:t>2001</w:t>
      </w:r>
      <w:r>
        <w:rPr>
          <w:spacing w:val="-3"/>
        </w:rPr>
        <w:t>年</w:t>
      </w:r>
      <w:r>
        <w:rPr>
          <w:rFonts w:ascii="宋体" w:hAnsi="宋体" w:cs="宋体" w:eastAsia="宋体" w:hint="default"/>
          <w:spacing w:val="-3"/>
        </w:rPr>
        <w:t>1</w:t>
      </w:r>
      <w:r>
        <w:rPr>
          <w:spacing w:val="-3"/>
        </w:rPr>
        <w:t>月投资成立湖</w:t>
      </w:r>
      <w:r>
        <w:rPr>
          <w:spacing w:val="-15"/>
        </w:rPr>
        <w:t> </w:t>
      </w:r>
      <w:r>
        <w:rPr>
          <w:spacing w:val="-15"/>
        </w:rPr>
      </w:r>
      <w:r>
        <w:rPr>
          <w:spacing w:val="-3"/>
        </w:rPr>
        <w:t>南天能电机制造有限公司，</w:t>
      </w:r>
      <w:r>
        <w:rPr>
          <w:rFonts w:ascii="宋体" w:hAnsi="宋体" w:cs="宋体" w:eastAsia="宋体" w:hint="default"/>
          <w:spacing w:val="-3"/>
        </w:rPr>
        <w:t>2002</w:t>
      </w:r>
      <w:r>
        <w:rPr>
          <w:spacing w:val="-3"/>
        </w:rPr>
        <w:t>年</w:t>
      </w:r>
      <w:r>
        <w:rPr>
          <w:rFonts w:ascii="宋体" w:hAnsi="宋体" w:cs="宋体" w:eastAsia="宋体" w:hint="default"/>
          <w:spacing w:val="-3"/>
        </w:rPr>
        <w:t>2</w:t>
      </w:r>
      <w:r>
        <w:rPr>
          <w:spacing w:val="-3"/>
        </w:rPr>
        <w:t>月投资组建湖南天鸿投资集团有限公司，</w:t>
      </w:r>
      <w:r>
        <w:rPr>
          <w:rFonts w:ascii="宋体" w:hAnsi="宋体" w:cs="宋体" w:eastAsia="宋体" w:hint="default"/>
          <w:spacing w:val="-3"/>
        </w:rPr>
        <w:t>2003</w:t>
      </w:r>
      <w:r>
        <w:rPr>
          <w:spacing w:val="-3"/>
        </w:rPr>
        <w:t>年</w:t>
      </w:r>
      <w:r>
        <w:rPr>
          <w:rFonts w:ascii="宋体" w:hAnsi="宋体" w:cs="宋体" w:eastAsia="宋体" w:hint="default"/>
          <w:spacing w:val="-3"/>
        </w:rPr>
        <w:t>8</w:t>
      </w:r>
      <w:r>
        <w:rPr>
          <w:spacing w:val="-3"/>
        </w:rPr>
        <w:t>月投资</w:t>
      </w:r>
      <w:r>
        <w:rPr>
          <w:spacing w:val="-13"/>
        </w:rPr>
        <w:t> </w:t>
      </w:r>
      <w:r>
        <w:rPr>
          <w:spacing w:val="-13"/>
        </w:rPr>
      </w:r>
      <w:r>
        <w:rPr>
          <w:spacing w:val="-5"/>
          <w:w w:val="100"/>
        </w:rPr>
        <w:t>成立湖南天舟科教文化股份有限公司，于</w:t>
      </w:r>
      <w:r>
        <w:rPr>
          <w:rFonts w:ascii="宋体" w:hAnsi="宋体" w:cs="宋体" w:eastAsia="宋体" w:hint="default"/>
          <w:spacing w:val="-5"/>
          <w:w w:val="100"/>
        </w:rPr>
        <w:t>2011</w:t>
      </w:r>
      <w:r>
        <w:rPr>
          <w:spacing w:val="-5"/>
          <w:w w:val="100"/>
        </w:rPr>
        <w:t>年更名“天舟文化股份有限公司”，</w:t>
      </w:r>
      <w:r>
        <w:rPr>
          <w:rFonts w:ascii="宋体" w:hAnsi="宋体" w:cs="宋体" w:eastAsia="宋体" w:hint="default"/>
          <w:spacing w:val="-5"/>
          <w:w w:val="100"/>
        </w:rPr>
        <w:t>2004</w:t>
      </w:r>
      <w:r>
        <w:rPr>
          <w:spacing w:val="-5"/>
          <w:w w:val="100"/>
        </w:rPr>
        <w:t>年</w:t>
      </w:r>
      <w:r>
        <w:rPr>
          <w:rFonts w:ascii="宋体" w:hAnsi="宋体" w:cs="宋体" w:eastAsia="宋体" w:hint="default"/>
          <w:spacing w:val="-5"/>
          <w:w w:val="100"/>
        </w:rPr>
        <w:t>3</w:t>
      </w:r>
      <w:r>
        <w:rPr>
          <w:spacing w:val="-5"/>
          <w:w w:val="100"/>
        </w:rPr>
        <w:t>月</w:t>
      </w:r>
      <w:r>
        <w:rPr>
          <w:spacing w:val="-84"/>
          <w:w w:val="100"/>
        </w:rPr>
        <w:t> </w:t>
      </w:r>
      <w:r>
        <w:rPr>
          <w:spacing w:val="-5"/>
        </w:rPr>
        <w:t>投资成立湖南磐鸿置业有限公司，</w:t>
      </w:r>
      <w:r>
        <w:rPr>
          <w:rFonts w:ascii="宋体" w:hAnsi="宋体" w:cs="宋体" w:eastAsia="宋体" w:hint="default"/>
          <w:spacing w:val="-5"/>
        </w:rPr>
        <w:t>2008</w:t>
      </w:r>
      <w:r>
        <w:rPr>
          <w:spacing w:val="-5"/>
        </w:rPr>
        <w:t>年</w:t>
      </w:r>
      <w:r>
        <w:rPr>
          <w:rFonts w:ascii="宋体" w:hAnsi="宋体" w:cs="宋体" w:eastAsia="宋体" w:hint="default"/>
          <w:spacing w:val="-5"/>
        </w:rPr>
        <w:t>3</w:t>
      </w:r>
      <w:r>
        <w:rPr>
          <w:spacing w:val="-5"/>
        </w:rPr>
        <w:t>月投资成立湖南天舟华文俪制传媒有限公司，</w:t>
      </w:r>
      <w:r>
        <w:rPr>
          <w:rFonts w:ascii="宋体" w:hAnsi="宋体" w:cs="宋体" w:eastAsia="宋体" w:hint="default"/>
          <w:spacing w:val="-5"/>
        </w:rPr>
        <w:t>2009</w:t>
      </w:r>
      <w:r>
        <w:rPr>
          <w:rFonts w:ascii="宋体" w:hAnsi="宋体" w:cs="宋体" w:eastAsia="宋体" w:hint="default"/>
          <w:spacing w:val="-28"/>
        </w:rPr>
        <w:t> </w:t>
      </w:r>
      <w:r>
        <w:rPr>
          <w:rFonts w:ascii="宋体" w:hAnsi="宋体" w:cs="宋体" w:eastAsia="宋体" w:hint="default"/>
          <w:spacing w:val="-28"/>
        </w:rPr>
      </w:r>
      <w:r>
        <w:rPr/>
        <w:t>年</w:t>
      </w:r>
      <w:r>
        <w:rPr>
          <w:rFonts w:ascii="宋体" w:hAnsi="宋体" w:cs="宋体" w:eastAsia="宋体" w:hint="default"/>
        </w:rPr>
        <w:t>6</w:t>
      </w:r>
      <w:r>
        <w:rPr/>
        <w:t>月投资成立湖南天舟教育科技研究院。现任湖南天鸿投资集团董事长，天舟文化股份有</w:t>
      </w:r>
      <w:r>
        <w:rPr>
          <w:w w:val="100"/>
        </w:rPr>
        <w:t> </w:t>
      </w:r>
      <w:r>
        <w:rPr/>
        <w:t>限公司董事长。</w:t>
      </w:r>
    </w:p>
    <w:p>
      <w:pPr>
        <w:pStyle w:val="Heading6"/>
        <w:spacing w:line="391" w:lineRule="auto" w:before="46"/>
        <w:ind w:right="0" w:firstLine="419"/>
        <w:jc w:val="left"/>
      </w:pPr>
      <w:r>
        <w:rPr>
          <w:spacing w:val="-3"/>
        </w:rPr>
        <w:t>罗争玉，法学博士，哲学博士后，湘潭大学特聘教授、博士生导师，北京大学文化产业</w:t>
      </w:r>
      <w:r>
        <w:rPr>
          <w:w w:val="100"/>
        </w:rPr>
        <w:t> </w:t>
      </w:r>
      <w:r>
        <w:rPr>
          <w:spacing w:val="-4"/>
        </w:rPr>
        <w:t>研究院研究员。</w:t>
      </w:r>
      <w:r>
        <w:rPr>
          <w:rFonts w:ascii="Times New Roman" w:hAnsi="Times New Roman" w:cs="Times New Roman" w:eastAsia="Times New Roman" w:hint="default"/>
          <w:spacing w:val="-4"/>
        </w:rPr>
        <w:t>1993 </w:t>
      </w:r>
      <w:r>
        <w:rPr/>
        <w:t>年 </w:t>
      </w:r>
      <w:r>
        <w:rPr>
          <w:rFonts w:ascii="Times New Roman" w:hAnsi="Times New Roman" w:cs="Times New Roman" w:eastAsia="Times New Roman" w:hint="default"/>
        </w:rPr>
        <w:t>7 </w:t>
      </w:r>
      <w:r>
        <w:rPr>
          <w:spacing w:val="-4"/>
        </w:rPr>
        <w:t>月参加工作，先后任职湖南师范大学、湖南省新闻出版局、湖南出</w:t>
      </w:r>
      <w:r>
        <w:rPr>
          <w:spacing w:val="-96"/>
        </w:rPr>
        <w:t> </w:t>
      </w:r>
      <w:r>
        <w:rPr>
          <w:spacing w:val="-96"/>
        </w:rPr>
      </w:r>
      <w:r>
        <w:rPr>
          <w:spacing w:val="-4"/>
        </w:rPr>
        <w:t>版集团。</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spacing w:val="-3"/>
        </w:rPr>
        <w:t>月起任中国出版集团公司教材中心主任，</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月起任中版教材公司</w:t>
      </w:r>
      <w:r>
        <w:rPr>
          <w:spacing w:val="-102"/>
        </w:rPr>
        <w:t> </w:t>
      </w:r>
      <w:r>
        <w:rPr>
          <w:spacing w:val="-102"/>
        </w:rPr>
      </w:r>
      <w:r>
        <w:rPr/>
        <w:t>总经理，</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rFonts w:ascii="Times New Roman" w:hAnsi="Times New Roman" w:cs="Times New Roman" w:eastAsia="Times New Roman" w:hint="default"/>
        </w:rPr>
        <w:t>-2014 </w:t>
      </w:r>
      <w:r>
        <w:rPr/>
        <w:t>年</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月兼任华文出版社社长。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月任天舟文化股份有限</w:t>
      </w:r>
      <w:r>
        <w:rPr>
          <w:w w:val="100"/>
        </w:rPr>
        <w:t> </w:t>
      </w:r>
      <w:r>
        <w:rPr/>
        <w:t>公司总裁至今，</w:t>
      </w:r>
      <w:r>
        <w:rPr>
          <w:rFonts w:ascii="宋体" w:hAnsi="宋体" w:cs="宋体" w:eastAsia="宋体" w:hint="default"/>
        </w:rPr>
        <w:t>2015</w:t>
      </w:r>
      <w:r>
        <w:rPr/>
        <w:t>年</w:t>
      </w:r>
      <w:r>
        <w:rPr>
          <w:rFonts w:ascii="宋体" w:hAnsi="宋体" w:cs="宋体" w:eastAsia="宋体" w:hint="default"/>
        </w:rPr>
        <w:t>1</w:t>
      </w:r>
      <w:r>
        <w:rPr/>
        <w:t>月任公司董事至今。</w:t>
      </w:r>
    </w:p>
    <w:p>
      <w:pPr>
        <w:pStyle w:val="Heading6"/>
        <w:spacing w:line="386" w:lineRule="auto" w:before="61"/>
        <w:ind w:right="0" w:firstLine="419"/>
        <w:jc w:val="left"/>
      </w:pPr>
      <w:r>
        <w:rPr>
          <w:spacing w:val="-3"/>
        </w:rPr>
        <w:t>李巨龙，高级经济师，</w:t>
      </w:r>
      <w:r>
        <w:rPr>
          <w:rFonts w:ascii="Times New Roman" w:hAnsi="Times New Roman" w:cs="Times New Roman" w:eastAsia="Times New Roman" w:hint="default"/>
          <w:spacing w:val="-3"/>
        </w:rPr>
        <w:t>1984</w:t>
      </w:r>
      <w:r>
        <w:rPr>
          <w:spacing w:val="-3"/>
        </w:rPr>
        <w:t>年毕业于西南政法学院，获法学学士学位。先后在湖南省公</w:t>
      </w:r>
      <w:r>
        <w:rPr>
          <w:w w:val="100"/>
        </w:rPr>
        <w:t> </w:t>
      </w:r>
      <w:r>
        <w:rPr>
          <w:spacing w:val="-5"/>
        </w:rPr>
        <w:t>安厅劳改局、湖南财经学院、长沙商业银行、泰阳证券有限责任公司工作。</w:t>
      </w:r>
      <w:r>
        <w:rPr>
          <w:rFonts w:ascii="Times New Roman" w:hAnsi="Times New Roman" w:cs="Times New Roman" w:eastAsia="Times New Roman" w:hint="default"/>
          <w:spacing w:val="-5"/>
        </w:rPr>
        <w:t>2009</w:t>
      </w:r>
      <w:r>
        <w:rPr>
          <w:spacing w:val="-5"/>
        </w:rPr>
        <w:t>年</w:t>
      </w:r>
      <w:r>
        <w:rPr>
          <w:rFonts w:ascii="Times New Roman" w:hAnsi="Times New Roman" w:cs="Times New Roman" w:eastAsia="Times New Roman" w:hint="default"/>
          <w:spacing w:val="-5"/>
        </w:rPr>
        <w:t>3</w:t>
      </w:r>
      <w:r>
        <w:rPr>
          <w:spacing w:val="-5"/>
        </w:rPr>
        <w:t>月至</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年</w:t>
      </w:r>
      <w:r>
        <w:rPr>
          <w:rFonts w:ascii="Times New Roman" w:hAnsi="Times New Roman" w:cs="Times New Roman" w:eastAsia="Times New Roman" w:hint="default"/>
        </w:rPr>
        <w:t>9</w:t>
      </w:r>
      <w:r>
        <w:rPr/>
        <w:t>月任湖南天鸿投资集团有限公司执行董事。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月任天舟文化股份有限公司董事至</w:t>
      </w:r>
      <w:r>
        <w:rPr>
          <w:w w:val="100"/>
        </w:rPr>
        <w:t> </w:t>
      </w:r>
      <w:r>
        <w:rPr/>
        <w:t>今。</w:t>
      </w:r>
    </w:p>
    <w:p>
      <w:pPr>
        <w:pStyle w:val="Heading6"/>
        <w:spacing w:line="391" w:lineRule="auto" w:before="65"/>
        <w:ind w:right="106" w:firstLine="419"/>
        <w:jc w:val="left"/>
      </w:pPr>
      <w:r>
        <w:rPr/>
        <w:t>刘爱明，中南大学商学院会计学博士，注册会计师，注册税务师，会计学副教授，</w:t>
      </w:r>
      <w:r>
        <w:rPr>
          <w:w w:val="10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w:t>
      </w:r>
      <w:r>
        <w:rPr>
          <w:spacing w:val="-38"/>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spacing w:val="-4"/>
        </w:rPr>
        <w:t>月获得上市公司高级管理人员培训结业证，资格证书号码为深交所公司高管（独立</w:t>
      </w:r>
      <w:r>
        <w:rPr>
          <w:spacing w:val="-99"/>
        </w:rPr>
        <w:t> </w:t>
      </w:r>
      <w:r>
        <w:rPr>
          <w:spacing w:val="-99"/>
        </w:rPr>
      </w:r>
      <w:r>
        <w:rPr/>
        <w:t>董事）培训字（</w:t>
      </w:r>
      <w:r>
        <w:rPr>
          <w:rFonts w:ascii="Times New Roman" w:hAnsi="Times New Roman" w:cs="Times New Roman" w:eastAsia="Times New Roman" w:hint="default"/>
        </w:rPr>
        <w:t>1405812943 </w:t>
      </w:r>
      <w:r>
        <w:rPr/>
        <w:t>）。</w:t>
      </w:r>
      <w:r>
        <w:rPr>
          <w:rFonts w:ascii="Times New Roman" w:hAnsi="Times New Roman" w:cs="Times New Roman" w:eastAsia="Times New Roman" w:hint="default"/>
        </w:rPr>
        <w:t>1994</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月至</w:t>
      </w:r>
      <w:r>
        <w:rPr>
          <w:spacing w:val="-55"/>
        </w:rPr>
        <w:t> </w:t>
      </w:r>
      <w:r>
        <w:rPr>
          <w:rFonts w:ascii="Times New Roman" w:hAnsi="Times New Roman" w:cs="Times New Roman" w:eastAsia="Times New Roman" w:hint="default"/>
        </w:rPr>
        <w:t>1996</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2 </w:t>
      </w:r>
      <w:r>
        <w:rPr/>
        <w:t>月在湖南省皮革集团公司财务部担</w:t>
      </w:r>
      <w:r>
        <w:rPr>
          <w:w w:val="100"/>
        </w:rPr>
        <w:t> </w:t>
      </w:r>
      <w:r>
        <w:rPr>
          <w:spacing w:val="-11"/>
          <w:w w:val="100"/>
        </w:rPr>
        <w:t>任助理会计师，</w:t>
      </w:r>
      <w:r>
        <w:rPr>
          <w:rFonts w:ascii="Times New Roman" w:hAnsi="Times New Roman" w:cs="Times New Roman" w:eastAsia="Times New Roman" w:hint="default"/>
          <w:spacing w:val="-11"/>
          <w:w w:val="100"/>
        </w:rPr>
        <w:t>1996</w:t>
      </w:r>
      <w:r>
        <w:rPr>
          <w:rFonts w:ascii="Times New Roman" w:hAnsi="Times New Roman" w:cs="Times New Roman" w:eastAsia="Times New Roman" w:hint="default"/>
          <w:spacing w:val="2"/>
          <w:w w:val="100"/>
        </w:rPr>
        <w:t> </w:t>
      </w:r>
      <w:r>
        <w:rPr>
          <w:w w:val="100"/>
        </w:rPr>
        <w:t>年</w:t>
      </w:r>
      <w:r>
        <w:rPr>
          <w:spacing w:val="-47"/>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 </w:t>
      </w:r>
      <w:r>
        <w:rPr>
          <w:spacing w:val="-9"/>
          <w:w w:val="100"/>
        </w:rPr>
        <w:t>月至今在中南大学商学院先后担任助教、讲师和副教授。</w:t>
      </w:r>
      <w:r>
        <w:rPr>
          <w:rFonts w:ascii="Times New Roman" w:hAnsi="Times New Roman" w:cs="Times New Roman" w:eastAsia="Times New Roman" w:hint="default"/>
          <w:spacing w:val="-9"/>
          <w:w w:val="100"/>
        </w:rPr>
        <w:t>1998</w:t>
      </w:r>
      <w:r>
        <w:rPr>
          <w:rFonts w:ascii="Times New Roman" w:hAnsi="Times New Roman" w:cs="Times New Roman" w:eastAsia="Times New Roman" w:hint="default"/>
          <w:spacing w:val="5"/>
          <w:w w:val="100"/>
        </w:rPr>
        <w:t> </w:t>
      </w:r>
      <w:r>
        <w:rPr>
          <w:w w:val="100"/>
        </w:rPr>
        <w:t>年</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w w:val="100"/>
        </w:rPr>
        <w:t>月</w:t>
      </w:r>
      <w:r>
        <w:rPr>
          <w:spacing w:val="-103"/>
          <w:w w:val="100"/>
        </w:rPr>
        <w:t> </w:t>
      </w:r>
      <w:r>
        <w:rPr>
          <w:spacing w:val="-1"/>
          <w:w w:val="100"/>
        </w:rPr>
        <w:t>至</w:t>
      </w:r>
      <w:r>
        <w:rPr>
          <w:rFonts w:ascii="Times New Roman" w:hAnsi="Times New Roman" w:cs="Times New Roman" w:eastAsia="Times New Roman" w:hint="default"/>
          <w:spacing w:val="-1"/>
          <w:w w:val="100"/>
        </w:rPr>
        <w:t>2000</w:t>
      </w:r>
      <w:r>
        <w:rPr>
          <w:rFonts w:ascii="Times New Roman" w:hAnsi="Times New Roman" w:cs="Times New Roman" w:eastAsia="Times New Roman" w:hint="default"/>
          <w:spacing w:val="2"/>
          <w:w w:val="100"/>
        </w:rPr>
        <w:t> </w:t>
      </w:r>
      <w:r>
        <w:rPr>
          <w:w w:val="100"/>
        </w:rPr>
        <w:t>年</w:t>
      </w:r>
      <w:r>
        <w:rPr>
          <w:rFonts w:ascii="Times New Roman" w:hAnsi="Times New Roman" w:cs="Times New Roman" w:eastAsia="Times New Roman" w:hint="default"/>
          <w:w w:val="100"/>
        </w:rPr>
        <w:t>5</w:t>
      </w:r>
      <w:r>
        <w:rPr>
          <w:rFonts w:ascii="Times New Roman" w:hAnsi="Times New Roman" w:cs="Times New Roman" w:eastAsia="Times New Roman" w:hint="default"/>
          <w:spacing w:val="2"/>
          <w:w w:val="100"/>
        </w:rPr>
        <w:t> </w:t>
      </w:r>
      <w:r>
        <w:rPr>
          <w:spacing w:val="-5"/>
          <w:w w:val="100"/>
        </w:rPr>
        <w:t>月在湖南大信会计师事务所兼任注册会计师和注册税务师，</w:t>
      </w:r>
      <w:r>
        <w:rPr>
          <w:rFonts w:ascii="Times New Roman" w:hAnsi="Times New Roman" w:cs="Times New Roman" w:eastAsia="Times New Roman" w:hint="default"/>
          <w:spacing w:val="-5"/>
          <w:w w:val="100"/>
        </w:rPr>
        <w:t>2014</w:t>
      </w:r>
      <w:r>
        <w:rPr>
          <w:rFonts w:ascii="Times New Roman" w:hAnsi="Times New Roman" w:cs="Times New Roman" w:eastAsia="Times New Roman" w:hint="default"/>
          <w:spacing w:val="2"/>
          <w:w w:val="100"/>
        </w:rPr>
        <w:t> </w:t>
      </w:r>
      <w:r>
        <w:rPr>
          <w:w w:val="100"/>
        </w:rPr>
        <w:t>年</w:t>
      </w:r>
      <w:r>
        <w:rPr>
          <w:spacing w:val="-47"/>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5"/>
          <w:w w:val="100"/>
        </w:rPr>
        <w:t> </w:t>
      </w:r>
      <w:r>
        <w:rPr>
          <w:spacing w:val="-2"/>
          <w:w w:val="100"/>
        </w:rPr>
        <w:t>月至今在哈</w:t>
      </w:r>
      <w:r>
        <w:rPr>
          <w:spacing w:val="-104"/>
          <w:w w:val="100"/>
        </w:rPr>
        <w:t> </w:t>
      </w:r>
      <w:r>
        <w:rPr>
          <w:spacing w:val="-104"/>
          <w:w w:val="100"/>
        </w:rPr>
      </w:r>
      <w:r>
        <w:rPr/>
        <w:t>密市商业银行股份有限公司兼任独立董事。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月任任天舟文化股份有限公司独立董事</w:t>
      </w:r>
      <w:r>
        <w:rPr>
          <w:w w:val="100"/>
        </w:rPr>
        <w:t> </w:t>
      </w:r>
      <w:r>
        <w:rPr/>
        <w:t>至今。</w:t>
      </w:r>
    </w:p>
    <w:p>
      <w:pPr>
        <w:pStyle w:val="Heading6"/>
        <w:spacing w:line="386" w:lineRule="auto" w:before="61"/>
        <w:ind w:right="0" w:firstLine="419"/>
        <w:jc w:val="left"/>
      </w:pPr>
      <w:r>
        <w:rPr>
          <w:spacing w:val="-3"/>
        </w:rPr>
        <w:t>许中缘，中国人民大学法学博士，吉林大学法学硕士、学士。</w:t>
      </w:r>
      <w:r>
        <w:rPr>
          <w:rFonts w:ascii="Times New Roman" w:hAnsi="Times New Roman" w:cs="Times New Roman" w:eastAsia="Times New Roman" w:hint="default"/>
          <w:spacing w:val="-3"/>
        </w:rPr>
        <w:t>2013 </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43"/>
        </w:rPr>
        <w:t> </w:t>
      </w:r>
      <w:r>
        <w:rPr/>
        <w:t>月获得上市公司</w:t>
      </w:r>
      <w:r>
        <w:rPr>
          <w:w w:val="100"/>
        </w:rPr>
        <w:t> </w:t>
      </w:r>
      <w:r>
        <w:rPr/>
        <w:t>高级管理人员培训结业证，资格证书号码为深交所公司高管（独立董事）培训字</w:t>
      </w:r>
    </w:p>
    <w:p>
      <w:pPr>
        <w:pStyle w:val="Heading6"/>
        <w:spacing w:line="398" w:lineRule="auto" w:before="65"/>
        <w:ind w:right="110"/>
        <w:jc w:val="both"/>
      </w:pPr>
      <w:r>
        <w:rPr>
          <w:spacing w:val="-3"/>
        </w:rPr>
        <w:t>（</w:t>
      </w:r>
      <w:r>
        <w:rPr>
          <w:rFonts w:ascii="Times New Roman" w:hAnsi="Times New Roman" w:cs="Times New Roman" w:eastAsia="Times New Roman" w:hint="default"/>
          <w:spacing w:val="-3"/>
        </w:rPr>
        <w:t>1305010774</w:t>
      </w:r>
      <w:r>
        <w:rPr>
          <w:spacing w:val="-3"/>
        </w:rPr>
        <w:t>）。</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8"/>
        </w:rPr>
        <w:t> </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月至</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spacing w:val="-3"/>
        </w:rPr>
        <w:t>月在湖南大学法学院任副教授，</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8"/>
        </w:rPr>
        <w:t> </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月至今在</w:t>
      </w:r>
      <w:r>
        <w:rPr>
          <w:spacing w:val="-100"/>
        </w:rPr>
        <w:t> </w:t>
      </w:r>
      <w:r>
        <w:rPr>
          <w:spacing w:val="-100"/>
        </w:rPr>
      </w:r>
      <w:r>
        <w:rPr>
          <w:spacing w:val="-3"/>
        </w:rPr>
        <w:t>中南大学法学院任教授、博士生导师，中南大学升华学者，中南大学法学院院长助理。兼任</w:t>
      </w:r>
      <w:r>
        <w:rPr>
          <w:spacing w:val="-28"/>
        </w:rPr>
        <w:t> </w:t>
      </w:r>
      <w:r>
        <w:rPr>
          <w:spacing w:val="-28"/>
        </w:rPr>
      </w:r>
      <w:r>
        <w:rPr>
          <w:spacing w:val="-3"/>
        </w:rPr>
        <w:t>湖南省法学会法学教育研究会秘书长，湖南省人民检察院专家咨询委员会委员，入选湖南省</w:t>
      </w:r>
    </w:p>
    <w:p>
      <w:pPr>
        <w:spacing w:after="0" w:line="398" w:lineRule="auto"/>
        <w:jc w:val="both"/>
        <w:sectPr>
          <w:pgSz w:w="11910" w:h="16840"/>
          <w:pgMar w:header="0" w:footer="959" w:top="1480" w:bottom="1140" w:left="1680" w:right="1580"/>
        </w:sectPr>
      </w:pPr>
    </w:p>
    <w:p>
      <w:pPr>
        <w:pStyle w:val="Heading6"/>
        <w:spacing w:line="386" w:lineRule="auto" w:before="6"/>
        <w:ind w:left="583" w:right="214" w:hanging="420"/>
        <w:jc w:val="left"/>
      </w:pPr>
      <w:r>
        <w:rPr/>
        <w:t>青年社会科学研究</w:t>
      </w:r>
      <w:r>
        <w:rPr>
          <w:spacing w:val="-27"/>
        </w:rPr>
        <w:t> </w:t>
      </w:r>
      <w:r>
        <w:rPr>
          <w:rFonts w:ascii="Times New Roman" w:hAnsi="Times New Roman" w:cs="Times New Roman" w:eastAsia="Times New Roman" w:hint="default"/>
        </w:rPr>
        <w:t>“</w:t>
      </w:r>
      <w:r>
        <w:rPr/>
        <w:t>百人工程</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月任任天舟文化股份有限公司独立董事至今。</w:t>
      </w:r>
      <w:r>
        <w:rPr>
          <w:w w:val="100"/>
        </w:rPr>
        <w:t> </w:t>
      </w:r>
      <w:r>
        <w:rPr>
          <w:rFonts w:ascii="Times New Roman" w:hAnsi="Times New Roman" w:cs="Times New Roman" w:eastAsia="Times New Roman" w:hint="default"/>
        </w:rPr>
        <w:t>2</w:t>
      </w:r>
      <w:r>
        <w:rPr/>
        <w:t>、监事会成员</w:t>
      </w:r>
    </w:p>
    <w:p>
      <w:pPr>
        <w:pStyle w:val="Heading6"/>
        <w:spacing w:line="386" w:lineRule="auto" w:before="35"/>
        <w:ind w:right="210" w:firstLine="419"/>
        <w:jc w:val="both"/>
      </w:pPr>
      <w:r>
        <w:rPr/>
        <w:t>周艳，大专学历</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会计师。先后在望城县矿产品公司、望城县印刷厂、湖南天鸿投资集</w:t>
      </w:r>
      <w:r>
        <w:rPr>
          <w:w w:val="100"/>
        </w:rPr>
        <w:t> </w:t>
      </w:r>
      <w:r>
        <w:rPr>
          <w:spacing w:val="-3"/>
        </w:rPr>
        <w:t>团有限公司工作。</w:t>
      </w:r>
      <w:r>
        <w:rPr>
          <w:rFonts w:ascii="Times New Roman" w:hAnsi="Times New Roman" w:cs="Times New Roman" w:eastAsia="Times New Roman" w:hint="default"/>
          <w:spacing w:val="-3"/>
        </w:rPr>
        <w:t>2003</w:t>
      </w:r>
      <w:r>
        <w:rPr>
          <w:spacing w:val="-3"/>
        </w:rPr>
        <w:t>年</w:t>
      </w:r>
      <w:r>
        <w:rPr>
          <w:rFonts w:ascii="Times New Roman" w:hAnsi="Times New Roman" w:cs="Times New Roman" w:eastAsia="Times New Roman" w:hint="default"/>
          <w:spacing w:val="-3"/>
        </w:rPr>
        <w:t>8</w:t>
      </w:r>
      <w:r>
        <w:rPr>
          <w:spacing w:val="-3"/>
        </w:rPr>
        <w:t>月任天舟文化股份有限公司财务部经理。</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月任天舟文化股</w:t>
      </w:r>
      <w:r>
        <w:rPr>
          <w:spacing w:val="-13"/>
        </w:rPr>
        <w:t> </w:t>
      </w:r>
      <w:r>
        <w:rPr>
          <w:spacing w:val="-13"/>
        </w:rPr>
      </w:r>
      <w:r>
        <w:rPr/>
        <w:t>份有限公司监事会召集人至今。</w:t>
      </w:r>
    </w:p>
    <w:p>
      <w:pPr>
        <w:pStyle w:val="Heading6"/>
        <w:spacing w:line="398" w:lineRule="auto" w:before="65"/>
        <w:ind w:right="210" w:firstLine="419"/>
        <w:jc w:val="both"/>
      </w:pPr>
      <w:r>
        <w:rPr>
          <w:spacing w:val="-2"/>
        </w:rPr>
        <w:t>李剑，北京航空航天大学经济管理专业双学士学历。</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10</w:t>
      </w:r>
      <w:r>
        <w:rPr>
          <w:spacing w:val="-2"/>
        </w:rPr>
        <w:t>月先后任烟</w:t>
      </w:r>
      <w:r>
        <w:rPr>
          <w:w w:val="100"/>
        </w:rPr>
        <w:t> </w:t>
      </w:r>
      <w:r>
        <w:rPr>
          <w:spacing w:val="-3"/>
        </w:rPr>
        <w:t>台卓越机械有限公司会计、财务部经理，山东三鑫科技入团股份有限公司财务部副经理，深</w:t>
      </w:r>
      <w:r>
        <w:rPr>
          <w:spacing w:val="-32"/>
        </w:rPr>
        <w:t> </w:t>
      </w:r>
      <w:r>
        <w:rPr>
          <w:spacing w:val="-32"/>
        </w:rPr>
      </w:r>
      <w:r>
        <w:rPr>
          <w:spacing w:val="-3"/>
        </w:rPr>
        <w:t>圳中衡会计师事务所三部副经理，湖南新五丰股份有限公司主管会计、审计主管，长沙鸿发</w:t>
      </w:r>
      <w:r>
        <w:rPr>
          <w:spacing w:val="-35"/>
        </w:rPr>
        <w:t> </w:t>
      </w:r>
      <w:r>
        <w:rPr>
          <w:spacing w:val="-35"/>
        </w:rPr>
      </w:r>
      <w:r>
        <w:rPr>
          <w:spacing w:val="-3"/>
        </w:rPr>
        <w:t>印务有限公司总经理助理、财务部经理，</w:t>
      </w:r>
      <w:r>
        <w:rPr>
          <w:rFonts w:ascii="Times New Roman" w:hAnsi="Times New Roman" w:cs="Times New Roman" w:eastAsia="Times New Roman" w:hint="default"/>
          <w:spacing w:val="-3"/>
        </w:rPr>
        <w:t>2003</w:t>
      </w:r>
      <w:r>
        <w:rPr>
          <w:spacing w:val="-3"/>
        </w:rPr>
        <w:t>年</w:t>
      </w:r>
      <w:r>
        <w:rPr>
          <w:rFonts w:ascii="Times New Roman" w:hAnsi="Times New Roman" w:cs="Times New Roman" w:eastAsia="Times New Roman" w:hint="default"/>
          <w:spacing w:val="-3"/>
        </w:rPr>
        <w:t>10</w:t>
      </w:r>
      <w:r>
        <w:rPr>
          <w:spacing w:val="-3"/>
        </w:rPr>
        <w:t>月至今先后任职湖南天鸿投资有限公司财</w:t>
      </w:r>
      <w:r>
        <w:rPr>
          <w:spacing w:val="-19"/>
        </w:rPr>
        <w:t> </w:t>
      </w:r>
      <w:r>
        <w:rPr>
          <w:spacing w:val="-19"/>
        </w:rPr>
      </w:r>
      <w:r>
        <w:rPr/>
        <w:t>务部副经理、经理。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月任天舟文化股份有限公司监事至今。</w:t>
      </w:r>
    </w:p>
    <w:p>
      <w:pPr>
        <w:pStyle w:val="Heading6"/>
        <w:spacing w:line="386" w:lineRule="auto" w:before="24"/>
        <w:ind w:right="213" w:firstLine="419"/>
        <w:jc w:val="both"/>
      </w:pPr>
      <w:r>
        <w:rPr>
          <w:spacing w:val="-5"/>
        </w:rPr>
        <w:t>张桂叶，湖南大学工商行政管理研究生、会计师、高级发行员。</w:t>
      </w:r>
      <w:r>
        <w:rPr>
          <w:rFonts w:ascii="Times New Roman" w:hAnsi="Times New Roman" w:cs="Times New Roman" w:eastAsia="Times New Roman" w:hint="default"/>
          <w:spacing w:val="-5"/>
        </w:rPr>
        <w:t>2004 </w:t>
      </w:r>
      <w:r>
        <w:rPr/>
        <w:t>年任长沙晚报报业</w:t>
      </w:r>
      <w:r>
        <w:rPr>
          <w:w w:val="100"/>
        </w:rPr>
        <w:t> </w:t>
      </w:r>
      <w:r>
        <w:rPr/>
        <w:t>集团东方新报社会计，</w:t>
      </w:r>
      <w:r>
        <w:rPr>
          <w:rFonts w:ascii="Times New Roman" w:hAnsi="Times New Roman" w:cs="Times New Roman" w:eastAsia="Times New Roman" w:hint="default"/>
        </w:rPr>
        <w:t>2005 </w:t>
      </w:r>
      <w:r>
        <w:rPr/>
        <w:t>年任天舟文化股份有限公司总经理助理，</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年任公司业务部</w:t>
      </w:r>
      <w:r>
        <w:rPr>
          <w:w w:val="100"/>
        </w:rPr>
        <w:t> </w:t>
      </w:r>
      <w:r>
        <w:rPr/>
        <w:t>副经理、衡阳分公司总经理。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月任天舟文化股份有限公司监事会职工代表监事。现</w:t>
      </w:r>
      <w:r>
        <w:rPr>
          <w:w w:val="100"/>
        </w:rPr>
        <w:t> </w:t>
      </w:r>
      <w:r>
        <w:rPr/>
        <w:t>任天舟文化股份有限公司总裁助理、职工代表监事、湖南第二分公司总经理。</w:t>
      </w:r>
    </w:p>
    <w:p>
      <w:pPr>
        <w:pStyle w:val="Heading6"/>
        <w:spacing w:line="386" w:lineRule="auto" w:before="65"/>
        <w:ind w:left="583" w:right="0"/>
        <w:jc w:val="left"/>
      </w:pPr>
      <w:r>
        <w:rPr>
          <w:rFonts w:ascii="Times New Roman" w:hAnsi="Times New Roman" w:cs="Times New Roman" w:eastAsia="Times New Roman" w:hint="default"/>
        </w:rPr>
        <w:t>3</w:t>
      </w:r>
      <w:r>
        <w:rPr/>
        <w:t>、高级管理人员</w:t>
      </w:r>
      <w:r>
        <w:rPr>
          <w:w w:val="100"/>
        </w:rPr>
        <w:t> </w:t>
      </w:r>
      <w:r>
        <w:rPr>
          <w:spacing w:val="-3"/>
        </w:rPr>
        <w:t>罗争玉，法学博士，哲学博士后，湘潭大学特聘教授、博士生导师，北京大学文化产业</w:t>
      </w:r>
    </w:p>
    <w:p>
      <w:pPr>
        <w:pStyle w:val="Heading6"/>
        <w:spacing w:line="386" w:lineRule="auto" w:before="65"/>
        <w:ind w:right="0"/>
        <w:jc w:val="left"/>
      </w:pPr>
      <w:r>
        <w:rPr>
          <w:spacing w:val="-4"/>
        </w:rPr>
        <w:t>研究院研究员。</w:t>
      </w:r>
      <w:r>
        <w:rPr>
          <w:rFonts w:ascii="Times New Roman" w:hAnsi="Times New Roman" w:cs="Times New Roman" w:eastAsia="Times New Roman" w:hint="default"/>
          <w:spacing w:val="-4"/>
        </w:rPr>
        <w:t>1993 </w:t>
      </w:r>
      <w:r>
        <w:rPr/>
        <w:t>年 </w:t>
      </w:r>
      <w:r>
        <w:rPr>
          <w:rFonts w:ascii="Times New Roman" w:hAnsi="Times New Roman" w:cs="Times New Roman" w:eastAsia="Times New Roman" w:hint="default"/>
        </w:rPr>
        <w:t>7 </w:t>
      </w:r>
      <w:r>
        <w:rPr>
          <w:spacing w:val="-4"/>
        </w:rPr>
        <w:t>月参加工作，先后任职湖南师范大学、湖南省新闻出版局、湖南出</w:t>
      </w:r>
      <w:r>
        <w:rPr>
          <w:spacing w:val="-95"/>
        </w:rPr>
        <w:t> </w:t>
      </w:r>
      <w:r>
        <w:rPr>
          <w:spacing w:val="-95"/>
        </w:rPr>
      </w:r>
      <w:r>
        <w:rPr>
          <w:spacing w:val="-4"/>
        </w:rPr>
        <w:t>版集团。</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spacing w:val="-3"/>
        </w:rPr>
        <w:t>月起任中国出版集团公司教材中心主任，</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月起任中版教材公司</w:t>
      </w:r>
      <w:r>
        <w:rPr>
          <w:spacing w:val="-102"/>
        </w:rPr>
        <w:t> </w:t>
      </w:r>
      <w:r>
        <w:rPr>
          <w:spacing w:val="-102"/>
        </w:rPr>
      </w:r>
      <w:r>
        <w:rPr/>
        <w:t>总经理，</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rFonts w:ascii="Times New Roman" w:hAnsi="Times New Roman" w:cs="Times New Roman" w:eastAsia="Times New Roman" w:hint="default"/>
        </w:rPr>
        <w:t>-2014 </w:t>
      </w:r>
      <w:r>
        <w:rPr/>
        <w:t>年</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月兼任华文出版社社长。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月任天舟文化股份有限</w:t>
      </w:r>
      <w:r>
        <w:rPr>
          <w:w w:val="100"/>
        </w:rPr>
        <w:t> </w:t>
      </w:r>
      <w:r>
        <w:rPr/>
        <w:t>公司总裁至今，</w:t>
      </w:r>
      <w:r>
        <w:rPr>
          <w:rFonts w:ascii="宋体" w:hAnsi="宋体" w:cs="宋体" w:eastAsia="宋体" w:hint="default"/>
        </w:rPr>
        <w:t>2015</w:t>
      </w:r>
      <w:r>
        <w:rPr/>
        <w:t>年</w:t>
      </w:r>
      <w:r>
        <w:rPr>
          <w:rFonts w:ascii="宋体" w:hAnsi="宋体" w:cs="宋体" w:eastAsia="宋体" w:hint="default"/>
        </w:rPr>
        <w:t>1</w:t>
      </w:r>
      <w:r>
        <w:rPr/>
        <w:t>月任公司董事至今。</w:t>
      </w:r>
    </w:p>
    <w:p>
      <w:pPr>
        <w:pStyle w:val="Heading6"/>
        <w:spacing w:line="408" w:lineRule="auto" w:before="65"/>
        <w:ind w:right="210" w:firstLine="419"/>
        <w:jc w:val="right"/>
      </w:pPr>
      <w:r>
        <w:rPr/>
        <w:t>张建武，本科学历，高级会计师，湖南财政经济学院兼职教授。</w:t>
      </w:r>
      <w:r>
        <w:rPr>
          <w:rFonts w:ascii="宋体" w:hAnsi="宋体" w:cs="宋体" w:eastAsia="宋体" w:hint="default"/>
        </w:rPr>
        <w:t>1997</w:t>
      </w:r>
      <w:r>
        <w:rPr>
          <w:rFonts w:ascii="宋体" w:hAnsi="宋体" w:cs="宋体" w:eastAsia="宋体" w:hint="default"/>
          <w:spacing w:val="-6"/>
        </w:rPr>
        <w:t> </w:t>
      </w:r>
      <w:r>
        <w:rPr/>
        <w:t>年进入中国汽车</w:t>
      </w:r>
      <w:r>
        <w:rPr>
          <w:w w:val="100"/>
        </w:rPr>
        <w:t> </w:t>
      </w:r>
      <w:r>
        <w:rPr>
          <w:spacing w:val="-3"/>
        </w:rPr>
        <w:t>工业总公司长沙汽车电汽厂总厂财务处工作；</w:t>
      </w:r>
      <w:r>
        <w:rPr>
          <w:rFonts w:ascii="宋体" w:hAnsi="宋体" w:cs="宋体" w:eastAsia="宋体" w:hint="default"/>
          <w:spacing w:val="-3"/>
        </w:rPr>
        <w:t>2000 </w:t>
      </w:r>
      <w:r>
        <w:rPr/>
        <w:t>年 </w:t>
      </w:r>
      <w:r>
        <w:rPr>
          <w:rFonts w:ascii="宋体" w:hAnsi="宋体" w:cs="宋体" w:eastAsia="宋体" w:hint="default"/>
        </w:rPr>
        <w:t>9</w:t>
      </w:r>
      <w:r>
        <w:rPr>
          <w:rFonts w:ascii="宋体" w:hAnsi="宋体" w:cs="宋体" w:eastAsia="宋体" w:hint="default"/>
          <w:spacing w:val="29"/>
        </w:rPr>
        <w:t> </w:t>
      </w:r>
      <w:r>
        <w:rPr/>
        <w:t>月进入北大方正电子有限公司长沙</w:t>
      </w:r>
      <w:r>
        <w:rPr>
          <w:w w:val="100"/>
        </w:rPr>
        <w:t> </w:t>
      </w:r>
      <w:r>
        <w:rPr>
          <w:spacing w:val="-3"/>
        </w:rPr>
        <w:t>分公司财务部工作；</w:t>
      </w:r>
      <w:r>
        <w:rPr>
          <w:rFonts w:ascii="宋体" w:hAnsi="宋体" w:cs="宋体" w:eastAsia="宋体" w:hint="default"/>
          <w:spacing w:val="-3"/>
        </w:rPr>
        <w:t>2005 </w:t>
      </w:r>
      <w:r>
        <w:rPr/>
        <w:t>年进入学海集团担任财务总监职务工作；</w:t>
      </w:r>
      <w:r>
        <w:rPr>
          <w:rFonts w:ascii="宋体" w:hAnsi="宋体" w:cs="宋体" w:eastAsia="宋体" w:hint="default"/>
        </w:rPr>
        <w:t>2011 </w:t>
      </w:r>
      <w:r>
        <w:rPr/>
        <w:t>年</w:t>
      </w:r>
      <w:r>
        <w:rPr>
          <w:rFonts w:ascii="宋体" w:hAnsi="宋体" w:cs="宋体" w:eastAsia="宋体" w:hint="default"/>
        </w:rPr>
        <w:t>-2016</w:t>
      </w:r>
      <w:r>
        <w:rPr/>
        <w:t>年 </w:t>
      </w:r>
      <w:r>
        <w:rPr>
          <w:rFonts w:ascii="宋体" w:hAnsi="宋体" w:cs="宋体" w:eastAsia="宋体" w:hint="default"/>
        </w:rPr>
        <w:t>1</w:t>
      </w:r>
      <w:r>
        <w:rPr>
          <w:rFonts w:ascii="宋体" w:hAnsi="宋体" w:cs="宋体" w:eastAsia="宋体" w:hint="default"/>
          <w:spacing w:val="2"/>
        </w:rPr>
        <w:t> </w:t>
      </w:r>
      <w:r>
        <w:rPr>
          <w:spacing w:val="-3"/>
        </w:rPr>
        <w:t>月进</w:t>
      </w:r>
      <w:r>
        <w:rPr>
          <w:spacing w:val="-3"/>
          <w:w w:val="100"/>
        </w:rPr>
        <w:t> </w:t>
      </w:r>
      <w:r>
        <w:rPr>
          <w:spacing w:val="-2"/>
        </w:rPr>
        <w:t>入湖南天鸿投资集团有限公司担任财务总监、副总裁职务。</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月任公司常务副总裁。</w:t>
      </w:r>
      <w:r>
        <w:rPr>
          <w:w w:val="100"/>
        </w:rPr>
        <w:t> </w:t>
      </w:r>
      <w:r>
        <w:rPr>
          <w:spacing w:val="-3"/>
        </w:rPr>
        <w:t>陈四清，本科学历，会计师、国际财务管理师，湖南省出版工作者协会常务理事。曾任</w:t>
      </w:r>
      <w:r>
        <w:rPr>
          <w:w w:val="100"/>
        </w:rPr>
        <w:t> </w:t>
      </w:r>
      <w:r>
        <w:rPr>
          <w:spacing w:val="-3"/>
        </w:rPr>
        <w:t>湖南省浦沅集团财务部副部长，中联重科工程起重机公司财务部主任，湖南天鸿投资有限公</w:t>
      </w:r>
      <w:r>
        <w:rPr>
          <w:spacing w:val="-44"/>
        </w:rPr>
        <w:t> </w:t>
      </w:r>
      <w:r>
        <w:rPr>
          <w:spacing w:val="-44"/>
        </w:rPr>
      </w:r>
      <w:r>
        <w:rPr>
          <w:spacing w:val="-2"/>
        </w:rPr>
        <w:t>司财务部经理。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月任天舟文化财务总监。</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月兼任天舟文化副总</w:t>
      </w:r>
    </w:p>
    <w:p>
      <w:pPr>
        <w:pStyle w:val="Heading6"/>
        <w:spacing w:line="408" w:lineRule="auto" w:before="14"/>
        <w:ind w:left="583" w:right="0" w:hanging="420"/>
        <w:jc w:val="left"/>
      </w:pPr>
      <w:r>
        <w:rPr/>
        <w:t>经理。现任天舟文化股份有限公司副总裁、兼任湖南分公司总经理。</w:t>
      </w:r>
      <w:r>
        <w:rPr>
          <w:w w:val="100"/>
        </w:rPr>
        <w:t> </w:t>
      </w:r>
      <w:r>
        <w:rPr>
          <w:spacing w:val="-3"/>
        </w:rPr>
        <w:t>杨灏，硕士研究生学历。</w:t>
      </w:r>
      <w:r>
        <w:rPr>
          <w:rFonts w:ascii="Times New Roman" w:hAnsi="Times New Roman" w:cs="Times New Roman" w:eastAsia="Times New Roman" w:hint="default"/>
          <w:spacing w:val="-3"/>
        </w:rPr>
        <w:t>2000</w:t>
      </w:r>
      <w:r>
        <w:rPr>
          <w:spacing w:val="-3"/>
        </w:rPr>
        <w:t>年</w:t>
      </w:r>
      <w:r>
        <w:rPr>
          <w:rFonts w:ascii="Times New Roman" w:hAnsi="Times New Roman" w:cs="Times New Roman" w:eastAsia="Times New Roman" w:hint="default"/>
          <w:spacing w:val="-3"/>
        </w:rPr>
        <w:t>8</w:t>
      </w:r>
      <w:r>
        <w:rPr>
          <w:spacing w:val="-3"/>
        </w:rPr>
        <w:t>月进入乐金飞利浦曙光财务部工作，</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6</w:t>
      </w:r>
      <w:r>
        <w:rPr>
          <w:spacing w:val="-3"/>
        </w:rPr>
        <w:t>月进入金</w:t>
      </w:r>
    </w:p>
    <w:p>
      <w:pPr>
        <w:pStyle w:val="Heading6"/>
        <w:spacing w:line="240" w:lineRule="auto" w:before="14"/>
        <w:ind w:right="0"/>
        <w:jc w:val="left"/>
      </w:pPr>
      <w:r>
        <w:rPr>
          <w:spacing w:val="-3"/>
        </w:rPr>
        <w:t>果实业股份有限公司证券部工作。</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9</w:t>
      </w:r>
      <w:r>
        <w:rPr>
          <w:spacing w:val="-3"/>
        </w:rPr>
        <w:t>月起任长城信息产业股份有限公司证券事务代表，</w:t>
      </w:r>
    </w:p>
    <w:p>
      <w:pPr>
        <w:spacing w:after="0" w:line="240" w:lineRule="auto"/>
        <w:jc w:val="left"/>
        <w:sectPr>
          <w:footerReference w:type="default" r:id="rId23"/>
          <w:pgSz w:w="11910" w:h="16840"/>
          <w:pgMar w:footer="959" w:header="0" w:top="1480" w:bottom="1140" w:left="1680" w:right="1480"/>
          <w:pgNumType w:start="62"/>
        </w:sectPr>
      </w:pPr>
    </w:p>
    <w:p>
      <w:pPr>
        <w:pStyle w:val="Heading6"/>
        <w:spacing w:line="386" w:lineRule="auto" w:before="6"/>
        <w:ind w:left="683" w:right="598"/>
        <w:jc w:val="left"/>
      </w:pPr>
      <w:r>
        <w:rPr>
          <w:rFonts w:ascii="Times New Roman" w:hAnsi="Times New Roman" w:cs="Times New Roman" w:eastAsia="Times New Roman" w:hint="default"/>
          <w:spacing w:val="-5"/>
        </w:rPr>
        <w:t>2011</w:t>
      </w:r>
      <w:r>
        <w:rPr>
          <w:spacing w:val="-5"/>
        </w:rPr>
        <w:t>年起任长城信息董事会办公室负责人，</w:t>
      </w:r>
      <w:r>
        <w:rPr>
          <w:rFonts w:ascii="Times New Roman" w:hAnsi="Times New Roman" w:cs="Times New Roman" w:eastAsia="Times New Roman" w:hint="default"/>
          <w:spacing w:val="-5"/>
        </w:rPr>
        <w:t>2014</w:t>
      </w:r>
      <w:r>
        <w:rPr>
          <w:spacing w:val="-5"/>
        </w:rPr>
        <w:t>年起任长城信息综合管理部（董事会办公室）</w:t>
      </w:r>
      <w:r>
        <w:rPr>
          <w:spacing w:val="-34"/>
        </w:rPr>
        <w:t> </w:t>
      </w:r>
      <w:r>
        <w:rPr>
          <w:spacing w:val="-34"/>
        </w:rPr>
      </w:r>
      <w:r>
        <w:rPr/>
        <w:t>负责人。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月任天舟文化股份有限公司董事会秘书至今。</w:t>
      </w:r>
    </w:p>
    <w:p>
      <w:pPr>
        <w:pStyle w:val="Heading6"/>
        <w:spacing w:line="408" w:lineRule="auto" w:before="35"/>
        <w:ind w:left="683" w:right="598" w:firstLine="419"/>
        <w:jc w:val="left"/>
      </w:pPr>
      <w:r>
        <w:rPr>
          <w:spacing w:val="-3"/>
        </w:rPr>
        <w:t>殷明坤，研究生学历，高级会计师，中国注册会计师。曾任国光瓷业股份公司副董事长</w:t>
      </w:r>
      <w:r>
        <w:rPr>
          <w:w w:val="100"/>
        </w:rPr>
        <w:t> </w:t>
      </w:r>
      <w:r>
        <w:rPr>
          <w:spacing w:val="-3"/>
        </w:rPr>
        <w:t>副总经理总会计师、张家界股份公司董事兼总经理、湖南鸿仪集团执行总裁、亚大新材料科</w:t>
      </w:r>
      <w:r>
        <w:rPr>
          <w:spacing w:val="-36"/>
        </w:rPr>
        <w:t> </w:t>
      </w:r>
      <w:r>
        <w:rPr>
          <w:spacing w:val="-36"/>
        </w:rPr>
      </w:r>
      <w:r>
        <w:rPr>
          <w:spacing w:val="-3"/>
        </w:rPr>
        <w:t>技股份公司董事长、湖南长阳资产管理公司董事长兼总经理、岳阳恒立冷气设备股份公司董</w:t>
      </w:r>
      <w:r>
        <w:rPr>
          <w:spacing w:val="-26"/>
        </w:rPr>
        <w:t> </w:t>
      </w:r>
      <w:r>
        <w:rPr>
          <w:spacing w:val="-26"/>
        </w:rPr>
      </w:r>
      <w:r>
        <w:rPr/>
        <w:t>事长、湖南湘中海公司副总经理、长沙凯瑞重工常务副总经理。</w:t>
      </w:r>
      <w:r>
        <w:rPr>
          <w:rFonts w:ascii="宋体" w:hAnsi="宋体" w:cs="宋体" w:eastAsia="宋体" w:hint="default"/>
        </w:rPr>
        <w:t>2013</w:t>
      </w:r>
      <w:r>
        <w:rPr/>
        <w:t>年</w:t>
      </w:r>
      <w:r>
        <w:rPr>
          <w:rFonts w:ascii="宋体" w:hAnsi="宋体" w:cs="宋体" w:eastAsia="宋体" w:hint="default"/>
        </w:rPr>
        <w:t>3</w:t>
      </w:r>
      <w:r>
        <w:rPr/>
        <w:t>月任天舟文化股份</w:t>
      </w:r>
      <w:r>
        <w:rPr>
          <w:w w:val="100"/>
        </w:rPr>
        <w:t> </w:t>
      </w:r>
      <w:r>
        <w:rPr/>
        <w:t>有限公司财务总监至今。</w:t>
      </w:r>
    </w:p>
    <w:p>
      <w:pPr>
        <w:spacing w:line="240" w:lineRule="auto" w:before="9"/>
        <w:rPr>
          <w:rFonts w:ascii="宋体" w:hAnsi="宋体" w:cs="宋体" w:eastAsia="宋体" w:hint="default"/>
          <w:sz w:val="24"/>
          <w:szCs w:val="24"/>
        </w:rPr>
      </w:pPr>
    </w:p>
    <w:p>
      <w:pPr>
        <w:pStyle w:val="Heading6"/>
        <w:spacing w:line="240" w:lineRule="auto"/>
        <w:ind w:left="683" w:right="598"/>
        <w:jc w:val="left"/>
      </w:pPr>
      <w:r>
        <w:rPr/>
        <w:t>在股东单位任职情况</w:t>
      </w:r>
    </w:p>
    <w:p>
      <w:pPr>
        <w:spacing w:line="240" w:lineRule="auto" w:before="10"/>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1217"/>
        <w:gridCol w:w="3231"/>
        <w:gridCol w:w="1076"/>
        <w:gridCol w:w="1212"/>
        <w:gridCol w:w="1349"/>
        <w:gridCol w:w="1483"/>
      </w:tblGrid>
      <w:tr>
        <w:trPr>
          <w:trHeight w:val="67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1"/>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1"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94"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67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7"/>
              <w:jc w:val="right"/>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李剑</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7"/>
              <w:jc w:val="right"/>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1" w:right="103"/>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23"/>
          <w:szCs w:val="23"/>
        </w:rPr>
      </w:pPr>
    </w:p>
    <w:p>
      <w:pPr>
        <w:pStyle w:val="Heading6"/>
        <w:spacing w:line="240" w:lineRule="auto" w:before="36"/>
        <w:ind w:left="683" w:right="598"/>
        <w:jc w:val="left"/>
      </w:pPr>
      <w:r>
        <w:rPr/>
        <w:t>在其他单位任职情况</w:t>
      </w:r>
    </w:p>
    <w:p>
      <w:pPr>
        <w:spacing w:line="240" w:lineRule="auto" w:before="12"/>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67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8" w:right="93"/>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41" w:right="53"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67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刘爱明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刘爱明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哈密市商业银行股份有限公司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许中缘</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22"/>
              <w:jc w:val="left"/>
              <w:rPr>
                <w:rFonts w:ascii="宋体" w:hAnsi="宋体" w:cs="宋体" w:eastAsia="宋体" w:hint="default"/>
                <w:sz w:val="18"/>
                <w:szCs w:val="18"/>
              </w:rPr>
            </w:pPr>
            <w:r>
              <w:rPr>
                <w:rFonts w:ascii="宋体" w:hAnsi="宋体" w:cs="宋体" w:eastAsia="宋体" w:hint="default"/>
                <w:spacing w:val="-8"/>
                <w:sz w:val="18"/>
                <w:szCs w:val="18"/>
              </w:rPr>
              <w:t>任教授、博士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生导师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1" w:right="120"/>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Heading6"/>
        <w:spacing w:line="240" w:lineRule="auto" w:before="64"/>
        <w:ind w:left="683" w:right="598"/>
        <w:jc w:val="left"/>
      </w:pPr>
      <w:r>
        <w:rPr/>
        <w:t>公司现任及报告期内离任董事、监事和高级管理人员近三年证券监管机构处罚的情况</w:t>
      </w:r>
    </w:p>
    <w:p>
      <w:pPr>
        <w:spacing w:line="240" w:lineRule="auto" w:before="10"/>
        <w:rPr>
          <w:rFonts w:ascii="宋体" w:hAnsi="宋体" w:cs="宋体" w:eastAsia="宋体" w:hint="default"/>
          <w:sz w:val="14"/>
          <w:szCs w:val="14"/>
        </w:rPr>
      </w:pPr>
    </w:p>
    <w:p>
      <w:pPr>
        <w:pStyle w:val="Heading6"/>
        <w:spacing w:line="240" w:lineRule="auto"/>
        <w:ind w:left="683" w:right="598"/>
        <w:jc w:val="left"/>
      </w:pPr>
      <w:r>
        <w:rPr/>
        <w:t>□适用√不适用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9"/>
        <w:ind w:right="598"/>
        <w:jc w:val="left"/>
        <w:rPr>
          <w:b w:val="0"/>
          <w:bCs w:val="0"/>
        </w:rPr>
      </w:pPr>
      <w:r>
        <w:rPr/>
        <w:t>四、董事、监事、高级管理人员报酬情况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left="683" w:right="598"/>
        <w:jc w:val="left"/>
      </w:pPr>
      <w:r>
        <w:rPr/>
        <w:t>董事、监事、高级管理人员报酬的决策程序、确定依据、实际支付情况</w:t>
      </w:r>
    </w:p>
    <w:p>
      <w:pPr>
        <w:spacing w:line="240" w:lineRule="auto" w:before="12"/>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4261"/>
        <w:gridCol w:w="5307"/>
      </w:tblGrid>
      <w:tr>
        <w:trPr>
          <w:trHeight w:val="386"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公司独立董事津贴由董事会提议后交股东大会审议通过后实施。</w:t>
            </w:r>
          </w:p>
        </w:tc>
      </w:tr>
    </w:tbl>
    <w:p>
      <w:pPr>
        <w:spacing w:after="0" w:line="240" w:lineRule="auto"/>
        <w:jc w:val="left"/>
        <w:rPr>
          <w:rFonts w:ascii="宋体" w:hAnsi="宋体" w:cs="宋体" w:eastAsia="宋体" w:hint="default"/>
          <w:sz w:val="18"/>
          <w:szCs w:val="18"/>
        </w:rPr>
        <w:sectPr>
          <w:pgSz w:w="11910" w:h="16840"/>
          <w:pgMar w:header="0" w:footer="959" w:top="1480" w:bottom="1160" w:left="1160" w:right="940"/>
        </w:sectPr>
      </w:pPr>
    </w:p>
    <w:p>
      <w:pPr>
        <w:spacing w:line="240" w:lineRule="auto" w:before="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4261"/>
        <w:gridCol w:w="5307"/>
      </w:tblGrid>
      <w:tr>
        <w:trPr>
          <w:trHeight w:val="1011"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 w:right="68"/>
              <w:jc w:val="both"/>
              <w:rPr>
                <w:rFonts w:ascii="宋体" w:hAnsi="宋体" w:cs="宋体" w:eastAsia="宋体" w:hint="default"/>
                <w:sz w:val="18"/>
                <w:szCs w:val="18"/>
              </w:rPr>
            </w:pPr>
            <w:r>
              <w:rPr>
                <w:rFonts w:ascii="宋体" w:hAnsi="宋体" w:cs="宋体" w:eastAsia="宋体" w:hint="default"/>
                <w:sz w:val="18"/>
                <w:szCs w:val="18"/>
              </w:rPr>
              <w:t>董事、监事和高级管理人员的报酬按照公司《提名和薪酬委员议事 规则》规定，结合其职位、责任、能力、市场薪资行等因素确定并 发放。</w:t>
            </w:r>
          </w:p>
        </w:tc>
      </w:tr>
      <w:tr>
        <w:trPr>
          <w:trHeight w:val="389"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报告期内，公司已向董事、监事及高级管理人员全额支付薪酬。</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959" w:top="1340" w:bottom="1160" w:left="1160" w:right="940"/>
        </w:sectPr>
      </w:pPr>
    </w:p>
    <w:p>
      <w:pPr>
        <w:pStyle w:val="Heading6"/>
        <w:spacing w:line="240" w:lineRule="auto" w:before="36"/>
        <w:ind w:left="683" w:right="0"/>
        <w:jc w:val="left"/>
      </w:pPr>
      <w:r>
        <w:rPr>
          <w:spacing w:val="-2"/>
        </w:rPr>
        <w:t>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pStyle w:val="BodyText"/>
        <w:spacing w:line="240" w:lineRule="auto"/>
        <w:ind w:left="683" w:right="0"/>
        <w:jc w:val="left"/>
      </w:pPr>
      <w:r>
        <w:rPr/>
        <w:t>单位：万元</w:t>
      </w:r>
    </w:p>
    <w:p>
      <w:pPr>
        <w:spacing w:after="0" w:line="240" w:lineRule="auto"/>
        <w:jc w:val="left"/>
        <w:sectPr>
          <w:type w:val="continuous"/>
          <w:pgSz w:w="11910" w:h="16840"/>
          <w:pgMar w:top="1580" w:bottom="1140" w:left="1160" w:right="940"/>
          <w:cols w:num="2" w:equalWidth="0">
            <w:col w:w="5310" w:space="2156"/>
            <w:col w:w="2344"/>
          </w:cols>
        </w:sectPr>
      </w:pPr>
    </w:p>
    <w:p>
      <w:pPr>
        <w:spacing w:line="240" w:lineRule="auto" w:before="4"/>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5" w:right="50"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8"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罗争玉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刘爱明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许中缘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李巨龙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监事会召集人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李剑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张桂叶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张建武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陈四清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杨灏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殷明坤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何红渠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方加春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赵伟立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监事会召集人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廖兰芳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陈晶德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喻宇汉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4"/>
              <w:jc w:val="left"/>
              <w:rPr>
                <w:rFonts w:ascii="宋体" w:hAnsi="宋体" w:cs="宋体" w:eastAsia="宋体" w:hint="default"/>
                <w:sz w:val="18"/>
                <w:szCs w:val="18"/>
              </w:rPr>
            </w:pPr>
            <w:r>
              <w:rPr>
                <w:rFonts w:ascii="宋体" w:hAnsi="宋体" w:cs="宋体" w:eastAsia="宋体" w:hint="default"/>
                <w:sz w:val="18"/>
                <w:szCs w:val="18"/>
              </w:rPr>
              <w:t>常务副总裁、董 事会秘书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right="7"/>
              <w:jc w:val="right"/>
              <w:rPr>
                <w:rFonts w:ascii="Times New Roman" w:hAnsi="Times New Roman" w:cs="Times New Roman" w:eastAsia="Times New Roman" w:hint="default"/>
                <w:sz w:val="18"/>
                <w:szCs w:val="18"/>
              </w:rPr>
            </w:pPr>
            <w:r>
              <w:rPr>
                <w:rFonts w:ascii="Times New Roman"/>
                <w:sz w:val="18"/>
              </w:rPr>
              <w:t>330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9"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9"/>
        <w:ind w:left="683" w:right="598"/>
        <w:jc w:val="left"/>
        <w:rPr>
          <w:rFonts w:ascii="Times New Roman" w:hAnsi="Times New Roman" w:cs="Times New Roman" w:eastAsia="Times New Roman" w:hint="default"/>
        </w:rPr>
      </w:pPr>
      <w:r>
        <w:rPr/>
        <w:t>注：上表中高级管理人员张建武先生因</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日任职公司常务副总裁，故不披露张建武先生</w:t>
      </w:r>
      <w:r>
        <w:rPr>
          <w:spacing w:val="-45"/>
        </w:rPr>
        <w:t> </w:t>
      </w:r>
      <w:r>
        <w:rPr>
          <w:rFonts w:ascii="Times New Roman" w:hAnsi="Times New Roman" w:cs="Times New Roman" w:eastAsia="Times New Roman" w:hint="default"/>
        </w:rPr>
        <w:t>2015</w:t>
      </w:r>
    </w:p>
    <w:p>
      <w:pPr>
        <w:pStyle w:val="BodyText"/>
        <w:spacing w:line="240" w:lineRule="auto" w:before="63"/>
        <w:ind w:left="683" w:right="598"/>
        <w:jc w:val="left"/>
      </w:pPr>
      <w:r>
        <w:rPr/>
        <w:t>年度薪酬。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Heading6"/>
        <w:spacing w:line="240" w:lineRule="auto"/>
        <w:ind w:left="683" w:right="598"/>
        <w:jc w:val="left"/>
      </w:pPr>
      <w:r>
        <w:rPr/>
        <w:t>公司董事、监事、高级管理人员报告期内被授予的股权激励情况</w:t>
      </w:r>
    </w:p>
    <w:p>
      <w:pPr>
        <w:spacing w:line="240" w:lineRule="auto" w:before="10"/>
        <w:rPr>
          <w:rFonts w:ascii="宋体" w:hAnsi="宋体" w:cs="宋体" w:eastAsia="宋体" w:hint="default"/>
          <w:sz w:val="14"/>
          <w:szCs w:val="14"/>
        </w:rPr>
      </w:pPr>
    </w:p>
    <w:p>
      <w:pPr>
        <w:pStyle w:val="Heading6"/>
        <w:spacing w:line="240" w:lineRule="auto"/>
        <w:ind w:left="683" w:right="598"/>
        <w:jc w:val="left"/>
      </w:pPr>
      <w:r>
        <w:rPr/>
        <w:t>□适用√不适用</w:t>
      </w:r>
    </w:p>
    <w:p>
      <w:pPr>
        <w:spacing w:line="240" w:lineRule="auto" w:before="11"/>
        <w:rPr>
          <w:rFonts w:ascii="宋体" w:hAnsi="宋体" w:cs="宋体" w:eastAsia="宋体" w:hint="default"/>
          <w:sz w:val="29"/>
          <w:szCs w:val="29"/>
        </w:rPr>
      </w:pPr>
    </w:p>
    <w:p>
      <w:pPr>
        <w:pStyle w:val="Heading3"/>
        <w:spacing w:line="240" w:lineRule="auto"/>
        <w:ind w:right="598"/>
        <w:jc w:val="left"/>
        <w:rPr>
          <w:b w:val="0"/>
          <w:bCs w:val="0"/>
        </w:rPr>
      </w:pPr>
      <w:r>
        <w:rPr/>
        <w:t>五、公司员工情况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683" w:right="598"/>
        <w:jc w:val="left"/>
      </w:pPr>
      <w:r>
        <w:rPr>
          <w:rFonts w:ascii="Times New Roman" w:hAnsi="Times New Roman" w:cs="Times New Roman" w:eastAsia="Times New Roman" w:hint="default"/>
        </w:rPr>
        <w:t>1</w:t>
      </w:r>
      <w:r>
        <w:rPr/>
        <w:t>、按专业结构划分</w:t>
      </w:r>
    </w:p>
    <w:p>
      <w:pPr>
        <w:spacing w:after="0" w:line="240" w:lineRule="auto"/>
        <w:jc w:val="left"/>
        <w:sectPr>
          <w:type w:val="continuous"/>
          <w:pgSz w:w="11910" w:h="16840"/>
          <w:pgMar w:top="1580" w:bottom="1140" w:left="1160" w:right="940"/>
        </w:sectPr>
      </w:pPr>
    </w:p>
    <w:p>
      <w:pPr>
        <w:spacing w:line="240" w:lineRule="auto" w:before="3"/>
        <w:rPr>
          <w:rFonts w:ascii="宋体" w:hAnsi="宋体" w:cs="宋体" w:eastAsia="宋体" w:hint="default"/>
          <w:sz w:val="6"/>
          <w:szCs w:val="6"/>
        </w:rPr>
      </w:pPr>
    </w:p>
    <w:tbl>
      <w:tblPr>
        <w:tblW w:w="0" w:type="auto"/>
        <w:jc w:val="left"/>
        <w:tblInd w:w="156" w:type="dxa"/>
        <w:tblLayout w:type="fixed"/>
        <w:tblCellMar>
          <w:top w:w="0" w:type="dxa"/>
          <w:left w:w="0" w:type="dxa"/>
          <w:bottom w:w="0" w:type="dxa"/>
          <w:right w:w="0" w:type="dxa"/>
        </w:tblCellMar>
        <w:tblLook w:val="01E0"/>
      </w:tblPr>
      <w:tblGrid>
        <w:gridCol w:w="2751"/>
        <w:gridCol w:w="2751"/>
        <w:gridCol w:w="2751"/>
      </w:tblGrid>
      <w:tr>
        <w:trPr>
          <w:trHeight w:val="387" w:hRule="exact"/>
        </w:trPr>
        <w:tc>
          <w:tcPr>
            <w:tcW w:w="27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专业</w:t>
            </w:r>
          </w:p>
        </w:tc>
        <w:tc>
          <w:tcPr>
            <w:tcW w:w="27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7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8"/>
              <w:ind w:left="556" w:right="0"/>
              <w:jc w:val="left"/>
              <w:rPr>
                <w:rFonts w:ascii="宋体" w:hAnsi="宋体" w:cs="宋体" w:eastAsia="宋体" w:hint="default"/>
                <w:sz w:val="18"/>
                <w:szCs w:val="18"/>
              </w:rPr>
            </w:pPr>
            <w:r>
              <w:rPr>
                <w:rFonts w:ascii="宋体" w:hAnsi="宋体" w:cs="宋体" w:eastAsia="宋体" w:hint="default"/>
                <w:sz w:val="18"/>
                <w:szCs w:val="18"/>
              </w:rPr>
              <w:t>占员工总人数的比例</w:t>
            </w:r>
          </w:p>
        </w:tc>
      </w:tr>
      <w:tr>
        <w:trPr>
          <w:trHeight w:val="386"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综合管理人员</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43</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9.03%</w:t>
            </w:r>
          </w:p>
        </w:tc>
      </w:tr>
      <w:tr>
        <w:trPr>
          <w:trHeight w:val="389"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策划人员</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84</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17.65%</w:t>
            </w:r>
          </w:p>
        </w:tc>
      </w:tr>
      <w:tr>
        <w:trPr>
          <w:trHeight w:val="386"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66</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13.87%</w:t>
            </w:r>
          </w:p>
        </w:tc>
      </w:tr>
      <w:tr>
        <w:trPr>
          <w:trHeight w:val="386"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游戏开发项目组人员</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 w:right="0"/>
              <w:jc w:val="left"/>
              <w:rPr>
                <w:rFonts w:ascii="Calibri" w:hAnsi="Calibri" w:cs="Calibri" w:eastAsia="Calibri" w:hint="default"/>
                <w:sz w:val="18"/>
                <w:szCs w:val="18"/>
              </w:rPr>
            </w:pPr>
            <w:r>
              <w:rPr>
                <w:rFonts w:ascii="Calibri"/>
                <w:sz w:val="18"/>
              </w:rPr>
              <w:t>111</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23.32%</w:t>
            </w:r>
          </w:p>
        </w:tc>
      </w:tr>
      <w:tr>
        <w:trPr>
          <w:trHeight w:val="386"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市场人员</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 w:right="0"/>
              <w:jc w:val="left"/>
              <w:rPr>
                <w:rFonts w:ascii="Calibri" w:hAnsi="Calibri" w:cs="Calibri" w:eastAsia="Calibri" w:hint="default"/>
                <w:sz w:val="18"/>
                <w:szCs w:val="18"/>
              </w:rPr>
            </w:pPr>
            <w:r>
              <w:rPr>
                <w:rFonts w:ascii="Calibri"/>
                <w:sz w:val="18"/>
              </w:rPr>
              <w:t>12</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2.52%</w:t>
            </w:r>
          </w:p>
        </w:tc>
      </w:tr>
      <w:tr>
        <w:trPr>
          <w:trHeight w:val="389"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技术质控人员</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 w:right="0"/>
              <w:jc w:val="left"/>
              <w:rPr>
                <w:rFonts w:ascii="Calibri" w:hAnsi="Calibri" w:cs="Calibri" w:eastAsia="Calibri" w:hint="default"/>
                <w:sz w:val="18"/>
                <w:szCs w:val="18"/>
              </w:rPr>
            </w:pPr>
            <w:r>
              <w:rPr>
                <w:rFonts w:ascii="Calibri"/>
                <w:sz w:val="18"/>
              </w:rPr>
              <w:t>21</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4.41%</w:t>
            </w:r>
          </w:p>
        </w:tc>
      </w:tr>
      <w:tr>
        <w:trPr>
          <w:trHeight w:val="386"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25</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5.25%</w:t>
            </w:r>
          </w:p>
        </w:tc>
      </w:tr>
      <w:tr>
        <w:trPr>
          <w:trHeight w:val="387" w:hRule="exact"/>
        </w:trPr>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行政后勤人员</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114</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23.95%</w:t>
            </w:r>
          </w:p>
        </w:tc>
      </w:tr>
      <w:tr>
        <w:trPr>
          <w:trHeight w:val="389" w:hRule="exact"/>
        </w:trPr>
        <w:tc>
          <w:tcPr>
            <w:tcW w:w="27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476</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6"/>
        <w:rPr>
          <w:rFonts w:ascii="宋体" w:hAnsi="宋体" w:cs="宋体" w:eastAsia="宋体" w:hint="default"/>
          <w:sz w:val="5"/>
          <w:szCs w:val="5"/>
        </w:rPr>
      </w:pPr>
    </w:p>
    <w:p>
      <w:pPr>
        <w:pStyle w:val="Heading6"/>
        <w:spacing w:line="240" w:lineRule="auto" w:before="36"/>
        <w:ind w:right="0"/>
        <w:jc w:val="left"/>
      </w:pPr>
      <w:r>
        <w:rPr>
          <w:rFonts w:ascii="Times New Roman" w:hAnsi="Times New Roman" w:cs="Times New Roman" w:eastAsia="Times New Roman" w:hint="default"/>
        </w:rPr>
        <w:t>2</w:t>
      </w:r>
      <w:r>
        <w:rPr/>
        <w:t>、按受教育程度划分</w:t>
      </w:r>
    </w:p>
    <w:p>
      <w:pPr>
        <w:spacing w:line="240" w:lineRule="auto" w:before="10"/>
        <w:rPr>
          <w:rFonts w:ascii="宋体" w:hAnsi="宋体" w:cs="宋体" w:eastAsia="宋体" w:hint="default"/>
          <w:sz w:val="11"/>
          <w:szCs w:val="11"/>
        </w:rPr>
      </w:pPr>
    </w:p>
    <w:tbl>
      <w:tblPr>
        <w:tblW w:w="0" w:type="auto"/>
        <w:jc w:val="left"/>
        <w:tblInd w:w="156" w:type="dxa"/>
        <w:tblLayout w:type="fixed"/>
        <w:tblCellMar>
          <w:top w:w="0" w:type="dxa"/>
          <w:left w:w="0" w:type="dxa"/>
          <w:bottom w:w="0" w:type="dxa"/>
          <w:right w:w="0" w:type="dxa"/>
        </w:tblCellMar>
        <w:tblLook w:val="01E0"/>
      </w:tblPr>
      <w:tblGrid>
        <w:gridCol w:w="2737"/>
        <w:gridCol w:w="2736"/>
        <w:gridCol w:w="2737"/>
      </w:tblGrid>
      <w:tr>
        <w:trPr>
          <w:trHeight w:val="386" w:hRule="exact"/>
        </w:trPr>
        <w:tc>
          <w:tcPr>
            <w:tcW w:w="27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受教育程度</w:t>
            </w:r>
          </w:p>
        </w:tc>
        <w:tc>
          <w:tcPr>
            <w:tcW w:w="27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7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549" w:right="0"/>
              <w:jc w:val="left"/>
              <w:rPr>
                <w:rFonts w:ascii="宋体" w:hAnsi="宋体" w:cs="宋体" w:eastAsia="宋体" w:hint="default"/>
                <w:sz w:val="18"/>
                <w:szCs w:val="18"/>
              </w:rPr>
            </w:pPr>
            <w:r>
              <w:rPr>
                <w:rFonts w:ascii="宋体" w:hAnsi="宋体" w:cs="宋体" w:eastAsia="宋体" w:hint="default"/>
                <w:sz w:val="18"/>
                <w:szCs w:val="18"/>
              </w:rPr>
              <w:t>占员工总人数的比例</w:t>
            </w:r>
          </w:p>
        </w:tc>
      </w:tr>
      <w:tr>
        <w:trPr>
          <w:trHeight w:val="386" w:hRule="exact"/>
        </w:trPr>
        <w:tc>
          <w:tcPr>
            <w:tcW w:w="2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24</w:t>
            </w:r>
          </w:p>
        </w:tc>
        <w:tc>
          <w:tcPr>
            <w:tcW w:w="2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5.04%</w:t>
            </w:r>
          </w:p>
        </w:tc>
      </w:tr>
      <w:tr>
        <w:trPr>
          <w:trHeight w:val="386" w:hRule="exact"/>
        </w:trPr>
        <w:tc>
          <w:tcPr>
            <w:tcW w:w="2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217</w:t>
            </w:r>
          </w:p>
        </w:tc>
        <w:tc>
          <w:tcPr>
            <w:tcW w:w="2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45.59%</w:t>
            </w:r>
          </w:p>
        </w:tc>
      </w:tr>
      <w:tr>
        <w:trPr>
          <w:trHeight w:val="389" w:hRule="exact"/>
        </w:trPr>
        <w:tc>
          <w:tcPr>
            <w:tcW w:w="2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179</w:t>
            </w:r>
          </w:p>
        </w:tc>
        <w:tc>
          <w:tcPr>
            <w:tcW w:w="2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37.61%</w:t>
            </w:r>
          </w:p>
        </w:tc>
      </w:tr>
      <w:tr>
        <w:trPr>
          <w:trHeight w:val="386" w:hRule="exact"/>
        </w:trPr>
        <w:tc>
          <w:tcPr>
            <w:tcW w:w="2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56</w:t>
            </w:r>
          </w:p>
        </w:tc>
        <w:tc>
          <w:tcPr>
            <w:tcW w:w="2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11.76%</w:t>
            </w:r>
          </w:p>
        </w:tc>
      </w:tr>
      <w:tr>
        <w:trPr>
          <w:trHeight w:val="387" w:hRule="exact"/>
        </w:trPr>
        <w:tc>
          <w:tcPr>
            <w:tcW w:w="27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476</w:t>
            </w:r>
          </w:p>
        </w:tc>
        <w:tc>
          <w:tcPr>
            <w:tcW w:w="2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6"/>
        <w:spacing w:line="240" w:lineRule="auto" w:before="36"/>
        <w:ind w:right="0"/>
        <w:jc w:val="left"/>
      </w:pPr>
      <w:r>
        <w:rPr>
          <w:rFonts w:ascii="Times New Roman" w:hAnsi="Times New Roman" w:cs="Times New Roman" w:eastAsia="Times New Roman" w:hint="default"/>
        </w:rPr>
        <w:t>3</w:t>
      </w:r>
      <w:r>
        <w:rPr/>
        <w:t>、按年龄划分</w:t>
      </w:r>
    </w:p>
    <w:p>
      <w:pPr>
        <w:spacing w:line="240" w:lineRule="auto" w:before="10"/>
        <w:rPr>
          <w:rFonts w:ascii="宋体" w:hAnsi="宋体" w:cs="宋体" w:eastAsia="宋体" w:hint="default"/>
          <w:sz w:val="11"/>
          <w:szCs w:val="11"/>
        </w:rPr>
      </w:pPr>
    </w:p>
    <w:tbl>
      <w:tblPr>
        <w:tblW w:w="0" w:type="auto"/>
        <w:jc w:val="left"/>
        <w:tblInd w:w="156" w:type="dxa"/>
        <w:tblLayout w:type="fixed"/>
        <w:tblCellMar>
          <w:top w:w="0" w:type="dxa"/>
          <w:left w:w="0" w:type="dxa"/>
          <w:bottom w:w="0" w:type="dxa"/>
          <w:right w:w="0" w:type="dxa"/>
        </w:tblCellMar>
        <w:tblLook w:val="01E0"/>
      </w:tblPr>
      <w:tblGrid>
        <w:gridCol w:w="2725"/>
        <w:gridCol w:w="2727"/>
        <w:gridCol w:w="2727"/>
      </w:tblGrid>
      <w:tr>
        <w:trPr>
          <w:trHeight w:val="372" w:hRule="exact"/>
        </w:trPr>
        <w:tc>
          <w:tcPr>
            <w:tcW w:w="27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1174"/>
              <w:jc w:val="right"/>
              <w:rPr>
                <w:rFonts w:ascii="宋体" w:hAnsi="宋体" w:cs="宋体" w:eastAsia="宋体" w:hint="default"/>
                <w:sz w:val="18"/>
                <w:szCs w:val="18"/>
              </w:rPr>
            </w:pPr>
            <w:r>
              <w:rPr>
                <w:rFonts w:ascii="宋体" w:hAnsi="宋体" w:cs="宋体" w:eastAsia="宋体" w:hint="default"/>
                <w:sz w:val="18"/>
                <w:szCs w:val="18"/>
              </w:rPr>
              <w:t>年龄</w:t>
            </w:r>
          </w:p>
        </w:tc>
        <w:tc>
          <w:tcPr>
            <w:tcW w:w="27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7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占员工总人数的比例</w:t>
            </w:r>
          </w:p>
        </w:tc>
      </w:tr>
      <w:tr>
        <w:trPr>
          <w:trHeight w:val="403"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岁以上</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left"/>
              <w:rPr>
                <w:rFonts w:ascii="Times New Roman" w:hAnsi="Times New Roman" w:cs="Times New Roman" w:eastAsia="Times New Roman" w:hint="default"/>
                <w:sz w:val="18"/>
                <w:szCs w:val="18"/>
              </w:rPr>
            </w:pPr>
            <w:r>
              <w:rPr>
                <w:rFonts w:ascii="Times New Roman"/>
                <w:sz w:val="18"/>
              </w:rPr>
              <w:t>17</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left"/>
              <w:rPr>
                <w:rFonts w:ascii="Times New Roman" w:hAnsi="Times New Roman" w:cs="Times New Roman" w:eastAsia="Times New Roman" w:hint="default"/>
                <w:sz w:val="18"/>
                <w:szCs w:val="18"/>
              </w:rPr>
            </w:pPr>
            <w:r>
              <w:rPr>
                <w:rFonts w:ascii="Times New Roman"/>
                <w:sz w:val="18"/>
              </w:rPr>
              <w:t>3.57%</w:t>
            </w:r>
          </w:p>
        </w:tc>
      </w:tr>
      <w:tr>
        <w:trPr>
          <w:trHeight w:val="386"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30-49</w:t>
            </w:r>
            <w:r>
              <w:rPr>
                <w:rFonts w:ascii="宋体" w:hAnsi="宋体" w:cs="宋体" w:eastAsia="宋体" w:hint="default"/>
                <w:sz w:val="18"/>
                <w:szCs w:val="18"/>
              </w:rPr>
              <w:t>岁</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z w:val="18"/>
                <w:szCs w:val="18"/>
              </w:rPr>
              <w:t>)</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183</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38.45%</w:t>
            </w:r>
          </w:p>
        </w:tc>
      </w:tr>
      <w:tr>
        <w:trPr>
          <w:trHeight w:val="386" w:hRule="exact"/>
        </w:trPr>
        <w:tc>
          <w:tcPr>
            <w:tcW w:w="2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宋体" w:hAnsi="宋体" w:cs="宋体" w:eastAsia="宋体" w:hint="default"/>
                <w:sz w:val="18"/>
                <w:szCs w:val="18"/>
              </w:rPr>
              <w:t>岁</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z w:val="18"/>
                <w:szCs w:val="18"/>
              </w:rPr>
              <w:t>)</w:t>
            </w:r>
            <w:r>
              <w:rPr>
                <w:rFonts w:ascii="宋体" w:hAnsi="宋体" w:cs="宋体" w:eastAsia="宋体" w:hint="default"/>
                <w:sz w:val="18"/>
                <w:szCs w:val="18"/>
              </w:rPr>
              <w:t>以下</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276</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57.98%</w:t>
            </w:r>
          </w:p>
        </w:tc>
      </w:tr>
      <w:tr>
        <w:trPr>
          <w:trHeight w:val="389" w:hRule="exact"/>
        </w:trPr>
        <w:tc>
          <w:tcPr>
            <w:tcW w:w="27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1174"/>
              <w:jc w:val="right"/>
              <w:rPr>
                <w:rFonts w:ascii="宋体" w:hAnsi="宋体" w:cs="宋体" w:eastAsia="宋体" w:hint="default"/>
                <w:sz w:val="18"/>
                <w:szCs w:val="18"/>
              </w:rPr>
            </w:pPr>
            <w:r>
              <w:rPr>
                <w:rFonts w:ascii="宋体" w:hAnsi="宋体" w:cs="宋体" w:eastAsia="宋体" w:hint="default"/>
                <w:sz w:val="18"/>
                <w:szCs w:val="18"/>
              </w:rPr>
              <w:t>合计</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476</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4"/>
        <w:rPr>
          <w:rFonts w:ascii="宋体" w:hAnsi="宋体" w:cs="宋体" w:eastAsia="宋体" w:hint="default"/>
          <w:sz w:val="23"/>
          <w:szCs w:val="23"/>
        </w:rPr>
      </w:pPr>
    </w:p>
    <w:p>
      <w:pPr>
        <w:pStyle w:val="Heading6"/>
        <w:spacing w:line="240" w:lineRule="auto" w:before="36"/>
        <w:ind w:right="0"/>
        <w:jc w:val="left"/>
      </w:pPr>
      <w:r>
        <w:rPr/>
        <w:t>企业薪酬成本情况</w:t>
      </w:r>
    </w:p>
    <w:p>
      <w:pPr>
        <w:spacing w:line="240" w:lineRule="auto" w:before="10"/>
        <w:rPr>
          <w:rFonts w:ascii="宋体" w:hAnsi="宋体" w:cs="宋体" w:eastAsia="宋体" w:hint="default"/>
          <w:sz w:val="6"/>
          <w:szCs w:val="6"/>
        </w:rPr>
      </w:pPr>
    </w:p>
    <w:tbl>
      <w:tblPr>
        <w:tblW w:w="0" w:type="auto"/>
        <w:jc w:val="left"/>
        <w:tblInd w:w="170" w:type="dxa"/>
        <w:tblLayout w:type="fixed"/>
        <w:tblCellMar>
          <w:top w:w="0" w:type="dxa"/>
          <w:left w:w="0" w:type="dxa"/>
          <w:bottom w:w="0" w:type="dxa"/>
          <w:right w:w="0" w:type="dxa"/>
        </w:tblCellMar>
        <w:tblLook w:val="01E0"/>
      </w:tblPr>
      <w:tblGrid>
        <w:gridCol w:w="2993"/>
        <w:gridCol w:w="5219"/>
      </w:tblGrid>
      <w:tr>
        <w:trPr>
          <w:trHeight w:val="362" w:hRule="exact"/>
        </w:trPr>
        <w:tc>
          <w:tcPr>
            <w:tcW w:w="2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62" w:hRule="exact"/>
        </w:trPr>
        <w:tc>
          <w:tcPr>
            <w:tcW w:w="2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5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476</w:t>
            </w:r>
          </w:p>
        </w:tc>
      </w:tr>
      <w:tr>
        <w:trPr>
          <w:trHeight w:val="362" w:hRule="exact"/>
        </w:trPr>
        <w:tc>
          <w:tcPr>
            <w:tcW w:w="2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当期总体薪酬发生额（万元）</w:t>
            </w:r>
          </w:p>
        </w:tc>
        <w:tc>
          <w:tcPr>
            <w:tcW w:w="5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7,082.62</w:t>
            </w:r>
          </w:p>
        </w:tc>
      </w:tr>
      <w:tr>
        <w:trPr>
          <w:trHeight w:val="362" w:hRule="exact"/>
        </w:trPr>
        <w:tc>
          <w:tcPr>
            <w:tcW w:w="2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总体薪酬占当期营业收入比例</w:t>
            </w:r>
          </w:p>
        </w:tc>
        <w:tc>
          <w:tcPr>
            <w:tcW w:w="5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13.01%</w:t>
            </w:r>
          </w:p>
        </w:tc>
      </w:tr>
      <w:tr>
        <w:trPr>
          <w:trHeight w:val="360" w:hRule="exact"/>
        </w:trPr>
        <w:tc>
          <w:tcPr>
            <w:tcW w:w="2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高管人均薪酬金额（万元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30</w:t>
            </w:r>
          </w:p>
        </w:tc>
      </w:tr>
      <w:tr>
        <w:trPr>
          <w:trHeight w:val="362" w:hRule="exact"/>
        </w:trPr>
        <w:tc>
          <w:tcPr>
            <w:tcW w:w="2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所有员工人均薪酬金额（万元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14.88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9" w:top="1340" w:bottom="1160" w:left="1680" w:right="1680"/>
        </w:sectPr>
      </w:pPr>
    </w:p>
    <w:p>
      <w:pPr>
        <w:spacing w:line="240" w:lineRule="auto" w:before="6"/>
        <w:rPr>
          <w:rFonts w:ascii="宋体" w:hAnsi="宋体" w:cs="宋体" w:eastAsia="宋体" w:hint="default"/>
          <w:sz w:val="19"/>
          <w:szCs w:val="19"/>
        </w:rPr>
      </w:pPr>
    </w:p>
    <w:p>
      <w:pPr>
        <w:pStyle w:val="Heading1"/>
        <w:spacing w:line="240" w:lineRule="auto"/>
        <w:ind w:right="3225"/>
        <w:jc w:val="center"/>
        <w:rPr>
          <w:b w:val="0"/>
          <w:bCs w:val="0"/>
        </w:rPr>
      </w:pPr>
      <w:bookmarkStart w:name="_TOC_250001" w:id="9"/>
      <w:r>
        <w:rPr/>
        <w:t>第九节公司治理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left="120" w:right="0"/>
        <w:jc w:val="both"/>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Heading6"/>
        <w:spacing w:line="386" w:lineRule="auto"/>
        <w:ind w:left="540" w:right="0"/>
        <w:jc w:val="left"/>
      </w:pPr>
      <w:r>
        <w:rPr>
          <w:rFonts w:ascii="Times New Roman" w:hAnsi="Times New Roman" w:cs="Times New Roman" w:eastAsia="Times New Roman" w:hint="default"/>
        </w:rPr>
        <w:t>1</w:t>
      </w:r>
      <w:r>
        <w:rPr/>
        <w:t>．治理结构</w:t>
      </w:r>
      <w:r>
        <w:rPr>
          <w:w w:val="100"/>
        </w:rPr>
        <w:t> </w:t>
      </w:r>
      <w:r>
        <w:rPr>
          <w:spacing w:val="-15"/>
          <w:w w:val="100"/>
        </w:rPr>
        <w:t>公司按《公司法》、《证券法》、《上市公司章程指引》等法律法规的要求，建立起规范的</w:t>
      </w:r>
    </w:p>
    <w:p>
      <w:pPr>
        <w:pStyle w:val="Heading6"/>
        <w:spacing w:line="408" w:lineRule="auto" w:before="65"/>
        <w:ind w:left="120" w:right="211"/>
        <w:jc w:val="both"/>
      </w:pPr>
      <w:r>
        <w:rPr>
          <w:spacing w:val="-4"/>
        </w:rPr>
        <w:t>公司治理结构和议事规则，明确了决策、执行、监督等方面的职责权限；公司法人治理结构</w:t>
      </w:r>
      <w:r>
        <w:rPr>
          <w:spacing w:val="-45"/>
        </w:rPr>
        <w:t> </w:t>
      </w:r>
      <w:r>
        <w:rPr>
          <w:spacing w:val="-45"/>
        </w:rPr>
      </w:r>
      <w:r>
        <w:rPr>
          <w:spacing w:val="-4"/>
        </w:rPr>
        <w:t>健全，形成了科学有效的职责分工和制衡机制；股东大会的召集、召开，完全符合《公司章</w:t>
      </w:r>
      <w:r>
        <w:rPr>
          <w:spacing w:val="-45"/>
        </w:rPr>
        <w:t> </w:t>
      </w:r>
      <w:r>
        <w:rPr>
          <w:spacing w:val="-45"/>
        </w:rPr>
      </w:r>
      <w:r>
        <w:rPr>
          <w:spacing w:val="-9"/>
          <w:w w:val="100"/>
        </w:rPr>
        <w:t>程》、《股东大会议事规则》的要求和规定；对于公司的重大关联交易及其它重大事项，公司</w:t>
      </w:r>
      <w:r>
        <w:rPr>
          <w:spacing w:val="-98"/>
          <w:w w:val="100"/>
        </w:rPr>
        <w:t> </w:t>
      </w:r>
      <w:r>
        <w:rPr>
          <w:spacing w:val="-98"/>
          <w:w w:val="100"/>
        </w:rPr>
      </w:r>
      <w:r>
        <w:rPr>
          <w:spacing w:val="-4"/>
        </w:rPr>
        <w:t>的独立董事均发表了专项意见；公司与关联方签订了相关的书面协议，并及时进行了信息披</w:t>
      </w:r>
      <w:r>
        <w:rPr>
          <w:spacing w:val="-44"/>
        </w:rPr>
        <w:t> </w:t>
      </w:r>
      <w:r>
        <w:rPr>
          <w:spacing w:val="-44"/>
        </w:rPr>
      </w:r>
      <w:r>
        <w:rPr/>
        <w:t>露。</w:t>
      </w:r>
    </w:p>
    <w:p>
      <w:pPr>
        <w:pStyle w:val="Heading6"/>
        <w:spacing w:line="408" w:lineRule="auto" w:before="46"/>
        <w:ind w:left="120" w:right="211" w:firstLine="419"/>
        <w:jc w:val="both"/>
      </w:pPr>
      <w:r>
        <w:rPr>
          <w:spacing w:val="-4"/>
        </w:rPr>
        <w:t>关于控股股东和上市公司。公司与控股股东在人员、资产、财务方面完全分开，公司经</w:t>
      </w:r>
      <w:r>
        <w:rPr>
          <w:w w:val="100"/>
        </w:rPr>
        <w:t> </w:t>
      </w:r>
      <w:r>
        <w:rPr>
          <w:spacing w:val="-4"/>
        </w:rPr>
        <w:t>营业务、机构运作、财务核算独立并独立承担经营责任和风险；公司董事会、监事会和内部</w:t>
      </w:r>
      <w:r>
        <w:rPr>
          <w:spacing w:val="-47"/>
        </w:rPr>
        <w:t> </w:t>
      </w:r>
      <w:r>
        <w:rPr>
          <w:spacing w:val="-47"/>
        </w:rPr>
      </w:r>
      <w:r>
        <w:rPr/>
        <w:t>管理机构独立运作，确保公司重大决策能够按照法定程序和规范要求作出。</w:t>
      </w:r>
    </w:p>
    <w:p>
      <w:pPr>
        <w:pStyle w:val="Heading6"/>
        <w:spacing w:line="400" w:lineRule="auto" w:before="46"/>
        <w:ind w:left="120" w:right="0" w:firstLine="419"/>
        <w:jc w:val="left"/>
      </w:pPr>
      <w:r>
        <w:rPr>
          <w:spacing w:val="-4"/>
        </w:rPr>
        <w:t>关于董事及董事会。公司</w:t>
      </w:r>
      <w:r>
        <w:rPr>
          <w:rFonts w:ascii="Times New Roman" w:hAnsi="Times New Roman" w:cs="Times New Roman" w:eastAsia="Times New Roman" w:hint="default"/>
          <w:spacing w:val="-4"/>
        </w:rPr>
        <w:t>5</w:t>
      </w:r>
      <w:r>
        <w:rPr>
          <w:spacing w:val="-4"/>
        </w:rPr>
        <w:t>名董事，其中包括</w:t>
      </w:r>
      <w:r>
        <w:rPr>
          <w:rFonts w:ascii="Times New Roman" w:hAnsi="Times New Roman" w:cs="Times New Roman" w:eastAsia="Times New Roman" w:hint="default"/>
          <w:spacing w:val="-4"/>
        </w:rPr>
        <w:t>2</w:t>
      </w:r>
      <w:r>
        <w:rPr>
          <w:spacing w:val="-4"/>
        </w:rPr>
        <w:t>名独立董事；董事会成员结构合理，公司</w:t>
      </w:r>
      <w:r>
        <w:rPr>
          <w:w w:val="100"/>
        </w:rPr>
        <w:t> </w:t>
      </w:r>
      <w:r>
        <w:rPr>
          <w:spacing w:val="-2"/>
        </w:rPr>
        <w:t>董事选聘程序规范、透明，董事选聘过程公开、公平、公正、独立，董事资料真实、完整，</w:t>
      </w:r>
      <w:r>
        <w:rPr>
          <w:spacing w:val="-31"/>
        </w:rPr>
        <w:t> </w:t>
      </w:r>
      <w:r>
        <w:rPr>
          <w:spacing w:val="-31"/>
        </w:rPr>
      </w:r>
      <w:r>
        <w:rPr>
          <w:spacing w:val="-2"/>
        </w:rPr>
        <w:t>董事人选事前均获得有关组织和本人的同意，并有书面承诺；公司董事会下设战略委员会、</w:t>
      </w:r>
      <w:r>
        <w:rPr>
          <w:spacing w:val="-31"/>
        </w:rPr>
        <w:t> </w:t>
      </w:r>
      <w:r>
        <w:rPr>
          <w:spacing w:val="-31"/>
        </w:rPr>
      </w:r>
      <w:r>
        <w:rPr>
          <w:spacing w:val="-12"/>
          <w:w w:val="100"/>
        </w:rPr>
        <w:t>审计委员会、提名和薪酬考核委员会等三个专门委员会，制定了公司《战略委员会议事规则》、</w:t>
      </w:r>
    </w:p>
    <w:p>
      <w:pPr>
        <w:pStyle w:val="Heading6"/>
        <w:spacing w:line="408" w:lineRule="auto" w:before="52"/>
        <w:ind w:left="120" w:right="223"/>
        <w:jc w:val="both"/>
      </w:pPr>
      <w:r>
        <w:rPr>
          <w:spacing w:val="-9"/>
          <w:w w:val="100"/>
        </w:rPr>
        <w:t>《审计委员会议事规则》、《提名和薪酬考核委员会议事规则》，各委员会发挥了各自的工作</w:t>
      </w:r>
      <w:r>
        <w:rPr>
          <w:w w:val="100"/>
        </w:rPr>
        <w:t> </w:t>
      </w:r>
      <w:r>
        <w:rPr/>
        <w:t>职能，确保公司董事会公正、科学、高效决策，充分履行董事会各项职能。</w:t>
      </w:r>
    </w:p>
    <w:p>
      <w:pPr>
        <w:pStyle w:val="Heading6"/>
        <w:spacing w:line="408" w:lineRule="auto" w:before="46"/>
        <w:ind w:left="120" w:right="211" w:firstLine="419"/>
        <w:jc w:val="both"/>
      </w:pPr>
      <w:r>
        <w:rPr>
          <w:spacing w:val="-4"/>
        </w:rPr>
        <w:t>关于监事和监事会。公司监事会成员都具有相关专业知识和工作经验；监事会根据公司</w:t>
      </w:r>
      <w:r>
        <w:rPr>
          <w:w w:val="100"/>
        </w:rPr>
        <w:t> </w:t>
      </w:r>
      <w:r>
        <w:rPr>
          <w:spacing w:val="-4"/>
        </w:rPr>
        <w:t>章程赋予的职权，独立有效地监督公司董事和高级管理人员的履职行为、公司财务等；列席</w:t>
      </w:r>
      <w:r>
        <w:rPr>
          <w:spacing w:val="-47"/>
        </w:rPr>
        <w:t> </w:t>
      </w:r>
      <w:r>
        <w:rPr>
          <w:spacing w:val="-47"/>
        </w:rPr>
      </w:r>
      <w:r>
        <w:rPr/>
        <w:t>董事会会议，并对董事会提出相关建议和意见。</w:t>
      </w:r>
    </w:p>
    <w:p>
      <w:pPr>
        <w:pStyle w:val="Heading6"/>
        <w:spacing w:line="408" w:lineRule="auto" w:before="46"/>
        <w:ind w:left="120" w:right="211" w:firstLine="419"/>
        <w:jc w:val="both"/>
      </w:pPr>
      <w:r>
        <w:rPr>
          <w:spacing w:val="-4"/>
        </w:rPr>
        <w:t>关于公司利益相关者。公司充分尊重和维护员工、供应商、销售商、社区等利益相关者</w:t>
      </w:r>
      <w:r>
        <w:rPr>
          <w:w w:val="100"/>
        </w:rPr>
        <w:t> </w:t>
      </w:r>
      <w:r>
        <w:rPr/>
        <w:t>的合法权利，与他们积极合作，共同推进公司持续、健康、稳定地发展。</w:t>
      </w:r>
    </w:p>
    <w:p>
      <w:pPr>
        <w:pStyle w:val="Heading6"/>
        <w:spacing w:line="408" w:lineRule="auto" w:before="46"/>
        <w:ind w:left="120" w:right="211" w:firstLine="419"/>
        <w:jc w:val="both"/>
      </w:pPr>
      <w:r>
        <w:rPr>
          <w:spacing w:val="-4"/>
        </w:rPr>
        <w:t>关于信息披露与投资者关系管理。公司建立了有专人负责的投资者关系管理制度，能及</w:t>
      </w:r>
      <w:r>
        <w:rPr>
          <w:w w:val="100"/>
        </w:rPr>
        <w:t> </w:t>
      </w:r>
      <w:r>
        <w:rPr>
          <w:spacing w:val="-4"/>
        </w:rPr>
        <w:t>时为股东及其他投资者提供服务，接待股东来访和接收投资者的咨询；为了强化公司信息披</w:t>
      </w:r>
      <w:r>
        <w:rPr>
          <w:spacing w:val="-44"/>
        </w:rPr>
        <w:t> </w:t>
      </w:r>
      <w:r>
        <w:rPr>
          <w:spacing w:val="-44"/>
        </w:rPr>
      </w:r>
      <w:r>
        <w:rPr/>
        <w:t>露工作，增加公司透明度，公司指定董事会秘书负责信息披露。</w:t>
      </w:r>
    </w:p>
    <w:p>
      <w:pPr>
        <w:pStyle w:val="Heading6"/>
        <w:spacing w:line="240" w:lineRule="auto" w:before="46"/>
        <w:ind w:left="540" w:right="0"/>
        <w:jc w:val="left"/>
      </w:pPr>
      <w:r>
        <w:rPr>
          <w:rFonts w:ascii="Times New Roman" w:hAnsi="Times New Roman" w:cs="Times New Roman" w:eastAsia="Times New Roman" w:hint="default"/>
        </w:rPr>
        <w:t>2</w:t>
      </w:r>
      <w:r>
        <w:rPr/>
        <w:t>．机构设置与职权分配</w:t>
      </w:r>
    </w:p>
    <w:p>
      <w:pPr>
        <w:spacing w:after="0" w:line="240" w:lineRule="auto"/>
        <w:jc w:val="left"/>
        <w:sectPr>
          <w:pgSz w:w="11910" w:h="16840"/>
          <w:pgMar w:header="0" w:footer="959" w:top="1580" w:bottom="1160" w:left="1680" w:right="1580"/>
        </w:sectPr>
      </w:pPr>
    </w:p>
    <w:p>
      <w:pPr>
        <w:pStyle w:val="Heading6"/>
        <w:spacing w:line="408" w:lineRule="auto" w:before="6"/>
        <w:ind w:left="120" w:right="111" w:firstLine="419"/>
        <w:jc w:val="both"/>
      </w:pPr>
      <w:r>
        <w:rPr>
          <w:spacing w:val="-4"/>
        </w:rPr>
        <w:t>公司目前设置了董事会秘书处、人力资源部、办公室、财务部、审计部、运营部等管理</w:t>
      </w:r>
      <w:r>
        <w:rPr>
          <w:w w:val="100"/>
        </w:rPr>
        <w:t> </w:t>
      </w:r>
      <w:r>
        <w:rPr>
          <w:spacing w:val="-4"/>
        </w:rPr>
        <w:t>职能部门。各部门按照独立运行、相互制衡的原则，通过相应的岗位职责，使各部门职能明</w:t>
      </w:r>
      <w:r>
        <w:rPr>
          <w:spacing w:val="-46"/>
        </w:rPr>
        <w:t> </w:t>
      </w:r>
      <w:r>
        <w:rPr>
          <w:spacing w:val="-46"/>
        </w:rPr>
      </w:r>
      <w:r>
        <w:rPr/>
        <w:t>确、权责明晰、能有效执行公司管理层的各项决策。</w:t>
      </w:r>
    </w:p>
    <w:p>
      <w:pPr>
        <w:pStyle w:val="Heading6"/>
        <w:spacing w:line="408" w:lineRule="auto" w:before="46"/>
        <w:ind w:left="120" w:right="111" w:firstLine="419"/>
        <w:jc w:val="both"/>
      </w:pPr>
      <w:r>
        <w:rPr>
          <w:spacing w:val="-4"/>
        </w:rPr>
        <w:t>公司对子（分）公司的经营、资金、人员、财务等重大方面，按照法律法规及其公司章</w:t>
      </w:r>
      <w:r>
        <w:rPr>
          <w:w w:val="100"/>
        </w:rPr>
        <w:t> </w:t>
      </w:r>
      <w:r>
        <w:rPr/>
        <w:t>程的规定，通过制度规范、考核和审计监管相结合，使公司的经营工作有效的延伸。</w:t>
      </w:r>
    </w:p>
    <w:p>
      <w:pPr>
        <w:pStyle w:val="Heading6"/>
        <w:spacing w:line="386" w:lineRule="auto" w:before="46"/>
        <w:ind w:left="540" w:right="0"/>
        <w:jc w:val="left"/>
      </w:pPr>
      <w:r>
        <w:rPr>
          <w:rFonts w:ascii="Times New Roman" w:hAnsi="Times New Roman" w:cs="Times New Roman" w:eastAsia="Times New Roman" w:hint="default"/>
        </w:rPr>
        <w:t>3</w:t>
      </w:r>
      <w:r>
        <w:rPr/>
        <w:t>．内部审计</w:t>
      </w:r>
      <w:r>
        <w:rPr>
          <w:w w:val="100"/>
        </w:rPr>
        <w:t> </w:t>
      </w:r>
      <w:r>
        <w:rPr>
          <w:spacing w:val="-4"/>
        </w:rPr>
        <w:t>公司在董事会下设立审计委员会，负责审查公司内部控制，监督内部控制的有效实施和</w:t>
      </w:r>
    </w:p>
    <w:p>
      <w:pPr>
        <w:pStyle w:val="Heading6"/>
        <w:spacing w:line="408" w:lineRule="auto" w:before="65"/>
        <w:ind w:left="540" w:right="0" w:hanging="420"/>
        <w:jc w:val="left"/>
      </w:pPr>
      <w:r>
        <w:rPr/>
        <w:t>内部控制自我评价情况，协调内部控制审计及其他相关事宜等。</w:t>
      </w:r>
      <w:r>
        <w:rPr>
          <w:w w:val="100"/>
        </w:rPr>
        <w:t> </w:t>
      </w:r>
      <w:r>
        <w:rPr>
          <w:spacing w:val="-4"/>
        </w:rPr>
        <w:t>公司机构设置了审计部，审计部对董事会及审计委员会负责，独立行使审计职权，不受</w:t>
      </w:r>
    </w:p>
    <w:p>
      <w:pPr>
        <w:pStyle w:val="Heading6"/>
        <w:spacing w:line="408" w:lineRule="auto" w:before="46"/>
        <w:ind w:left="120" w:right="111"/>
        <w:jc w:val="both"/>
      </w:pPr>
      <w:r>
        <w:rPr>
          <w:spacing w:val="-4"/>
        </w:rPr>
        <w:t>其他部门和个人的干涉。根据《内部审计制度》的要求，审计部负责公司的内部审计监督工</w:t>
      </w:r>
      <w:r>
        <w:rPr>
          <w:spacing w:val="-46"/>
        </w:rPr>
        <w:t> </w:t>
      </w:r>
      <w:r>
        <w:rPr>
          <w:spacing w:val="-46"/>
        </w:rPr>
      </w:r>
      <w:r>
        <w:rPr>
          <w:spacing w:val="-4"/>
        </w:rPr>
        <w:t>作，包括监督和检查公司内部控制制度的执行情况，评价内部控制的科学性和有效性，提出</w:t>
      </w:r>
      <w:r>
        <w:rPr>
          <w:spacing w:val="-46"/>
        </w:rPr>
        <w:t> </w:t>
      </w:r>
      <w:r>
        <w:rPr>
          <w:spacing w:val="-46"/>
        </w:rPr>
      </w:r>
      <w:r>
        <w:rPr>
          <w:spacing w:val="-4"/>
        </w:rPr>
        <w:t>完善内部控制建议；定期与不定期地对职能部门及子（分）公司财务、内部控制、重大项目</w:t>
      </w:r>
      <w:r>
        <w:rPr>
          <w:spacing w:val="-46"/>
        </w:rPr>
        <w:t> </w:t>
      </w:r>
      <w:r>
        <w:rPr>
          <w:spacing w:val="-46"/>
        </w:rPr>
      </w:r>
      <w:r>
        <w:rPr>
          <w:spacing w:val="-4"/>
        </w:rPr>
        <w:t>及其他业务进行审计和例行检查，控制和防范风险。审计部对监督检查中发现的内部控制重</w:t>
      </w:r>
      <w:r>
        <w:rPr>
          <w:spacing w:val="-44"/>
        </w:rPr>
        <w:t> </w:t>
      </w:r>
      <w:r>
        <w:rPr>
          <w:spacing w:val="-44"/>
        </w:rPr>
      </w:r>
      <w:r>
        <w:rPr>
          <w:spacing w:val="-4"/>
        </w:rPr>
        <w:t>大缺陷，有权直接向董事会及其审计委员会、监事会报告。公司审计部的建立，进一步完善</w:t>
      </w:r>
      <w:r>
        <w:rPr>
          <w:spacing w:val="-47"/>
        </w:rPr>
        <w:t> </w:t>
      </w:r>
      <w:r>
        <w:rPr>
          <w:spacing w:val="-47"/>
        </w:rPr>
      </w:r>
      <w:r>
        <w:rPr/>
        <w:t>了公司的内部控制和治理结构，促进和保证了内部控制的有效运行。</w:t>
      </w:r>
    </w:p>
    <w:p>
      <w:pPr>
        <w:pStyle w:val="Heading6"/>
        <w:spacing w:line="386" w:lineRule="auto" w:before="46"/>
        <w:ind w:left="540" w:right="0"/>
        <w:jc w:val="left"/>
      </w:pPr>
      <w:r>
        <w:rPr>
          <w:rFonts w:ascii="Times New Roman" w:hAnsi="Times New Roman" w:cs="Times New Roman" w:eastAsia="Times New Roman" w:hint="default"/>
        </w:rPr>
        <w:t>4</w:t>
      </w:r>
      <w:r>
        <w:rPr/>
        <w:t>．人力资源政策</w:t>
      </w:r>
      <w:r>
        <w:rPr>
          <w:w w:val="100"/>
        </w:rPr>
        <w:t> </w:t>
      </w:r>
      <w:r>
        <w:rPr>
          <w:spacing w:val="-4"/>
        </w:rPr>
        <w:t>公司依据公司自身发展的需要，制定了人才战略和一系列较为完善的人力资源政策，对</w:t>
      </w:r>
    </w:p>
    <w:p>
      <w:pPr>
        <w:pStyle w:val="Heading6"/>
        <w:spacing w:line="408" w:lineRule="auto" w:before="65"/>
        <w:ind w:left="120" w:right="111"/>
        <w:jc w:val="both"/>
      </w:pPr>
      <w:r>
        <w:rPr>
          <w:spacing w:val="-4"/>
        </w:rPr>
        <w:t>员工的聘用、培训、辞退与辞职；员工的薪酬、考核、晋升与奖惩；掌握重要商业秘密和知</w:t>
      </w:r>
      <w:r>
        <w:rPr>
          <w:spacing w:val="-44"/>
        </w:rPr>
        <w:t> </w:t>
      </w:r>
      <w:r>
        <w:rPr>
          <w:spacing w:val="-44"/>
        </w:rPr>
      </w:r>
      <w:r>
        <w:rPr>
          <w:spacing w:val="-4"/>
          <w:w w:val="100"/>
        </w:rPr>
        <w:t>识产权的员工离岗的限制性规定等均制定相关的制度予以规范和遵循。公司提名与薪酬考核</w:t>
      </w:r>
      <w:r>
        <w:rPr>
          <w:spacing w:val="-94"/>
          <w:w w:val="100"/>
        </w:rPr>
        <w:t> </w:t>
      </w:r>
      <w:r>
        <w:rPr>
          <w:spacing w:val="-94"/>
          <w:w w:val="100"/>
        </w:rPr>
      </w:r>
      <w:r>
        <w:rPr>
          <w:spacing w:val="-4"/>
        </w:rPr>
        <w:t>委员会负责提出董事和高级管理人员的薪酬政策、结构和审批程序；评估及批准董事和高级</w:t>
      </w:r>
      <w:r>
        <w:rPr>
          <w:spacing w:val="-44"/>
        </w:rPr>
        <w:t> </w:t>
      </w:r>
      <w:r>
        <w:rPr>
          <w:spacing w:val="-44"/>
        </w:rPr>
      </w:r>
      <w:r>
        <w:rPr/>
        <w:t>管理人员的薪酬方案；并负责对公司薪酬制度执行情况进行监督。</w:t>
      </w:r>
    </w:p>
    <w:p>
      <w:pPr>
        <w:pStyle w:val="Heading6"/>
        <w:spacing w:line="386" w:lineRule="auto" w:before="46"/>
        <w:ind w:left="540" w:right="0"/>
        <w:jc w:val="left"/>
      </w:pPr>
      <w:r>
        <w:rPr>
          <w:rFonts w:ascii="Times New Roman" w:hAnsi="Times New Roman" w:cs="Times New Roman" w:eastAsia="Times New Roman" w:hint="default"/>
        </w:rPr>
        <w:t>5</w:t>
      </w:r>
      <w:r>
        <w:rPr/>
        <w:t>．企业理念</w:t>
      </w:r>
      <w:r>
        <w:rPr>
          <w:spacing w:val="-3"/>
          <w:w w:val="100"/>
        </w:rPr>
        <w:t> </w:t>
      </w:r>
      <w:r>
        <w:rPr>
          <w:spacing w:val="-4"/>
        </w:rPr>
        <w:t>多年来，公司以</w:t>
      </w:r>
      <w:r>
        <w:rPr>
          <w:rFonts w:ascii="Times New Roman" w:hAnsi="Times New Roman" w:cs="Times New Roman" w:eastAsia="Times New Roman" w:hint="default"/>
          <w:spacing w:val="-4"/>
        </w:rPr>
        <w:t>“</w:t>
      </w:r>
      <w:r>
        <w:rPr>
          <w:spacing w:val="-4"/>
        </w:rPr>
        <w:t>诚信共赢回报社会</w:t>
      </w:r>
      <w:r>
        <w:rPr>
          <w:rFonts w:ascii="Times New Roman" w:hAnsi="Times New Roman" w:cs="Times New Roman" w:eastAsia="Times New Roman" w:hint="default"/>
          <w:spacing w:val="-4"/>
        </w:rPr>
        <w:t>”</w:t>
      </w:r>
      <w:r>
        <w:rPr>
          <w:spacing w:val="-4"/>
        </w:rPr>
        <w:t>为经营理念，以“致力于在教育、娱乐、文化领域</w:t>
      </w:r>
    </w:p>
    <w:p>
      <w:pPr>
        <w:pStyle w:val="Heading6"/>
        <w:spacing w:line="408" w:lineRule="auto" w:before="35"/>
        <w:ind w:left="120" w:right="111"/>
        <w:jc w:val="both"/>
      </w:pPr>
      <w:r>
        <w:rPr>
          <w:spacing w:val="-4"/>
        </w:rPr>
        <w:t>提供优质的资源与服务”为宗旨，坚持社会责任与经济效益的协调统一，以人为本，规范运</w:t>
      </w:r>
      <w:r>
        <w:rPr>
          <w:spacing w:val="-46"/>
        </w:rPr>
        <w:t> </w:t>
      </w:r>
      <w:r>
        <w:rPr>
          <w:spacing w:val="-46"/>
        </w:rPr>
      </w:r>
      <w:r>
        <w:rPr>
          <w:spacing w:val="-4"/>
        </w:rPr>
        <w:t>作，诚实守信，开拓进取，迅速发展壮大，现已发展成为规模、效益和影响力位居全国同行</w:t>
      </w:r>
      <w:r>
        <w:rPr>
          <w:spacing w:val="-48"/>
        </w:rPr>
        <w:t> </w:t>
      </w:r>
      <w:r>
        <w:rPr>
          <w:spacing w:val="-48"/>
        </w:rPr>
      </w:r>
      <w:r>
        <w:rPr>
          <w:spacing w:val="-4"/>
        </w:rPr>
        <w:t>前列的标杆性企业。在今后的发展中，公司将抓住国家大力推进文化产业大发展、大繁荣的</w:t>
      </w:r>
      <w:r>
        <w:rPr>
          <w:spacing w:val="-46"/>
        </w:rPr>
        <w:t> </w:t>
      </w:r>
      <w:r>
        <w:rPr>
          <w:spacing w:val="-46"/>
        </w:rPr>
      </w:r>
      <w:r>
        <w:rPr>
          <w:spacing w:val="-4"/>
        </w:rPr>
        <w:t>良好机遇，按照经营多元、业态多元、投资多元的发展思路，积极布局教育资源与服务、移</w:t>
      </w:r>
      <w:r>
        <w:rPr>
          <w:spacing w:val="-46"/>
        </w:rPr>
        <w:t> </w:t>
      </w:r>
      <w:r>
        <w:rPr>
          <w:spacing w:val="-46"/>
        </w:rPr>
      </w:r>
      <w:r>
        <w:rPr>
          <w:spacing w:val="-4"/>
        </w:rPr>
        <w:t>动互联网游戏、优质文化的传播与传承，发展成为国内一流、在国际上有一定知名度的文化</w:t>
      </w:r>
      <w:r>
        <w:rPr>
          <w:spacing w:val="-47"/>
        </w:rPr>
        <w:t> </w:t>
      </w:r>
      <w:r>
        <w:rPr>
          <w:spacing w:val="-47"/>
        </w:rPr>
      </w:r>
      <w:r>
        <w:rPr/>
        <w:t>产业集团。</w:t>
      </w:r>
    </w:p>
    <w:p>
      <w:pPr>
        <w:spacing w:after="0" w:line="408" w:lineRule="auto"/>
        <w:jc w:val="both"/>
        <w:sectPr>
          <w:pgSz w:w="11910" w:h="16840"/>
          <w:pgMar w:header="0" w:footer="959" w:top="1480" w:bottom="1160" w:left="1680" w:right="1680"/>
        </w:sectPr>
      </w:pPr>
    </w:p>
    <w:p>
      <w:pPr>
        <w:pStyle w:val="Heading6"/>
        <w:spacing w:line="408" w:lineRule="auto" w:before="6"/>
        <w:ind w:left="680" w:right="824"/>
        <w:jc w:val="left"/>
      </w:pPr>
      <w:r>
        <w:rPr>
          <w:spacing w:val="-2"/>
        </w:rPr>
        <w:t>公司治理的实际状况与中国证监会发布的有关上市公司治理的规范性文件是否存在重大差</w:t>
      </w:r>
      <w:r>
        <w:rPr>
          <w:spacing w:val="-31"/>
        </w:rPr>
        <w:t> </w:t>
      </w:r>
      <w:r>
        <w:rPr>
          <w:spacing w:val="-31"/>
        </w:rPr>
      </w:r>
      <w:r>
        <w:rPr/>
        <w:t>异</w:t>
      </w:r>
    </w:p>
    <w:p>
      <w:pPr>
        <w:pStyle w:val="Heading6"/>
        <w:spacing w:line="240" w:lineRule="auto" w:before="46"/>
        <w:ind w:left="680" w:right="598"/>
        <w:jc w:val="left"/>
      </w:pPr>
      <w:r>
        <w:rPr/>
        <w:t>□是√否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9"/>
        <w:ind w:left="680" w:right="598"/>
        <w:jc w:val="left"/>
        <w:rPr>
          <w:b w:val="0"/>
          <w:bCs w:val="0"/>
        </w:rPr>
      </w:pP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30"/>
          <w:szCs w:val="30"/>
        </w:rPr>
      </w:pPr>
    </w:p>
    <w:p>
      <w:pPr>
        <w:pStyle w:val="Heading6"/>
        <w:spacing w:line="408" w:lineRule="auto"/>
        <w:ind w:left="680" w:right="598" w:firstLine="419"/>
        <w:jc w:val="left"/>
      </w:pPr>
      <w:r>
        <w:rPr>
          <w:spacing w:val="-7"/>
          <w:w w:val="100"/>
        </w:rPr>
        <w:t>公司严格按照《公司法》、《证券法》等有关法律法规和《公司章程》的要求规范运作，</w:t>
      </w:r>
      <w:r>
        <w:rPr>
          <w:w w:val="100"/>
        </w:rPr>
        <w:t> </w:t>
      </w:r>
      <w:r>
        <w:rPr>
          <w:spacing w:val="-4"/>
        </w:rPr>
        <w:t>与控股股东在业务、人员、资产、机构、财务等方面保持独立，具有独立完整的业务及自主</w:t>
      </w:r>
      <w:r>
        <w:rPr>
          <w:spacing w:val="-47"/>
        </w:rPr>
        <w:t> </w:t>
      </w:r>
      <w:r>
        <w:rPr>
          <w:spacing w:val="-47"/>
        </w:rPr>
      </w:r>
      <w:r>
        <w:rPr/>
        <w:t>经营能力。</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3"/>
        <w:spacing w:line="240" w:lineRule="auto"/>
        <w:ind w:left="680" w:right="598"/>
        <w:jc w:val="left"/>
        <w:rPr>
          <w:b w:val="0"/>
          <w:bCs w:val="0"/>
        </w:rPr>
      </w:pPr>
      <w:r>
        <w:rPr/>
        <w:t>三、同业竞争情况</w:t>
      </w:r>
      <w:r>
        <w:rPr>
          <w:b w:val="0"/>
          <w:bCs w:val="0"/>
        </w:rPr>
      </w:r>
    </w:p>
    <w:p>
      <w:pPr>
        <w:pStyle w:val="Heading6"/>
        <w:spacing w:line="240" w:lineRule="auto" w:before="179"/>
        <w:ind w:left="680" w:right="598"/>
        <w:jc w:val="left"/>
      </w:pPr>
      <w:r>
        <w:rPr/>
        <w:t>□适用√不适用</w:t>
      </w:r>
    </w:p>
    <w:p>
      <w:pPr>
        <w:spacing w:line="240" w:lineRule="auto" w:before="11"/>
        <w:rPr>
          <w:rFonts w:ascii="宋体" w:hAnsi="宋体" w:cs="宋体" w:eastAsia="宋体" w:hint="default"/>
          <w:sz w:val="29"/>
          <w:szCs w:val="29"/>
        </w:rPr>
      </w:pPr>
    </w:p>
    <w:p>
      <w:pPr>
        <w:pStyle w:val="Heading3"/>
        <w:spacing w:line="240" w:lineRule="auto"/>
        <w:ind w:left="680" w:right="598"/>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680" w:right="598"/>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360"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34"/>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1"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482"/>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2"/>
              <w:ind w:left="23" w:right="34"/>
              <w:jc w:val="left"/>
              <w:rPr>
                <w:rFonts w:ascii="Times New Roman" w:hAnsi="Times New Roman" w:cs="Times New Roman" w:eastAsia="Times New Roman" w:hint="default"/>
                <w:sz w:val="18"/>
                <w:szCs w:val="18"/>
              </w:rPr>
            </w:pPr>
            <w:hyperlink r:id="rId24">
              <w:r>
                <w:rPr>
                  <w:rFonts w:ascii="Times New Roman"/>
                  <w:spacing w:val="-1"/>
                  <w:sz w:val="18"/>
                </w:rPr>
                <w:t>http://www.cninfo.co</w:t>
              </w:r>
            </w:hyperlink>
            <w:r>
              <w:rPr>
                <w:rFonts w:ascii="Times New Roman"/>
                <w:sz w:val="18"/>
              </w:rPr>
              <w:t> m.cn</w:t>
            </w:r>
          </w:p>
        </w:tc>
      </w:tr>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1"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482"/>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34"/>
              <w:jc w:val="left"/>
              <w:rPr>
                <w:rFonts w:ascii="Times New Roman" w:hAnsi="Times New Roman" w:cs="Times New Roman" w:eastAsia="Times New Roman" w:hint="default"/>
                <w:sz w:val="18"/>
                <w:szCs w:val="18"/>
              </w:rPr>
            </w:pPr>
            <w:hyperlink r:id="rId24">
              <w:r>
                <w:rPr>
                  <w:rFonts w:ascii="Times New Roman"/>
                  <w:spacing w:val="-1"/>
                  <w:sz w:val="18"/>
                </w:rPr>
                <w:t>http://www.cninfo.co</w:t>
              </w:r>
            </w:hyperlink>
            <w:r>
              <w:rPr>
                <w:rFonts w:ascii="Times New Roman"/>
                <w:sz w:val="18"/>
              </w:rPr>
              <w:t> m.cn</w:t>
            </w:r>
          </w:p>
        </w:tc>
      </w:tr>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1"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482"/>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34"/>
              <w:jc w:val="left"/>
              <w:rPr>
                <w:rFonts w:ascii="Times New Roman" w:hAnsi="Times New Roman" w:cs="Times New Roman" w:eastAsia="Times New Roman" w:hint="default"/>
                <w:sz w:val="18"/>
                <w:szCs w:val="18"/>
              </w:rPr>
            </w:pPr>
            <w:hyperlink r:id="rId24">
              <w:r>
                <w:rPr>
                  <w:rFonts w:ascii="Times New Roman"/>
                  <w:spacing w:val="-1"/>
                  <w:sz w:val="18"/>
                </w:rPr>
                <w:t>http://www.cninfo.co</w:t>
              </w:r>
            </w:hyperlink>
            <w:r>
              <w:rPr>
                <w:rFonts w:ascii="Times New Roman"/>
                <w:sz w:val="18"/>
              </w:rPr>
              <w:t> m.cn</w:t>
            </w:r>
          </w:p>
        </w:tc>
      </w:tr>
      <w:tr>
        <w:trPr>
          <w:trHeight w:val="67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1"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482"/>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34"/>
              <w:jc w:val="left"/>
              <w:rPr>
                <w:rFonts w:ascii="Times New Roman" w:hAnsi="Times New Roman" w:cs="Times New Roman" w:eastAsia="Times New Roman" w:hint="default"/>
                <w:sz w:val="18"/>
                <w:szCs w:val="18"/>
              </w:rPr>
            </w:pPr>
            <w:hyperlink r:id="rId24">
              <w:r>
                <w:rPr>
                  <w:rFonts w:ascii="Times New Roman"/>
                  <w:spacing w:val="-1"/>
                  <w:sz w:val="18"/>
                </w:rPr>
                <w:t>http://www.cninfo.co</w:t>
              </w:r>
            </w:hyperlink>
            <w:r>
              <w:rPr>
                <w:rFonts w:ascii="Times New Roman"/>
                <w:sz w:val="18"/>
              </w:rPr>
              <w:t> m.cn</w:t>
            </w:r>
          </w:p>
        </w:tc>
      </w:tr>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1"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482"/>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34"/>
              <w:jc w:val="left"/>
              <w:rPr>
                <w:rFonts w:ascii="Times New Roman" w:hAnsi="Times New Roman" w:cs="Times New Roman" w:eastAsia="Times New Roman" w:hint="default"/>
                <w:sz w:val="18"/>
                <w:szCs w:val="18"/>
              </w:rPr>
            </w:pPr>
            <w:hyperlink r:id="rId24">
              <w:r>
                <w:rPr>
                  <w:rFonts w:ascii="Times New Roman"/>
                  <w:spacing w:val="-1"/>
                  <w:sz w:val="18"/>
                </w:rPr>
                <w:t>http://www.cninfo.co</w:t>
              </w:r>
            </w:hyperlink>
            <w:r>
              <w:rPr>
                <w:rFonts w:ascii="Times New Roman"/>
                <w:sz w:val="18"/>
              </w:rPr>
              <w:t> m.cn</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p>
      <w:pPr>
        <w:pStyle w:val="Heading5"/>
        <w:spacing w:line="240" w:lineRule="auto" w:before="36"/>
        <w:ind w:left="680" w:right="598"/>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680" w:right="598"/>
        <w:jc w:val="left"/>
      </w:pPr>
      <w:r>
        <w:rPr/>
        <w:t>□适用√不适用</w:t>
      </w:r>
    </w:p>
    <w:p>
      <w:pPr>
        <w:spacing w:after="0" w:line="240" w:lineRule="auto"/>
        <w:jc w:val="left"/>
        <w:sectPr>
          <w:pgSz w:w="11910" w:h="16840"/>
          <w:pgMar w:header="0" w:footer="959" w:top="1480" w:bottom="1160" w:left="1120" w:right="980"/>
        </w:sectPr>
      </w:pPr>
    </w:p>
    <w:p>
      <w:pPr>
        <w:pStyle w:val="Heading3"/>
        <w:spacing w:line="240" w:lineRule="auto" w:before="4"/>
        <w:ind w:left="680" w:right="598"/>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680" w:right="598"/>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623"/>
        <w:gridCol w:w="1325"/>
        <w:gridCol w:w="1325"/>
        <w:gridCol w:w="1323"/>
        <w:gridCol w:w="1325"/>
        <w:gridCol w:w="1325"/>
        <w:gridCol w:w="1322"/>
      </w:tblGrid>
      <w:tr>
        <w:trPr>
          <w:trHeight w:val="36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674"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06" w:right="27"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75"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15"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362"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何红渠</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方加春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刘爱明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3"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许中缘</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w:t>
            </w:r>
          </w:p>
        </w:tc>
      </w:tr>
    </w:tbl>
    <w:p>
      <w:pPr>
        <w:spacing w:line="386" w:lineRule="auto" w:before="64"/>
        <w:ind w:left="680" w:right="4413"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、独立董事对公司有关事项提出异议的情况</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独立董事对公司有关事项是否提出异议</w:t>
      </w:r>
    </w:p>
    <w:p>
      <w:pPr>
        <w:spacing w:line="400" w:lineRule="auto" w:before="65"/>
        <w:ind w:left="680" w:right="4413" w:firstLine="0"/>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w w:val="100"/>
          <w:sz w:val="21"/>
          <w:szCs w:val="21"/>
        </w:rPr>
        <w:t> </w:t>
      </w:r>
      <w:r>
        <w:rPr>
          <w:rFonts w:ascii="宋体" w:hAnsi="宋体" w:cs="宋体" w:eastAsia="宋体" w:hint="default"/>
          <w:spacing w:val="-2"/>
          <w:sz w:val="21"/>
          <w:szCs w:val="21"/>
        </w:rPr>
        <w:t>报告期内独立董事对公司有关事项未提出异议。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b/>
          <w:bCs/>
          <w:w w:val="100"/>
          <w:sz w:val="21"/>
          <w:szCs w:val="21"/>
        </w:rPr>
        <w:t> </w:t>
      </w:r>
      <w:r>
        <w:rPr>
          <w:rFonts w:ascii="宋体" w:hAnsi="宋体" w:cs="宋体" w:eastAsia="宋体" w:hint="default"/>
          <w:sz w:val="21"/>
          <w:szCs w:val="21"/>
        </w:rPr>
        <w:t>独立董事对公司有关建议是否被采纳</w:t>
      </w:r>
    </w:p>
    <w:p>
      <w:pPr>
        <w:pStyle w:val="Heading6"/>
        <w:spacing w:line="408" w:lineRule="auto" w:before="52"/>
        <w:ind w:left="680" w:right="4413"/>
        <w:jc w:val="left"/>
      </w:pPr>
      <w:r>
        <w:rPr/>
        <w:t>√是□否</w:t>
      </w:r>
      <w:r>
        <w:rPr>
          <w:w w:val="100"/>
        </w:rPr>
        <w:t> </w:t>
      </w:r>
      <w:r>
        <w:rPr>
          <w:spacing w:val="-2"/>
        </w:rPr>
        <w:t>独立董事对公司有关建议被采纳或未被采纳的说明</w:t>
      </w:r>
    </w:p>
    <w:p>
      <w:pPr>
        <w:pStyle w:val="Heading6"/>
        <w:spacing w:line="405" w:lineRule="auto" w:before="46"/>
        <w:ind w:left="680" w:right="598" w:firstLine="419"/>
        <w:jc w:val="left"/>
        <w:rPr>
          <w:rFonts w:ascii="宋体" w:hAnsi="宋体" w:cs="宋体" w:eastAsia="宋体" w:hint="default"/>
          <w:sz w:val="24"/>
          <w:szCs w:val="24"/>
        </w:rPr>
      </w:pPr>
      <w:r>
        <w:rPr>
          <w:spacing w:val="-7"/>
          <w:w w:val="100"/>
        </w:rPr>
        <w:t>报告期内，独立董事秉着对公司及全体股东诚信与勤勉的义务，严格应当按照相关法律、</w:t>
      </w:r>
      <w:r>
        <w:rPr>
          <w:w w:val="100"/>
        </w:rPr>
        <w:t> </w:t>
      </w:r>
      <w:r>
        <w:rPr>
          <w:spacing w:val="-4"/>
        </w:rPr>
        <w:t>法规和《公司章程》的要求，认真履行职责，维护公司整体利益，尤其关注中小股东的合法</w:t>
      </w:r>
      <w:r>
        <w:rPr>
          <w:spacing w:val="-44"/>
        </w:rPr>
        <w:t> </w:t>
      </w:r>
      <w:r>
        <w:rPr>
          <w:spacing w:val="-44"/>
        </w:rPr>
      </w:r>
      <w:r>
        <w:rPr>
          <w:spacing w:val="-4"/>
        </w:rPr>
        <w:t>权益不受侵害。了解公司运作，主动调查、获取做出决策所需要的情况和资料，对公司内部</w:t>
      </w:r>
      <w:r>
        <w:rPr>
          <w:spacing w:val="-44"/>
        </w:rPr>
        <w:t> </w:t>
      </w:r>
      <w:r>
        <w:rPr>
          <w:spacing w:val="-44"/>
        </w:rPr>
      </w:r>
      <w:r>
        <w:rPr>
          <w:spacing w:val="-4"/>
        </w:rPr>
        <w:t>控制建设、管理体系建设、人才建设以及重大决策等方面提出了很多宝贵的专业性建议，对</w:t>
      </w:r>
      <w:r>
        <w:rPr>
          <w:spacing w:val="-46"/>
        </w:rPr>
        <w:t> </w:t>
      </w:r>
      <w:r>
        <w:rPr>
          <w:spacing w:val="-46"/>
        </w:rPr>
      </w:r>
      <w:r>
        <w:rPr>
          <w:spacing w:val="-7"/>
          <w:w w:val="100"/>
        </w:rPr>
        <w:t>公司财务及生产经营活动进行了有效监督，提高了公司决策的科学性，为完善公司监督机制，</w:t>
      </w:r>
      <w:r>
        <w:rPr>
          <w:spacing w:val="-72"/>
          <w:w w:val="100"/>
        </w:rPr>
        <w:t> </w:t>
      </w:r>
      <w:r>
        <w:rPr>
          <w:spacing w:val="-72"/>
          <w:w w:val="100"/>
        </w:rPr>
      </w:r>
      <w:r>
        <w:rPr/>
        <w:t>维护公司和全体股东的合法权益发挥了应有的作用。</w:t>
      </w:r>
      <w:r>
        <w:rPr>
          <w:w w:val="100"/>
        </w:rPr>
        <w:t> </w:t>
      </w:r>
      <w:r>
        <w:rPr>
          <w:rFonts w:ascii="宋体" w:hAnsi="宋体" w:cs="宋体" w:eastAsia="宋体" w:hint="default"/>
          <w:b/>
          <w:bCs/>
          <w:sz w:val="24"/>
          <w:szCs w:val="24"/>
        </w:rPr>
        <w:t>六、董事会下设专门委员会在报告期内履行职责情况</w:t>
      </w:r>
      <w:r>
        <w:rPr>
          <w:rFonts w:ascii="宋体" w:hAnsi="宋体" w:cs="宋体" w:eastAsia="宋体" w:hint="default"/>
          <w:sz w:val="24"/>
          <w:szCs w:val="24"/>
        </w:rPr>
      </w:r>
    </w:p>
    <w:p>
      <w:pPr>
        <w:pStyle w:val="Heading6"/>
        <w:spacing w:line="408" w:lineRule="auto" w:before="13"/>
        <w:ind w:left="680" w:right="811" w:firstLine="419"/>
        <w:jc w:val="both"/>
      </w:pPr>
      <w:r>
        <w:rPr>
          <w:spacing w:val="-4"/>
        </w:rPr>
        <w:t>公司第二届董事会下设战略、审计、提名与薪酬考核三个专门委员会，分别对公司的战</w:t>
      </w:r>
      <w:r>
        <w:rPr>
          <w:w w:val="100"/>
        </w:rPr>
        <w:t> </w:t>
      </w:r>
      <w:r>
        <w:rPr>
          <w:spacing w:val="-4"/>
        </w:rPr>
        <w:t>略投资、内部审计、人才选拔、薪酬管理、人员激励等方面发表意见和建议。报告期内，公</w:t>
      </w:r>
      <w:r>
        <w:rPr>
          <w:spacing w:val="-44"/>
        </w:rPr>
        <w:t> </w:t>
      </w:r>
      <w:r>
        <w:rPr>
          <w:spacing w:val="-44"/>
        </w:rPr>
      </w:r>
      <w:r>
        <w:rPr>
          <w:spacing w:val="-4"/>
        </w:rPr>
        <w:t>司董事会各专门委员会充分发挥专业性作用，科学决策，审慎监管，切实履行工作职责，为</w:t>
      </w:r>
      <w:r>
        <w:rPr>
          <w:spacing w:val="-46"/>
        </w:rPr>
        <w:t> </w:t>
      </w:r>
      <w:r>
        <w:rPr>
          <w:spacing w:val="-46"/>
        </w:rPr>
      </w:r>
      <w:r>
        <w:rPr>
          <w:spacing w:val="-4"/>
        </w:rPr>
        <w:t>公司发展、组织建设和团队管理做了大量的工作，有效提升了公司管理水平。根据公司董事</w:t>
      </w:r>
      <w:r>
        <w:rPr>
          <w:spacing w:val="-46"/>
        </w:rPr>
        <w:t> </w:t>
      </w:r>
      <w:r>
        <w:rPr>
          <w:spacing w:val="-46"/>
        </w:rPr>
      </w:r>
      <w:r>
        <w:rPr>
          <w:spacing w:val="-4"/>
          <w:w w:val="100"/>
        </w:rPr>
        <w:t>会各专门委员会工作细则及其他相关法规的规定，审计委员会对公司年度报告的审计工作进</w:t>
      </w:r>
      <w:r>
        <w:rPr>
          <w:spacing w:val="-94"/>
          <w:w w:val="100"/>
        </w:rPr>
        <w:t> </w:t>
      </w:r>
      <w:r>
        <w:rPr>
          <w:spacing w:val="-94"/>
          <w:w w:val="100"/>
        </w:rPr>
      </w:r>
      <w:r>
        <w:rPr/>
        <w:t>行了全程参与和监督，保证了年报审计工作的顺利进行。</w:t>
      </w:r>
    </w:p>
    <w:p>
      <w:pPr>
        <w:spacing w:after="0" w:line="408" w:lineRule="auto"/>
        <w:jc w:val="both"/>
        <w:sectPr>
          <w:pgSz w:w="11910" w:h="16840"/>
          <w:pgMar w:header="0" w:footer="959" w:top="1380" w:bottom="1160" w:left="1120" w:right="980"/>
        </w:sectPr>
      </w:pPr>
    </w:p>
    <w:p>
      <w:pPr>
        <w:pStyle w:val="Heading3"/>
        <w:spacing w:line="240" w:lineRule="auto" w:before="4"/>
        <w:ind w:left="680" w:right="598"/>
        <w:jc w:val="left"/>
        <w:rPr>
          <w:b w:val="0"/>
          <w:bCs w:val="0"/>
        </w:rPr>
      </w:pPr>
      <w:r>
        <w:rPr/>
        <w:t>七、监事会工作情况</w:t>
      </w:r>
      <w:r>
        <w:rPr>
          <w:b w:val="0"/>
          <w:bCs w:val="0"/>
        </w:rPr>
      </w:r>
    </w:p>
    <w:p>
      <w:pPr>
        <w:spacing w:line="240" w:lineRule="auto" w:before="10"/>
        <w:rPr>
          <w:rFonts w:ascii="宋体" w:hAnsi="宋体" w:cs="宋体" w:eastAsia="宋体" w:hint="default"/>
          <w:b/>
          <w:bCs/>
          <w:sz w:val="30"/>
          <w:szCs w:val="30"/>
        </w:rPr>
      </w:pPr>
    </w:p>
    <w:p>
      <w:pPr>
        <w:pStyle w:val="Heading6"/>
        <w:spacing w:line="240" w:lineRule="auto"/>
        <w:ind w:left="680" w:right="598"/>
        <w:jc w:val="left"/>
      </w:pPr>
      <w:r>
        <w:rPr/>
        <w:t>监事会在报告期内的监督活动是否发现公司存在风险</w:t>
      </w:r>
    </w:p>
    <w:p>
      <w:pPr>
        <w:spacing w:line="240" w:lineRule="auto" w:before="10"/>
        <w:rPr>
          <w:rFonts w:ascii="宋体" w:hAnsi="宋体" w:cs="宋体" w:eastAsia="宋体" w:hint="default"/>
          <w:sz w:val="14"/>
          <w:szCs w:val="14"/>
        </w:rPr>
      </w:pPr>
    </w:p>
    <w:p>
      <w:pPr>
        <w:pStyle w:val="Heading6"/>
        <w:spacing w:line="408" w:lineRule="auto"/>
        <w:ind w:left="680" w:right="4413"/>
        <w:jc w:val="left"/>
      </w:pPr>
      <w:r>
        <w:rPr/>
        <w:t>□是√否</w:t>
      </w:r>
      <w:r>
        <w:rPr>
          <w:w w:val="100"/>
        </w:rPr>
        <w:t> </w:t>
      </w:r>
      <w:r>
        <w:rPr>
          <w:spacing w:val="-2"/>
        </w:rPr>
        <w:t>公司监事会对报告期内的监督事项无异议。</w:t>
      </w:r>
    </w:p>
    <w:p>
      <w:pPr>
        <w:spacing w:line="240" w:lineRule="auto" w:before="8"/>
        <w:rPr>
          <w:rFonts w:ascii="宋体" w:hAnsi="宋体" w:cs="宋体" w:eastAsia="宋体" w:hint="default"/>
          <w:sz w:val="18"/>
          <w:szCs w:val="18"/>
        </w:rPr>
      </w:pPr>
    </w:p>
    <w:p>
      <w:pPr>
        <w:pStyle w:val="Heading3"/>
        <w:spacing w:line="240" w:lineRule="auto"/>
        <w:ind w:left="680" w:right="598"/>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Heading6"/>
        <w:spacing w:line="408" w:lineRule="auto"/>
        <w:ind w:left="680" w:right="811" w:firstLine="419"/>
        <w:jc w:val="both"/>
      </w:pPr>
      <w:r>
        <w:rPr>
          <w:spacing w:val="-5"/>
          <w:w w:val="100"/>
        </w:rPr>
        <w:t>公司按照《天舟文化股份有限公司绩效考核与薪酬管理办法》，建立了高级管理人员的</w:t>
      </w:r>
      <w:r>
        <w:rPr>
          <w:w w:val="100"/>
        </w:rPr>
        <w:t> </w:t>
      </w:r>
      <w:r>
        <w:rPr>
          <w:spacing w:val="-4"/>
          <w:w w:val="100"/>
        </w:rPr>
        <w:t>薪酬与公司业绩挂钩的绩效考核与激励约束机制，公司高级管理人员实行基本年薪和年终绩</w:t>
      </w:r>
      <w:r>
        <w:rPr>
          <w:spacing w:val="-94"/>
          <w:w w:val="100"/>
        </w:rPr>
        <w:t> </w:t>
      </w:r>
      <w:r>
        <w:rPr>
          <w:spacing w:val="-94"/>
          <w:w w:val="100"/>
        </w:rPr>
      </w:r>
      <w:r>
        <w:rPr>
          <w:spacing w:val="-4"/>
          <w:w w:val="100"/>
        </w:rPr>
        <w:t>效考核相结合的薪酬制度。根据公司年度经营目标的完成情况及高级管理人员的工作业绩表</w:t>
      </w:r>
      <w:r>
        <w:rPr>
          <w:spacing w:val="-94"/>
          <w:w w:val="100"/>
        </w:rPr>
        <w:t> </w:t>
      </w:r>
      <w:r>
        <w:rPr>
          <w:spacing w:val="-94"/>
          <w:w w:val="100"/>
        </w:rPr>
      </w:r>
      <w:r>
        <w:rPr>
          <w:spacing w:val="-4"/>
        </w:rPr>
        <w:t>现，由董事会薪酬与考核委员会对高级管理人员进行年度绩效考核，并监督薪酬制度落实情</w:t>
      </w:r>
      <w:r>
        <w:rPr>
          <w:spacing w:val="-44"/>
        </w:rPr>
        <w:t> </w:t>
      </w:r>
      <w:r>
        <w:rPr>
          <w:spacing w:val="-44"/>
        </w:rPr>
      </w:r>
      <w:r>
        <w:rPr/>
        <w:t>况。公司根据绩效考核结果进行奖惩。</w:t>
      </w:r>
    </w:p>
    <w:p>
      <w:pPr>
        <w:pStyle w:val="Heading6"/>
        <w:spacing w:line="408" w:lineRule="auto" w:before="46"/>
        <w:ind w:left="680" w:right="598" w:firstLine="419"/>
        <w:jc w:val="left"/>
      </w:pPr>
      <w:r>
        <w:rPr>
          <w:spacing w:val="-4"/>
        </w:rPr>
        <w:t>公司通过建立完善的绩效考核与激励约束制度，有效降低了公司的管理成本，提升管理</w:t>
      </w:r>
      <w:r>
        <w:rPr>
          <w:w w:val="100"/>
        </w:rPr>
        <w:t> </w:t>
      </w:r>
      <w:r>
        <w:rPr>
          <w:spacing w:val="-2"/>
        </w:rPr>
        <w:t>效率。充分调动公司高级管理人员的积极性，增强公司的凝聚力和向心力，促进公司长期、</w:t>
      </w:r>
      <w:r>
        <w:rPr>
          <w:spacing w:val="-31"/>
        </w:rPr>
        <w:t> </w:t>
      </w:r>
      <w:r>
        <w:rPr>
          <w:spacing w:val="-31"/>
        </w:rPr>
      </w:r>
      <w:r>
        <w:rPr/>
        <w:t>稳定发展。</w:t>
      </w:r>
    </w:p>
    <w:p>
      <w:pPr>
        <w:spacing w:line="240" w:lineRule="auto" w:before="9"/>
        <w:rPr>
          <w:rFonts w:ascii="宋体" w:hAnsi="宋体" w:cs="宋体" w:eastAsia="宋体" w:hint="default"/>
          <w:sz w:val="18"/>
          <w:szCs w:val="18"/>
        </w:rPr>
      </w:pPr>
    </w:p>
    <w:p>
      <w:pPr>
        <w:pStyle w:val="Heading3"/>
        <w:spacing w:line="240" w:lineRule="auto"/>
        <w:ind w:left="680" w:right="598"/>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680" w:right="598"/>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680" w:right="598"/>
        <w:jc w:val="left"/>
      </w:pPr>
      <w:r>
        <w:rPr/>
        <w:t>□是√否</w:t>
      </w:r>
    </w:p>
    <w:p>
      <w:pPr>
        <w:spacing w:line="240" w:lineRule="auto" w:before="10"/>
        <w:rPr>
          <w:rFonts w:ascii="宋体" w:hAnsi="宋体" w:cs="宋体" w:eastAsia="宋体" w:hint="default"/>
          <w:sz w:val="25"/>
          <w:szCs w:val="25"/>
        </w:rPr>
      </w:pPr>
    </w:p>
    <w:p>
      <w:pPr>
        <w:pStyle w:val="Heading5"/>
        <w:spacing w:line="240" w:lineRule="auto"/>
        <w:ind w:left="680" w:right="598"/>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3179"/>
        <w:gridCol w:w="3328"/>
        <w:gridCol w:w="3051"/>
      </w:tblGrid>
      <w:tr>
        <w:trPr>
          <w:trHeight w:val="360"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5"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67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96"/>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67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358" w:hRule="exact"/>
        </w:trPr>
        <w:tc>
          <w:tcPr>
            <w:tcW w:w="95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3"/>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67"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547"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8" w:type="dxa"/>
            <w:vMerge w:val="restart"/>
            <w:tcBorders>
              <w:top w:val="single" w:sz="4" w:space="0" w:color="000000"/>
              <w:left w:val="single" w:sz="9" w:space="0" w:color="D2D2D2"/>
              <w:right w:val="single" w:sz="4" w:space="0" w:color="000000"/>
            </w:tcBorders>
          </w:tcPr>
          <w:p>
            <w:pPr>
              <w:pStyle w:val="TableParagraph"/>
              <w:spacing w:line="348" w:lineRule="auto" w:before="77"/>
              <w:ind w:left="21" w:right="47" w:firstLine="360"/>
              <w:jc w:val="both"/>
              <w:rPr>
                <w:rFonts w:ascii="宋体" w:hAnsi="宋体" w:cs="宋体" w:eastAsia="宋体" w:hint="default"/>
                <w:sz w:val="18"/>
                <w:szCs w:val="18"/>
              </w:rPr>
            </w:pPr>
            <w:r>
              <w:rPr>
                <w:rFonts w:ascii="宋体" w:hAnsi="宋体" w:cs="宋体" w:eastAsia="宋体" w:hint="default"/>
                <w:spacing w:val="-6"/>
                <w:sz w:val="18"/>
                <w:szCs w:val="18"/>
              </w:rPr>
              <w:t>财务报告重大缺陷的迹象包括：（</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宋体" w:hAnsi="宋体" w:cs="宋体" w:eastAsia="宋体" w:hint="default"/>
                <w:sz w:val="18"/>
                <w:szCs w:val="18"/>
              </w:rPr>
              <w:t> </w:t>
            </w:r>
            <w:r>
              <w:rPr>
                <w:rFonts w:ascii="宋体" w:hAnsi="宋体" w:cs="宋体" w:eastAsia="宋体" w:hint="default"/>
                <w:spacing w:val="-5"/>
                <w:sz w:val="18"/>
                <w:szCs w:val="18"/>
              </w:rPr>
              <w:t>控制环境无效；（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）公司董事、监事和高</w:t>
            </w:r>
            <w:r>
              <w:rPr>
                <w:rFonts w:ascii="宋体" w:hAnsi="宋体" w:cs="宋体" w:eastAsia="宋体" w:hint="default"/>
                <w:spacing w:val="-86"/>
                <w:sz w:val="18"/>
                <w:szCs w:val="18"/>
              </w:rPr>
              <w:t> </w:t>
            </w:r>
            <w:r>
              <w:rPr>
                <w:rFonts w:ascii="宋体" w:hAnsi="宋体" w:cs="宋体" w:eastAsia="宋体" w:hint="default"/>
                <w:spacing w:val="-5"/>
                <w:sz w:val="18"/>
                <w:szCs w:val="18"/>
              </w:rPr>
              <w:t>级管理人员的舞弊行为；（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）未被公司内</w:t>
            </w:r>
            <w:r>
              <w:rPr>
                <w:rFonts w:ascii="宋体" w:hAnsi="宋体" w:cs="宋体" w:eastAsia="宋体" w:hint="default"/>
                <w:spacing w:val="-86"/>
                <w:sz w:val="18"/>
                <w:szCs w:val="18"/>
              </w:rPr>
              <w:t> </w:t>
            </w:r>
            <w:r>
              <w:rPr>
                <w:rFonts w:ascii="宋体" w:hAnsi="宋体" w:cs="宋体" w:eastAsia="宋体" w:hint="default"/>
                <w:sz w:val="18"/>
                <w:szCs w:val="18"/>
              </w:rPr>
              <w:t>部控制识别的当期财务报告中的重大错</w:t>
            </w:r>
          </w:p>
        </w:tc>
        <w:tc>
          <w:tcPr>
            <w:tcW w:w="3051" w:type="dxa"/>
            <w:vMerge w:val="restart"/>
            <w:tcBorders>
              <w:top w:val="single" w:sz="4" w:space="0" w:color="000000"/>
              <w:left w:val="single" w:sz="4" w:space="0" w:color="000000"/>
              <w:right w:val="single" w:sz="4" w:space="0" w:color="000000"/>
            </w:tcBorders>
          </w:tcPr>
          <w:p>
            <w:pPr>
              <w:pStyle w:val="TableParagraph"/>
              <w:spacing w:line="367" w:lineRule="auto" w:before="77"/>
              <w:ind w:left="24" w:right="20" w:firstLine="36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 </w:t>
            </w:r>
            <w:r>
              <w:rPr>
                <w:rFonts w:ascii="宋体" w:hAnsi="宋体" w:cs="宋体" w:eastAsia="宋体" w:hint="default"/>
                <w:spacing w:val="-4"/>
                <w:sz w:val="18"/>
                <w:szCs w:val="18"/>
              </w:rPr>
              <w:t>对业务流程有效性的影响程度、发生的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可能性作判定。如果缺陷发生的可能性</w:t>
            </w:r>
          </w:p>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pacing w:val="-4"/>
                <w:sz w:val="18"/>
                <w:szCs w:val="18"/>
              </w:rPr>
              <w:t>较小，会降低工作效率或效果、或加大</w:t>
            </w:r>
          </w:p>
        </w:tc>
      </w:tr>
      <w:tr>
        <w:trPr>
          <w:trHeight w:val="353"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8"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550"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8"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59" w:top="1380" w:bottom="1160" w:left="1120" w:right="980"/>
        </w:sectPr>
      </w:pPr>
    </w:p>
    <w:p>
      <w:pPr>
        <w:spacing w:line="240" w:lineRule="auto" w:before="3"/>
        <w:rPr>
          <w:rFonts w:ascii="宋体" w:hAnsi="宋体" w:cs="宋体" w:eastAsia="宋体" w:hint="default"/>
          <w:b/>
          <w:bCs/>
          <w:sz w:val="6"/>
          <w:szCs w:val="6"/>
        </w:rPr>
      </w:pPr>
    </w:p>
    <w:tbl>
      <w:tblPr>
        <w:tblW w:w="0" w:type="auto"/>
        <w:jc w:val="left"/>
        <w:tblInd w:w="108" w:type="dxa"/>
        <w:tblLayout w:type="fixed"/>
        <w:tblCellMar>
          <w:top w:w="0" w:type="dxa"/>
          <w:left w:w="0" w:type="dxa"/>
          <w:bottom w:w="0" w:type="dxa"/>
          <w:right w:w="0" w:type="dxa"/>
        </w:tblCellMar>
        <w:tblLook w:val="01E0"/>
      </w:tblPr>
      <w:tblGrid>
        <w:gridCol w:w="3194"/>
        <w:gridCol w:w="3323"/>
        <w:gridCol w:w="3051"/>
      </w:tblGrid>
      <w:tr>
        <w:trPr>
          <w:trHeight w:val="448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78"/>
              <w:ind w:left="22" w:right="48"/>
              <w:jc w:val="left"/>
              <w:rPr>
                <w:rFonts w:ascii="宋体" w:hAnsi="宋体" w:cs="宋体" w:eastAsia="宋体" w:hint="default"/>
                <w:sz w:val="18"/>
                <w:szCs w:val="18"/>
              </w:rPr>
            </w:pPr>
            <w:r>
              <w:rPr>
                <w:rFonts w:ascii="宋体" w:hAnsi="宋体" w:cs="宋体" w:eastAsia="宋体" w:hint="default"/>
                <w:spacing w:val="-5"/>
                <w:sz w:val="18"/>
                <w:szCs w:val="18"/>
              </w:rPr>
              <w:t>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）审计委员会和审计部门对公司的</w:t>
            </w:r>
            <w:r>
              <w:rPr>
                <w:rFonts w:ascii="宋体" w:hAnsi="宋体" w:cs="宋体" w:eastAsia="宋体" w:hint="default"/>
                <w:spacing w:val="-86"/>
                <w:sz w:val="18"/>
                <w:szCs w:val="18"/>
              </w:rPr>
              <w:t> </w:t>
            </w:r>
            <w:r>
              <w:rPr>
                <w:rFonts w:ascii="宋体" w:hAnsi="宋体" w:cs="宋体" w:eastAsia="宋体" w:hint="default"/>
                <w:sz w:val="18"/>
                <w:szCs w:val="18"/>
              </w:rPr>
              <w:t>对外财务报告和财务报告内部控制监督无 </w:t>
            </w:r>
            <w:r>
              <w:rPr>
                <w:rFonts w:ascii="宋体" w:hAnsi="宋体" w:cs="宋体" w:eastAsia="宋体" w:hint="default"/>
                <w:spacing w:val="-5"/>
                <w:sz w:val="18"/>
                <w:szCs w:val="18"/>
              </w:rPr>
              <w:t>效。财务报告重要缺陷的迹象包括：（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未依照公认会计准则选择和应用会计政 </w:t>
            </w:r>
            <w:r>
              <w:rPr>
                <w:rFonts w:ascii="宋体" w:hAnsi="宋体" w:cs="宋体" w:eastAsia="宋体" w:hint="default"/>
                <w:spacing w:val="-5"/>
                <w:sz w:val="18"/>
                <w:szCs w:val="18"/>
              </w:rPr>
              <w:t>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）未建立反舞弊程序和控制措施；</w:t>
            </w:r>
          </w:p>
          <w:p>
            <w:pPr>
              <w:pStyle w:val="TableParagraph"/>
              <w:spacing w:line="360" w:lineRule="auto" w:before="13"/>
              <w:ind w:left="22" w:right="22"/>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）对于非常规或特殊交易的账务处理没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有建立相应的控制机制或没有实施且没有 </w:t>
            </w:r>
            <w:r>
              <w:rPr>
                <w:rFonts w:ascii="宋体" w:hAnsi="宋体" w:cs="宋体" w:eastAsia="宋体" w:hint="default"/>
                <w:spacing w:val="-5"/>
                <w:sz w:val="18"/>
                <w:szCs w:val="18"/>
              </w:rPr>
              <w:t>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w:t>
            </w:r>
            <w:r>
              <w:rPr>
                <w:rFonts w:ascii="宋体" w:hAnsi="宋体" w:cs="宋体" w:eastAsia="宋体" w:hint="default"/>
                <w:spacing w:val="-86"/>
                <w:sz w:val="18"/>
                <w:szCs w:val="18"/>
              </w:rPr>
              <w:t> </w:t>
            </w:r>
            <w:r>
              <w:rPr>
                <w:rFonts w:ascii="宋体" w:hAnsi="宋体" w:cs="宋体" w:eastAsia="宋体" w:hint="default"/>
                <w:sz w:val="18"/>
                <w:szCs w:val="18"/>
              </w:rPr>
              <w:t>告过程的控制存在一项或多项缺陷且不能 合理保证编制的财务报表达到真实、完整 的目标。一般缺陷是指除上述重大缺陷、 重要缺陷之外的其他控制缺陷。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8"/>
              <w:ind w:left="24" w:right="19"/>
              <w:jc w:val="both"/>
              <w:rPr>
                <w:rFonts w:ascii="宋体" w:hAnsi="宋体" w:cs="宋体" w:eastAsia="宋体" w:hint="default"/>
                <w:sz w:val="18"/>
                <w:szCs w:val="18"/>
              </w:rPr>
            </w:pPr>
            <w:r>
              <w:rPr>
                <w:rFonts w:ascii="宋体" w:hAnsi="宋体" w:cs="宋体" w:eastAsia="宋体" w:hint="default"/>
                <w:spacing w:val="-4"/>
                <w:sz w:val="18"/>
                <w:szCs w:val="18"/>
              </w:rPr>
              <w:t>效果的不确定性、或使之偏离预期目标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为一般缺陷；如果缺陷发生的可能性较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w:t>
            </w:r>
          </w:p>
        </w:tc>
      </w:tr>
      <w:tr>
        <w:trPr>
          <w:trHeight w:val="51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77"/>
              <w:ind w:left="22" w:right="22" w:firstLine="360"/>
              <w:jc w:val="left"/>
              <w:rPr>
                <w:rFonts w:ascii="宋体" w:hAnsi="宋体" w:cs="宋体" w:eastAsia="宋体" w:hint="default"/>
                <w:sz w:val="18"/>
                <w:szCs w:val="18"/>
              </w:rPr>
            </w:pPr>
            <w:r>
              <w:rPr>
                <w:rFonts w:ascii="宋体" w:hAnsi="宋体" w:cs="宋体" w:eastAsia="宋体" w:hint="default"/>
                <w:sz w:val="18"/>
                <w:szCs w:val="18"/>
              </w:rPr>
              <w:t>本公司以利润总额的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作为利润表 整体重要性水平的衡量指标，以净资产的 </w:t>
            </w:r>
            <w:r>
              <w:rPr>
                <w:rFonts w:ascii="Times New Roman" w:hAnsi="Times New Roman" w:cs="Times New Roman" w:eastAsia="Times New Roman" w:hint="default"/>
                <w:sz w:val="18"/>
                <w:szCs w:val="18"/>
              </w:rPr>
              <w:t>5%</w:t>
            </w:r>
            <w:r>
              <w:rPr>
                <w:rFonts w:ascii="宋体" w:hAnsi="宋体" w:cs="宋体" w:eastAsia="宋体" w:hint="default"/>
                <w:sz w:val="18"/>
                <w:szCs w:val="18"/>
              </w:rPr>
              <w:t>作为资产负债表整体重要性水平的衡 量指标。当利润表项目潜在错报金额大于 或等于利润总额的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，或资产负债表项 目潜在错报金额大于或等于净资产的</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时，则认定为重大缺陷；当利润表项目潜 在错报金额小于利润总额的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，但大于 </w:t>
            </w:r>
            <w:r>
              <w:rPr>
                <w:rFonts w:ascii="宋体" w:hAnsi="宋体" w:cs="宋体" w:eastAsia="宋体" w:hint="default"/>
                <w:spacing w:val="-2"/>
                <w:sz w:val="18"/>
                <w:szCs w:val="18"/>
              </w:rPr>
              <w:t>或等于利润总额的</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，或资产负债表项目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潜在错报金额小于净资产的</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，但大于或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等于净资产的</w:t>
            </w:r>
            <w:r>
              <w:rPr>
                <w:rFonts w:ascii="Times New Roman" w:hAnsi="Times New Roman" w:cs="Times New Roman" w:eastAsia="Times New Roman" w:hint="default"/>
                <w:sz w:val="18"/>
                <w:szCs w:val="18"/>
              </w:rPr>
              <w:t>3%</w:t>
            </w:r>
            <w:r>
              <w:rPr>
                <w:rFonts w:ascii="宋体" w:hAnsi="宋体" w:cs="宋体" w:eastAsia="宋体" w:hint="default"/>
                <w:sz w:val="18"/>
                <w:szCs w:val="18"/>
              </w:rPr>
              <w:t>，则认定为重要缺陷；</w:t>
            </w:r>
          </w:p>
          <w:p>
            <w:pPr>
              <w:pStyle w:val="TableParagraph"/>
              <w:spacing w:line="309" w:lineRule="auto" w:before="103"/>
              <w:ind w:left="22" w:right="48"/>
              <w:jc w:val="both"/>
              <w:rPr>
                <w:rFonts w:ascii="宋体" w:hAnsi="宋体" w:cs="宋体" w:eastAsia="宋体" w:hint="default"/>
                <w:sz w:val="18"/>
                <w:szCs w:val="18"/>
              </w:rPr>
            </w:pPr>
            <w:r>
              <w:rPr>
                <w:rFonts w:ascii="宋体" w:hAnsi="宋体" w:cs="宋体" w:eastAsia="宋体" w:hint="default"/>
                <w:sz w:val="18"/>
                <w:szCs w:val="18"/>
              </w:rPr>
              <w:t>当利润表项目潜在错报金额小于利润总额 的 </w:t>
            </w:r>
            <w:r>
              <w:rPr>
                <w:rFonts w:ascii="Times New Roman" w:hAnsi="Times New Roman" w:cs="Times New Roman" w:eastAsia="Times New Roman" w:hint="default"/>
                <w:sz w:val="18"/>
                <w:szCs w:val="18"/>
              </w:rPr>
              <w:t>3%</w:t>
            </w:r>
            <w:r>
              <w:rPr>
                <w:rFonts w:ascii="宋体" w:hAnsi="宋体" w:cs="宋体" w:eastAsia="宋体" w:hint="default"/>
                <w:sz w:val="18"/>
                <w:szCs w:val="18"/>
              </w:rPr>
              <w:t>，资产负债表项目潜在错报金额小 于净资产的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时，则认定为一般缺陷。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6"/>
                <w:szCs w:val="26"/>
              </w:rPr>
            </w:pPr>
          </w:p>
          <w:p>
            <w:pPr>
              <w:pStyle w:val="TableParagraph"/>
              <w:spacing w:line="304" w:lineRule="auto"/>
              <w:ind w:left="24" w:right="20"/>
              <w:jc w:val="left"/>
              <w:rPr>
                <w:rFonts w:ascii="宋体" w:hAnsi="宋体" w:cs="宋体" w:eastAsia="宋体" w:hint="default"/>
                <w:sz w:val="18"/>
                <w:szCs w:val="18"/>
              </w:rPr>
            </w:pPr>
            <w:r>
              <w:rPr>
                <w:rFonts w:ascii="宋体" w:hAnsi="宋体" w:cs="宋体" w:eastAsia="宋体" w:hint="default"/>
                <w:sz w:val="18"/>
                <w:szCs w:val="18"/>
              </w:rPr>
              <w:t>本公司以直接损失占公司净资产的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作为非财务报告重要性水平的衡量指 </w:t>
            </w:r>
            <w:r>
              <w:rPr>
                <w:rFonts w:ascii="宋体" w:hAnsi="宋体" w:cs="宋体" w:eastAsia="宋体" w:hint="default"/>
                <w:spacing w:val="-4"/>
                <w:sz w:val="18"/>
                <w:szCs w:val="18"/>
              </w:rPr>
              <w:t>标。当直接损失金额大于或等于净资产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，则认定为重大缺陷；当直接损 失金额小于净资产的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但大于或等于 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，则认定为重要缺陷；当 直接损失金额小于净资产的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时，则 认定为一般缺陷。</w:t>
            </w:r>
          </w:p>
        </w:tc>
      </w:tr>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r>
      <w:tr>
        <w:trPr>
          <w:trHeight w:val="36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r>
      <w:tr>
        <w:trPr>
          <w:trHeight w:val="36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r>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3"/>
        <w:spacing w:line="240" w:lineRule="auto" w:before="26"/>
        <w:ind w:left="680" w:right="598"/>
        <w:jc w:val="left"/>
        <w:rPr>
          <w:b w:val="0"/>
          <w:bCs w:val="0"/>
        </w:rPr>
      </w:pPr>
      <w:r>
        <w:rPr/>
        <w:t>十、内部控制审计报告或鉴证报告</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left="680" w:right="598"/>
        <w:jc w:val="left"/>
      </w:pPr>
      <w:r>
        <w:rPr/>
        <w:t>□适用√不适用</w:t>
      </w:r>
    </w:p>
    <w:p>
      <w:pPr>
        <w:spacing w:after="0" w:line="240" w:lineRule="auto"/>
        <w:jc w:val="left"/>
        <w:sectPr>
          <w:pgSz w:w="11910" w:h="16840"/>
          <w:pgMar w:header="0" w:footer="959" w:top="1340" w:bottom="1160" w:left="1120" w:right="980"/>
        </w:sectPr>
      </w:pPr>
    </w:p>
    <w:p>
      <w:pPr>
        <w:pStyle w:val="Heading1"/>
        <w:spacing w:line="394" w:lineRule="exact"/>
        <w:ind w:left="3692" w:right="3825"/>
        <w:jc w:val="center"/>
        <w:rPr>
          <w:b w:val="0"/>
          <w:bCs w:val="0"/>
        </w:rPr>
      </w:pPr>
      <w:bookmarkStart w:name="_TOC_250000" w:id="10"/>
      <w:r>
        <w:rPr/>
        <w:t>第十节财务报告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left="680" w:right="598"/>
        <w:jc w:val="left"/>
        <w:rPr>
          <w:b w:val="0"/>
          <w:bCs w:val="0"/>
        </w:rPr>
      </w:pPr>
      <w:r>
        <w:rPr/>
        <w:t>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4"/>
      </w:tblGrid>
      <w:tr>
        <w:trPr>
          <w:trHeight w:val="36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36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二〇一六年三月三日</w:t>
            </w:r>
          </w:p>
        </w:tc>
      </w:tr>
      <w:tr>
        <w:trPr>
          <w:trHeight w:val="36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36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[2016]3129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6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刘宇科、李明、伍舫</w:t>
            </w:r>
          </w:p>
        </w:tc>
      </w:tr>
    </w:tbl>
    <w:p>
      <w:pPr>
        <w:spacing w:line="240" w:lineRule="auto" w:before="0"/>
        <w:rPr>
          <w:rFonts w:ascii="宋体" w:hAnsi="宋体" w:cs="宋体" w:eastAsia="宋体" w:hint="default"/>
          <w:b/>
          <w:bCs/>
          <w:sz w:val="20"/>
          <w:szCs w:val="20"/>
        </w:rPr>
      </w:pPr>
    </w:p>
    <w:p>
      <w:pPr>
        <w:spacing w:before="177"/>
        <w:ind w:left="3689" w:right="3825" w:firstLine="0"/>
        <w:jc w:val="center"/>
        <w:rPr>
          <w:rFonts w:ascii="宋体" w:hAnsi="宋体" w:cs="宋体" w:eastAsia="宋体" w:hint="default"/>
          <w:sz w:val="28"/>
          <w:szCs w:val="28"/>
        </w:rPr>
      </w:pPr>
      <w:r>
        <w:rPr>
          <w:rFonts w:ascii="宋体" w:hAnsi="宋体" w:cs="宋体" w:eastAsia="宋体" w:hint="default"/>
          <w:sz w:val="28"/>
          <w:szCs w:val="28"/>
        </w:rPr>
        <w:t>审计报告正文</w:t>
      </w:r>
    </w:p>
    <w:p>
      <w:pPr>
        <w:spacing w:line="240" w:lineRule="auto" w:before="10"/>
        <w:rPr>
          <w:rFonts w:ascii="宋体" w:hAnsi="宋体" w:cs="宋体" w:eastAsia="宋体" w:hint="default"/>
          <w:sz w:val="18"/>
          <w:szCs w:val="18"/>
        </w:rPr>
      </w:pPr>
    </w:p>
    <w:p>
      <w:pPr>
        <w:pStyle w:val="BodyText"/>
        <w:spacing w:line="240" w:lineRule="auto" w:before="44"/>
        <w:ind w:left="0" w:right="813"/>
        <w:jc w:val="right"/>
      </w:pPr>
      <w:r>
        <w:rPr/>
        <w:t>天职业字</w:t>
      </w:r>
      <w:r>
        <w:rPr>
          <w:rFonts w:ascii="Times New Roman" w:hAnsi="Times New Roman" w:cs="Times New Roman" w:eastAsia="Times New Roman" w:hint="default"/>
        </w:rPr>
        <w:t>[2016]3129</w:t>
      </w:r>
      <w:r>
        <w:rPr>
          <w:rFonts w:ascii="Times New Roman" w:hAnsi="Times New Roman" w:cs="Times New Roman" w:eastAsia="Times New Roman" w:hint="default"/>
          <w:spacing w:val="-1"/>
        </w:rPr>
        <w:t> </w:t>
      </w:r>
      <w:r>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before="44"/>
        <w:ind w:left="680" w:right="598"/>
        <w:jc w:val="left"/>
      </w:pPr>
      <w:r>
        <w:rPr/>
        <w:t>天舟文化股份有限公司全体股东：</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BodyText"/>
        <w:spacing w:line="240" w:lineRule="auto"/>
        <w:ind w:left="860" w:right="598"/>
        <w:jc w:val="left"/>
      </w:pPr>
      <w:r>
        <w:rPr/>
        <w:t>我们审计了后附的天舟文化股份有限公司（以下简称“天舟文化公司</w:t>
      </w:r>
      <w:r>
        <w:rPr>
          <w:spacing w:val="-92"/>
        </w:rPr>
        <w:t>”</w:t>
      </w:r>
      <w:r>
        <w:rPr/>
        <w:t>）财务报表，包括</w:t>
      </w:r>
      <w:r>
        <w:rPr>
          <w:spacing w:val="-4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p>
    <w:p>
      <w:pPr>
        <w:pStyle w:val="BodyText"/>
        <w:spacing w:line="345" w:lineRule="auto" w:before="111"/>
        <w:ind w:left="680" w:right="807"/>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spacing w:val="-2"/>
        </w:rPr>
        <w:t>日的合并资产负债表及资产负债表，</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12"/>
        </w:rPr>
        <w:t> </w:t>
      </w:r>
      <w:r>
        <w:rPr>
          <w:spacing w:val="-2"/>
        </w:rPr>
        <w:t>年度的合并利润表及利润表、合并现金流量表及现金流量表和</w:t>
      </w:r>
      <w:r>
        <w:rPr>
          <w:spacing w:val="-88"/>
        </w:rPr>
        <w:t> </w:t>
      </w:r>
      <w:r>
        <w:rPr>
          <w:spacing w:val="-88"/>
        </w:rPr>
      </w:r>
      <w:r>
        <w:rPr/>
        <w:t>合并所有者权益变动表及所有者权益变动表以及财务报表附注。</w:t>
      </w:r>
    </w:p>
    <w:p>
      <w:pPr>
        <w:spacing w:line="672" w:lineRule="exact" w:before="30"/>
        <w:ind w:left="1040" w:right="598" w:hanging="8"/>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编制和公允列报财务报表是天舟文化公司管理层的责任，这种责任包括：（</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）按照企业会计准则的规</w:t>
      </w:r>
    </w:p>
    <w:p>
      <w:pPr>
        <w:pStyle w:val="BodyText"/>
        <w:spacing w:line="345" w:lineRule="auto" w:before="15"/>
        <w:ind w:left="680" w:right="598"/>
        <w:jc w:val="left"/>
      </w:pPr>
      <w:r>
        <w:rPr>
          <w:spacing w:val="-2"/>
        </w:rPr>
        <w:t>定编制财务报表，并使其实现公允反映；（</w:t>
      </w:r>
      <w:r>
        <w:rPr>
          <w:rFonts w:ascii="Times New Roman" w:hAnsi="Times New Roman" w:cs="Times New Roman" w:eastAsia="Times New Roman" w:hint="default"/>
          <w:spacing w:val="-2"/>
        </w:rPr>
        <w:t>2</w:t>
      </w:r>
      <w:r>
        <w:rPr>
          <w:spacing w:val="-2"/>
        </w:rPr>
        <w:t>）设计、执行和维护必要的内部控制，以使财务报表不存在由</w:t>
      </w:r>
      <w:r>
        <w:rPr>
          <w:spacing w:val="-68"/>
        </w:rPr>
        <w:t> </w:t>
      </w:r>
      <w:r>
        <w:rPr>
          <w:spacing w:val="-68"/>
        </w:rPr>
      </w:r>
      <w:r>
        <w:rPr/>
        <w:t>于舞弊或错误导致的重大错报。</w:t>
      </w:r>
    </w:p>
    <w:p>
      <w:pPr>
        <w:pStyle w:val="BodyText"/>
        <w:spacing w:line="672" w:lineRule="exact" w:before="30"/>
        <w:ind w:left="1040" w:right="598" w:hanging="8"/>
        <w:jc w:val="left"/>
      </w:pPr>
      <w:r>
        <w:rPr>
          <w:rFonts w:ascii="宋体" w:hAnsi="宋体" w:cs="宋体" w:eastAsia="宋体" w:hint="default"/>
          <w:b/>
          <w:bCs/>
        </w:rPr>
        <w:t>二、注册会计师的责任</w:t>
      </w:r>
      <w:r>
        <w:rPr>
          <w:rFonts w:ascii="宋体" w:hAnsi="宋体" w:cs="宋体" w:eastAsia="宋体" w:hint="default"/>
          <w:b/>
          <w:bCs/>
          <w:w w:val="99"/>
        </w:rPr>
        <w:t> </w:t>
      </w:r>
      <w:r>
        <w:rPr/>
        <w:t>我们的责任是在执行审计工作的基础上对财务报表发表审计意见。我们按照中国注册会计师审计准则</w:t>
      </w:r>
    </w:p>
    <w:p>
      <w:pPr>
        <w:pStyle w:val="BodyText"/>
        <w:spacing w:line="367" w:lineRule="auto" w:before="15"/>
        <w:ind w:left="680" w:right="598"/>
        <w:jc w:val="left"/>
      </w:pPr>
      <w:r>
        <w:rPr/>
        <w:t>的规定执行了审计工作。中国注册会计师审计准则要求我们遵守中国注册会计师职业道德守则，计划和执</w:t>
      </w:r>
      <w:r>
        <w:rPr>
          <w:spacing w:val="-71"/>
        </w:rPr>
        <w:t> </w:t>
      </w:r>
      <w:r>
        <w:rPr>
          <w:spacing w:val="-71"/>
        </w:rPr>
      </w:r>
      <w:r>
        <w:rPr/>
        <w:t>行审计工作以对财务报表是否不存在重大错报获取合理保证。</w:t>
      </w:r>
    </w:p>
    <w:p>
      <w:pPr>
        <w:spacing w:line="240" w:lineRule="auto" w:before="2"/>
        <w:rPr>
          <w:rFonts w:ascii="宋体" w:hAnsi="宋体" w:cs="宋体" w:eastAsia="宋体" w:hint="default"/>
          <w:sz w:val="14"/>
          <w:szCs w:val="14"/>
        </w:rPr>
      </w:pPr>
    </w:p>
    <w:p>
      <w:pPr>
        <w:pStyle w:val="BodyText"/>
        <w:spacing w:line="367" w:lineRule="auto"/>
        <w:ind w:left="680" w:right="824" w:firstLine="359"/>
        <w:jc w:val="both"/>
      </w:pPr>
      <w:r>
        <w:rPr/>
        <w:t>审计工作涉及实施审计程序，以获取有关财务报表金额和披露的审计证据。选择的审计程序取决于注 册会计师的判断，包括对由于舞弊或错误导致的财务报表重大错报风险的评估。在进行风险评估时，注册</w:t>
      </w:r>
      <w:r>
        <w:rPr>
          <w:spacing w:val="-73"/>
        </w:rPr>
        <w:t> </w:t>
      </w:r>
      <w:r>
        <w:rPr>
          <w:spacing w:val="-73"/>
        </w:rPr>
      </w:r>
      <w:r>
        <w:rPr/>
        <w:t>会计师考虑与财务报表编制和公允列报相关的内部控制，以设计恰当的审计程序，但目的并非对内部控制</w:t>
      </w:r>
      <w:r>
        <w:rPr>
          <w:spacing w:val="-73"/>
        </w:rPr>
        <w:t> </w:t>
      </w:r>
      <w:r>
        <w:rPr>
          <w:spacing w:val="-73"/>
        </w:rPr>
      </w:r>
      <w:r>
        <w:rPr/>
        <w:t>的有效性发表意见。审计工作还包括评价管理层选用会计政策的恰当性和作出会计估计的合理性，以及评</w:t>
      </w:r>
      <w:r>
        <w:rPr>
          <w:spacing w:val="-73"/>
        </w:rPr>
        <w:t> </w:t>
      </w:r>
      <w:r>
        <w:rPr>
          <w:spacing w:val="-73"/>
        </w:rPr>
      </w:r>
      <w:r>
        <w:rPr/>
        <w:t>价财务报表的总体列报。</w:t>
      </w:r>
    </w:p>
    <w:p>
      <w:pPr>
        <w:spacing w:after="0" w:line="367" w:lineRule="auto"/>
        <w:jc w:val="both"/>
        <w:sectPr>
          <w:pgSz w:w="11910" w:h="16840"/>
          <w:pgMar w:header="0" w:footer="959" w:top="1560" w:bottom="1160" w:left="1120" w:right="980"/>
        </w:sectPr>
      </w:pPr>
    </w:p>
    <w:p>
      <w:pPr>
        <w:pStyle w:val="BodyText"/>
        <w:spacing w:line="684" w:lineRule="auto" w:before="19"/>
        <w:ind w:left="473" w:right="1866" w:firstLine="7"/>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57" w:lineRule="auto" w:before="103"/>
        <w:ind w:right="236" w:firstLine="359"/>
        <w:jc w:val="both"/>
      </w:pPr>
      <w:r>
        <w:rPr/>
        <w:t>我们认为，天舟文化公司财务报表在所有重大方面按照企业会计准则的规定编制，公允反映了天舟文 化公司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日的合并财务状况及财务状况以及</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年度的合并经营成果和合并现金流量及经 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tbl>
      <w:tblPr>
        <w:tblW w:w="0" w:type="auto"/>
        <w:jc w:val="left"/>
        <w:tblInd w:w="1120" w:type="dxa"/>
        <w:tblLayout w:type="fixed"/>
        <w:tblCellMar>
          <w:top w:w="0" w:type="dxa"/>
          <w:left w:w="0" w:type="dxa"/>
          <w:bottom w:w="0" w:type="dxa"/>
          <w:right w:w="0" w:type="dxa"/>
        </w:tblCellMar>
        <w:tblLook w:val="01E0"/>
      </w:tblPr>
      <w:tblGrid>
        <w:gridCol w:w="2752"/>
        <w:gridCol w:w="2722"/>
        <w:gridCol w:w="1964"/>
      </w:tblGrid>
      <w:tr>
        <w:trPr>
          <w:trHeight w:val="630" w:hRule="exact"/>
        </w:trPr>
        <w:tc>
          <w:tcPr>
            <w:tcW w:w="2752"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180" w:lineRule="exact"/>
              <w:ind w:right="348"/>
              <w:jc w:val="right"/>
              <w:rPr>
                <w:rFonts w:ascii="宋体" w:hAnsi="宋体" w:cs="宋体" w:eastAsia="宋体" w:hint="default"/>
                <w:sz w:val="18"/>
                <w:szCs w:val="18"/>
              </w:rPr>
            </w:pPr>
            <w:r>
              <w:rPr>
                <w:rFonts w:ascii="宋体" w:hAnsi="宋体" w:cs="宋体" w:eastAsia="宋体" w:hint="default"/>
                <w:sz w:val="18"/>
                <w:szCs w:val="18"/>
              </w:rPr>
              <w:t>中国注册会计师：</w:t>
            </w:r>
          </w:p>
        </w:tc>
        <w:tc>
          <w:tcPr>
            <w:tcW w:w="1964" w:type="dxa"/>
            <w:tcBorders>
              <w:top w:val="nil" w:sz="6" w:space="0" w:color="auto"/>
              <w:left w:val="nil" w:sz="6" w:space="0" w:color="auto"/>
              <w:bottom w:val="single" w:sz="4" w:space="0" w:color="000000"/>
              <w:right w:val="nil" w:sz="6" w:space="0" w:color="auto"/>
            </w:tcBorders>
          </w:tcPr>
          <w:p>
            <w:pPr>
              <w:pStyle w:val="TableParagraph"/>
              <w:spacing w:line="180" w:lineRule="exact"/>
              <w:ind w:left="711" w:right="0"/>
              <w:jc w:val="left"/>
              <w:rPr>
                <w:rFonts w:ascii="宋体" w:hAnsi="宋体" w:cs="宋体" w:eastAsia="宋体" w:hint="default"/>
                <w:sz w:val="18"/>
                <w:szCs w:val="18"/>
              </w:rPr>
            </w:pPr>
            <w:r>
              <w:rPr>
                <w:rFonts w:ascii="宋体" w:hAnsi="宋体" w:cs="宋体" w:eastAsia="宋体" w:hint="default"/>
                <w:sz w:val="18"/>
                <w:szCs w:val="18"/>
              </w:rPr>
              <w:t>刘宇科</w:t>
            </w:r>
          </w:p>
        </w:tc>
      </w:tr>
      <w:tr>
        <w:trPr>
          <w:trHeight w:val="1495"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549" w:lineRule="auto"/>
              <w:ind w:left="200" w:right="929" w:firstLine="360"/>
              <w:jc w:val="left"/>
              <w:rPr>
                <w:rFonts w:ascii="宋体" w:hAnsi="宋体" w:cs="宋体" w:eastAsia="宋体" w:hint="default"/>
                <w:sz w:val="18"/>
                <w:szCs w:val="18"/>
              </w:rPr>
            </w:pPr>
            <w:r>
              <w:rPr>
                <w:rFonts w:ascii="宋体" w:hAnsi="宋体" w:cs="宋体" w:eastAsia="宋体" w:hint="default"/>
                <w:sz w:val="18"/>
                <w:szCs w:val="18"/>
              </w:rPr>
              <w:t>中国·北京 二○一六年三月三日</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348"/>
              <w:jc w:val="right"/>
              <w:rPr>
                <w:rFonts w:ascii="宋体" w:hAnsi="宋体" w:cs="宋体" w:eastAsia="宋体" w:hint="default"/>
                <w:sz w:val="18"/>
                <w:szCs w:val="18"/>
              </w:rPr>
            </w:pPr>
            <w:r>
              <w:rPr>
                <w:rFonts w:ascii="宋体" w:hAnsi="宋体" w:cs="宋体" w:eastAsia="宋体" w:hint="default"/>
                <w:sz w:val="18"/>
                <w:szCs w:val="18"/>
              </w:rPr>
              <w:t>中国注册会计师：</w:t>
            </w:r>
          </w:p>
        </w:tc>
        <w:tc>
          <w:tcPr>
            <w:tcW w:w="196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李明</w:t>
            </w:r>
          </w:p>
        </w:tc>
      </w:tr>
      <w:tr>
        <w:trPr>
          <w:trHeight w:val="983" w:hRule="exact"/>
        </w:trPr>
        <w:tc>
          <w:tcPr>
            <w:tcW w:w="2752"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348"/>
              <w:jc w:val="right"/>
              <w:rPr>
                <w:rFonts w:ascii="宋体" w:hAnsi="宋体" w:cs="宋体" w:eastAsia="宋体" w:hint="default"/>
                <w:sz w:val="18"/>
                <w:szCs w:val="18"/>
              </w:rPr>
            </w:pPr>
            <w:r>
              <w:rPr>
                <w:rFonts w:ascii="宋体" w:hAnsi="宋体" w:cs="宋体" w:eastAsia="宋体" w:hint="default"/>
                <w:sz w:val="18"/>
                <w:szCs w:val="18"/>
              </w:rPr>
              <w:t>中国注册会计师：</w:t>
            </w:r>
          </w:p>
        </w:tc>
        <w:tc>
          <w:tcPr>
            <w:tcW w:w="196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伍舫</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line="20" w:lineRule="exact"/>
        <w:ind w:left="6589" w:right="0" w:firstLine="0"/>
        <w:rPr>
          <w:rFonts w:ascii="宋体" w:hAnsi="宋体" w:cs="宋体" w:eastAsia="宋体" w:hint="default"/>
          <w:sz w:val="2"/>
          <w:szCs w:val="2"/>
        </w:rPr>
      </w:pPr>
      <w:r>
        <w:rPr>
          <w:rFonts w:ascii="宋体" w:hAnsi="宋体" w:cs="宋体" w:eastAsia="宋体" w:hint="default"/>
          <w:sz w:val="2"/>
          <w:szCs w:val="2"/>
        </w:rPr>
        <w:pict>
          <v:group style="width:98.7pt;height:.5pt;mso-position-horizontal-relative:char;mso-position-vertical-relative:line" coordorigin="0,0" coordsize="1974,10">
            <v:group style="position:absolute;left:5;top:5;width:1964;height:2" coordorigin="5,5" coordsize="1964,2">
              <v:shape style="position:absolute;left:5;top:5;width:1964;height:2" coordorigin="5,5" coordsize="1964,0" path="m5,5l1968,5e" filled="false" stroked="true" strokeweight=".48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959" w:top="1480" w:bottom="1160" w:left="1680" w:right="1560"/>
        </w:sectPr>
      </w:pPr>
    </w:p>
    <w:p>
      <w:pPr>
        <w:pStyle w:val="Heading3"/>
        <w:spacing w:line="240" w:lineRule="auto" w:before="4"/>
        <w:ind w:left="820" w:right="598"/>
        <w:jc w:val="left"/>
        <w:rPr>
          <w:b w:val="0"/>
          <w:bCs w:val="0"/>
        </w:rPr>
      </w:pPr>
      <w:r>
        <w:rPr/>
        <w:t>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820" w:right="598"/>
        <w:jc w:val="left"/>
      </w:pPr>
      <w:r>
        <w:rPr/>
        <w:t>财务附注中报表的单位为：人民币元</w:t>
      </w:r>
    </w:p>
    <w:p>
      <w:pPr>
        <w:spacing w:line="240" w:lineRule="auto" w:before="6"/>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59" w:top="1380" w:bottom="1160" w:left="980" w:right="1120"/>
        </w:sectPr>
      </w:pPr>
    </w:p>
    <w:p>
      <w:pPr>
        <w:pStyle w:val="Heading5"/>
        <w:spacing w:line="240" w:lineRule="auto" w:before="36"/>
        <w:ind w:left="820" w:right="-20"/>
        <w:jc w:val="left"/>
        <w:rPr>
          <w:b w:val="0"/>
          <w:bCs w:val="0"/>
        </w:rPr>
      </w:pPr>
      <w:r>
        <w:rPr>
          <w:rFonts w:ascii="Times New Roman" w:hAnsi="Times New Roman" w:cs="Times New Roman" w:eastAsia="Times New Roman" w:hint="default"/>
        </w:rPr>
        <w:t>1</w:t>
      </w:r>
      <w:r>
        <w:rPr/>
        <w:t>、合并资产负债表</w:t>
      </w:r>
      <w:r>
        <w:rPr>
          <w:b w:val="0"/>
          <w:bCs w:val="0"/>
        </w:rPr>
      </w:r>
    </w:p>
    <w:p>
      <w:pPr>
        <w:pStyle w:val="BodyText"/>
        <w:spacing w:line="240" w:lineRule="auto" w:before="42"/>
        <w:ind w:left="820" w:right="-20"/>
        <w:jc w:val="left"/>
      </w:pPr>
      <w:r>
        <w:rPr/>
        <w:t>编制单位：天舟文化股份有限公司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BodyText"/>
        <w:spacing w:line="240" w:lineRule="auto"/>
        <w:ind w:left="820" w:right="0"/>
        <w:jc w:val="left"/>
      </w:pPr>
      <w:r>
        <w:rPr/>
        <w:t>单位：元</w:t>
      </w:r>
    </w:p>
    <w:p>
      <w:pPr>
        <w:spacing w:after="0" w:line="240" w:lineRule="auto"/>
        <w:jc w:val="left"/>
        <w:sectPr>
          <w:type w:val="continuous"/>
          <w:pgSz w:w="11910" w:h="16840"/>
          <w:pgMar w:top="1580" w:bottom="1140" w:left="980" w:right="1120"/>
          <w:cols w:num="2" w:equalWidth="0">
            <w:col w:w="3521" w:space="4067"/>
            <w:col w:w="2222"/>
          </w:cols>
        </w:sectPr>
      </w:pP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945"/>
        <w:gridCol w:w="3312"/>
        <w:gridCol w:w="3301"/>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497,692,570.51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495,993,223.71</w:t>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63,325.00</w:t>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54,150,583.95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63,798,728.94</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27,561,189.42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12,617,529.17</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w w:val="95"/>
                <w:sz w:val="18"/>
              </w:rPr>
              <w:t>81,114.09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2,442,897.09</w:t>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7,500,935.98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7,304,986.06</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21,315,231.94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40,230,312.89</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104,122,673.75</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16,488,413.96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104,245,457.61</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624,790,039.85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830,819,134.22</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77,347,000.00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27,347,000.00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172,875,151.17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60,748,691.27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43,507,899.81</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1140" w:left="980" w:right="1120"/>
        </w:sectPr>
      </w:pPr>
    </w:p>
    <w:p>
      <w:pPr>
        <w:spacing w:line="240" w:lineRule="auto" w:before="1"/>
        <w:rPr>
          <w:rFonts w:ascii="Times New Roman" w:hAnsi="Times New Roman" w:cs="Times New Roman" w:eastAsia="Times New Roman"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967"/>
        <w:gridCol w:w="3300"/>
        <w:gridCol w:w="3301"/>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819,430.34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1,028,170.64</w:t>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1,124,037,462.81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1,124,037,462.81</w:t>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131,203.70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918,425.30</w:t>
            </w:r>
          </w:p>
        </w:tc>
      </w:tr>
      <w:tr>
        <w:trPr>
          <w:trHeight w:val="36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37,852.27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725,261.88</w:t>
            </w:r>
          </w:p>
        </w:tc>
      </w:tr>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1,460,996,791.56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1,198,564,220.44</w:t>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2,085,786,831.41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2,029,383,354.66</w:t>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2967"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13" w:space="0" w:color="D2D2D2"/>
              <w:bottom w:val="single" w:sz="4" w:space="0" w:color="FFFFFF"/>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8" w:hRule="exact"/>
        </w:trPr>
        <w:tc>
          <w:tcPr>
            <w:tcW w:w="296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1"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108,236,508.86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95,795,411.64</w:t>
            </w:r>
          </w:p>
        </w:tc>
      </w:tr>
      <w:tr>
        <w:trPr>
          <w:trHeight w:val="36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2"/>
                <w:sz w:val="18"/>
              </w:rPr>
              <w:t>6,262,115.47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5,520,466.33</w:t>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4,662,043.17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5,131,837.33</w:t>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18,026,438.37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10,187,388.67</w:t>
            </w:r>
          </w:p>
        </w:tc>
      </w:tr>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8,775,874.01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135,878,885.85</w:t>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145,962,979.88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252,513,989.82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9" w:top="1340" w:bottom="1140" w:left="980" w:right="1120"/>
        </w:sectPr>
      </w:pPr>
    </w:p>
    <w:p>
      <w:pPr>
        <w:spacing w:line="240" w:lineRule="auto" w:before="1"/>
        <w:rPr>
          <w:rFonts w:ascii="Times New Roman" w:hAnsi="Times New Roman" w:cs="Times New Roman" w:eastAsia="Times New Roman"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940"/>
        <w:gridCol w:w="3317"/>
        <w:gridCol w:w="3301"/>
      </w:tblGrid>
      <w:tr>
        <w:trPr>
          <w:trHeight w:val="36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217,897.87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775,517.54</w:t>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1,666,666.67</w:t>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717,897.87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2,442,184.21</w:t>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146,680,877.75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254,956,174.03</w:t>
            </w:r>
          </w:p>
        </w:tc>
      </w:tr>
      <w:tr>
        <w:trPr>
          <w:trHeight w:val="360"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422,351,509.00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351,959,591.00</w:t>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1,135,568,398.81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1,205,960,316.81</w:t>
            </w:r>
          </w:p>
        </w:tc>
      </w:tr>
      <w:tr>
        <w:trPr>
          <w:trHeight w:val="360"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19,493,613.62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15,150,122.60</w:t>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351,386,254.33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191,830,428.97</w:t>
            </w:r>
          </w:p>
        </w:tc>
      </w:tr>
      <w:tr>
        <w:trPr>
          <w:trHeight w:val="360"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1,928,799,775.76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1,764,900,459.38</w:t>
            </w:r>
          </w:p>
        </w:tc>
      </w:tr>
      <w:tr>
        <w:trPr>
          <w:trHeight w:val="36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10,306,177.90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9,526,721.25</w:t>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1,939,105,953.66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1,774,427,180.63</w:t>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2,085,786,831.41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2,029,383,354.66</w:t>
            </w:r>
          </w:p>
        </w:tc>
      </w:tr>
    </w:tbl>
    <w:p>
      <w:pPr>
        <w:pStyle w:val="BodyText"/>
        <w:spacing w:line="240" w:lineRule="auto" w:before="8"/>
        <w:ind w:left="820" w:right="598"/>
        <w:jc w:val="left"/>
      </w:pPr>
      <w:r>
        <w:rPr/>
        <w:t>法定代表人：肖志鸿主管会计工作负责人：殷明坤会计机构负责人：刘英</w:t>
      </w:r>
    </w:p>
    <w:p>
      <w:pPr>
        <w:spacing w:line="240" w:lineRule="auto" w:before="6"/>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59" w:top="1340" w:bottom="1140" w:left="980" w:right="1120"/>
        </w:sectPr>
      </w:pPr>
    </w:p>
    <w:p>
      <w:pPr>
        <w:pStyle w:val="Heading5"/>
        <w:spacing w:line="240" w:lineRule="auto" w:before="36"/>
        <w:ind w:left="820" w:right="-8"/>
        <w:jc w:val="left"/>
        <w:rPr>
          <w:b w:val="0"/>
          <w:bCs w:val="0"/>
        </w:rPr>
      </w:pPr>
      <w:r>
        <w:rPr>
          <w:rFonts w:ascii="Times New Roman" w:hAnsi="Times New Roman" w:cs="Times New Roman" w:eastAsia="Times New Roman" w:hint="default"/>
          <w:spacing w:val="-1"/>
        </w:rPr>
        <w:t>2</w:t>
      </w:r>
      <w:r>
        <w:rPr>
          <w:spacing w:val="-1"/>
        </w:rPr>
        <w:t>、母公司资产负债表</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3"/>
        <w:ind w:left="820" w:right="0"/>
        <w:jc w:val="left"/>
      </w:pPr>
      <w:r>
        <w:rPr/>
        <w:t>单位：元</w:t>
      </w:r>
    </w:p>
    <w:p>
      <w:pPr>
        <w:spacing w:after="0" w:line="240" w:lineRule="auto"/>
        <w:jc w:val="left"/>
        <w:sectPr>
          <w:type w:val="continuous"/>
          <w:pgSz w:w="11910" w:h="16840"/>
          <w:pgMar w:top="1580" w:bottom="1140" w:left="980" w:right="1120"/>
          <w:cols w:num="2" w:equalWidth="0">
            <w:col w:w="2825" w:space="4763"/>
            <w:col w:w="2222"/>
          </w:cols>
        </w:sectPr>
      </w:pP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945"/>
        <w:gridCol w:w="3312"/>
        <w:gridCol w:w="3301"/>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311,043,452.37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388,090,687.29</w:t>
            </w:r>
          </w:p>
        </w:tc>
      </w:tr>
      <w:tr>
        <w:trPr>
          <w:trHeight w:val="6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1140" w:left="980" w:right="1120"/>
        </w:sectPr>
      </w:pPr>
    </w:p>
    <w:p>
      <w:pPr>
        <w:spacing w:line="240" w:lineRule="auto" w:before="1"/>
        <w:rPr>
          <w:rFonts w:ascii="Times New Roman" w:hAnsi="Times New Roman" w:cs="Times New Roman" w:eastAsia="Times New Roman"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945"/>
        <w:gridCol w:w="3312"/>
        <w:gridCol w:w="3301"/>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6,636,289.01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5,258,225.42</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21,735,063.89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4,531,915.88</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w w:val="95"/>
                <w:sz w:val="18"/>
              </w:rPr>
              <w:t>81,114.09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2,442,897.09</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24,025,159.28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21,045,313.35</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7,327,950.71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17,496,667.14</w:t>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104,122,673.75</w:t>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370,849,029.35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542,988,379.92</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1,471,322,628.25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1,301,322,628.25</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52,662,347.66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35,720,526.12</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818,533.86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1,024,102.12</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10,381.79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600,364.27</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1,619,813,891.56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1,359,667,620.76</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1,990,662,920.91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1,902,656,000.68</w:t>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9" w:top="1340" w:bottom="1140" w:left="980" w:right="1120"/>
        </w:sectPr>
      </w:pPr>
    </w:p>
    <w:p>
      <w:pPr>
        <w:spacing w:line="240" w:lineRule="auto" w:before="1"/>
        <w:rPr>
          <w:rFonts w:ascii="Times New Roman" w:hAnsi="Times New Roman" w:cs="Times New Roman" w:eastAsia="Times New Roman"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945"/>
        <w:gridCol w:w="3312"/>
        <w:gridCol w:w="3301"/>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77,592,483.31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75,808,004.34</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67,793.73</w:t>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3,382,656.40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2,496,591.95</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8,589,293.45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5,051,722.35</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213,660,061.83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161,743,120.24</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303,224,494.99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245,167,232.61</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1,666,666.67</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1,666,666.67</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303,724,494.99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246,833,899.28</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422,351,509.00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351,959,591.00</w:t>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1,135,277,366.50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1,205,669,284.50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19,493,613.62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15,150,122.60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109,815,936.80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83,043,103.30</w:t>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1,686,938,425.92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1,655,822,101.40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1,990,662,920.91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1,902,656,000.68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9" w:top="1340" w:bottom="1140" w:left="980" w:right="1120"/>
        </w:sectPr>
      </w:pPr>
    </w:p>
    <w:p>
      <w:pPr>
        <w:pStyle w:val="BodyText"/>
        <w:spacing w:line="240" w:lineRule="auto" w:before="30"/>
        <w:ind w:left="820" w:right="598"/>
        <w:jc w:val="left"/>
      </w:pPr>
      <w:r>
        <w:rPr/>
        <w:t>法定代表人：肖志鸿主管会计工作负责人：殷明坤会计机构负责人：刘英</w:t>
      </w:r>
    </w:p>
    <w:p>
      <w:pPr>
        <w:spacing w:line="240" w:lineRule="auto" w:before="6"/>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59" w:top="1400" w:bottom="1140" w:left="980" w:right="1120"/>
        </w:sectPr>
      </w:pPr>
    </w:p>
    <w:p>
      <w:pPr>
        <w:pStyle w:val="Heading5"/>
        <w:spacing w:line="240" w:lineRule="auto" w:before="36"/>
        <w:ind w:left="820" w:right="-17"/>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3"/>
        <w:ind w:left="820" w:right="0"/>
        <w:jc w:val="left"/>
      </w:pPr>
      <w:r>
        <w:rPr/>
        <w:t>单位：元</w:t>
      </w:r>
    </w:p>
    <w:p>
      <w:pPr>
        <w:spacing w:after="0" w:line="240" w:lineRule="auto"/>
        <w:jc w:val="left"/>
        <w:sectPr>
          <w:type w:val="continuous"/>
          <w:pgSz w:w="11910" w:h="16840"/>
          <w:pgMar w:top="1580" w:bottom="1140" w:left="980" w:right="1120"/>
          <w:cols w:num="2" w:equalWidth="0">
            <w:col w:w="2194" w:space="5394"/>
            <w:col w:w="2222"/>
          </w:cols>
        </w:sectPr>
      </w:pPr>
    </w:p>
    <w:p>
      <w:pPr>
        <w:spacing w:line="240" w:lineRule="auto" w:before="4"/>
        <w:rPr>
          <w:rFonts w:ascii="宋体" w:hAnsi="宋体" w:cs="宋体" w:eastAsia="宋体" w:hint="default"/>
          <w:sz w:val="8"/>
          <w:szCs w:val="8"/>
        </w:rPr>
      </w:pPr>
      <w:r>
        <w:rPr/>
        <w:pict>
          <v:group style="position:absolute;margin-left:210.050003pt;margin-top:599.5pt;width:157.7pt;height:17.650pt;mso-position-horizontal-relative:page;mso-position-vertical-relative:page;z-index:-1037776" coordorigin="4201,11990" coordsize="3154,353">
            <v:shape style="position:absolute;left:4201;top:11990;width:3154;height:353" coordorigin="4201,11990" coordsize="3154,353" path="m4201,12343l7355,12343,7355,11990,4201,11990,4201,12343xe" filled="true" fillcolor="#ffffff" stroked="false">
              <v:path arrowok="t"/>
              <v:fill type="solid"/>
            </v:shape>
            <w10:wrap type="none"/>
          </v:group>
        </w:pict>
      </w:r>
      <w:r>
        <w:rPr/>
        <w:pict>
          <v:group style="position:absolute;margin-left:210.050003pt;margin-top:708.099976pt;width:157.7pt;height:17.650pt;mso-position-horizontal-relative:page;mso-position-vertical-relative:page;z-index:-1037752" coordorigin="4201,14162" coordsize="3154,353">
            <v:shape style="position:absolute;left:4201;top:14162;width:3154;height:353" coordorigin="4201,14162" coordsize="3154,353" path="m4201,14515l7355,14515,7355,14162,4201,14162,4201,14515xe" filled="true" fillcolor="#ffffff" stroked="false">
              <v:path arrowok="t"/>
              <v:fill type="solid"/>
            </v:shape>
            <w10:wrap type="none"/>
          </v:group>
        </w:pict>
      </w:r>
    </w:p>
    <w:tbl>
      <w:tblPr>
        <w:tblW w:w="0" w:type="auto"/>
        <w:jc w:val="left"/>
        <w:tblInd w:w="118" w:type="dxa"/>
        <w:tblLayout w:type="fixed"/>
        <w:tblCellMar>
          <w:top w:w="0" w:type="dxa"/>
          <w:left w:w="0" w:type="dxa"/>
          <w:bottom w:w="0" w:type="dxa"/>
          <w:right w:w="0" w:type="dxa"/>
        </w:tblCellMar>
        <w:tblLook w:val="01E0"/>
      </w:tblPr>
      <w:tblGrid>
        <w:gridCol w:w="3057"/>
        <w:gridCol w:w="3221"/>
        <w:gridCol w:w="3279"/>
      </w:tblGrid>
      <w:tr>
        <w:trPr>
          <w:trHeight w:val="360"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544,282,530.17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515,755,768.36</w:t>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544,282,530.17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515,755,768.36</w:t>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363,734,988.66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pacing w:val="-1"/>
                <w:sz w:val="18"/>
              </w:rPr>
              <w:t>381,791,959.04</w:t>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235,770,667.04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281,439,807.55</w:t>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54"/>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1,545,540.72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1,061,167.97</w:t>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41,984,008.82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43,722,560.16</w:t>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74,437,731.93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52,620,702.28</w:t>
            </w:r>
          </w:p>
        </w:tc>
      </w:tr>
      <w:tr>
        <w:trPr>
          <w:trHeight w:val="360"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-7,596,636.28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-5,333,461.85</w:t>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17,593,676.43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8,281,182.93</w:t>
            </w:r>
          </w:p>
        </w:tc>
      </w:tr>
      <w:tr>
        <w:trPr>
          <w:trHeight w:val="67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0"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26,185,339.75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1,790,926.88</w:t>
            </w:r>
          </w:p>
        </w:tc>
      </w:tr>
      <w:tr>
        <w:trPr>
          <w:trHeight w:val="67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1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-124,848.83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-24,756.64</w:t>
            </w:r>
          </w:p>
        </w:tc>
      </w:tr>
      <w:tr>
        <w:trPr>
          <w:trHeight w:val="362" w:hRule="exact"/>
        </w:trPr>
        <w:tc>
          <w:tcPr>
            <w:tcW w:w="3057"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8"/>
              <w:ind w:right="106"/>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1" w:type="dxa"/>
            <w:tcBorders>
              <w:top w:val="single" w:sz="4" w:space="0" w:color="000000"/>
              <w:left w:val="single" w:sz="23" w:space="0" w:color="FFFFFF"/>
              <w:bottom w:val="single" w:sz="4" w:space="0" w:color="000000"/>
              <w:right w:val="single" w:sz="4" w:space="0" w:color="000000"/>
            </w:tcBorders>
          </w:tcPr>
          <w:p>
            <w:pPr>
              <w:pStyle w:val="TableParagraph"/>
              <w:tabs>
                <w:tab w:pos="3108" w:val="left" w:leader="none"/>
              </w:tabs>
              <w:spacing w:line="240" w:lineRule="auto" w:before="8"/>
              <w:ind w:left="-150" w:right="1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206,732,881.26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135,754,736.20</w:t>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14,768,500.36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8,062,845.30</w:t>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54"/>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52,172.33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22,619.27</w:t>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171,950.49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2"/>
                <w:sz w:val="18"/>
              </w:rPr>
              <w:t>262,011.79</w:t>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54"/>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91,910.78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3,539.86</w:t>
            </w:r>
          </w:p>
        </w:tc>
      </w:tr>
      <w:tr>
        <w:trPr>
          <w:trHeight w:val="362" w:hRule="exact"/>
        </w:trPr>
        <w:tc>
          <w:tcPr>
            <w:tcW w:w="3057"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21" w:type="dxa"/>
            <w:tcBorders>
              <w:top w:val="single" w:sz="4" w:space="0" w:color="000000"/>
              <w:left w:val="single" w:sz="23" w:space="0" w:color="FFFFFF"/>
              <w:bottom w:val="single" w:sz="4" w:space="0" w:color="000000"/>
              <w:right w:val="single" w:sz="4" w:space="0" w:color="000000"/>
            </w:tcBorders>
          </w:tcPr>
          <w:p>
            <w:pPr>
              <w:pStyle w:val="TableParagraph"/>
              <w:tabs>
                <w:tab w:pos="2039" w:val="left" w:leader="none"/>
              </w:tabs>
              <w:spacing w:line="240" w:lineRule="auto" w:before="8"/>
              <w:ind w:left="-136"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221,329,431.13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143,555,569.71</w:t>
            </w:r>
          </w:p>
        </w:tc>
      </w:tr>
      <w:tr>
        <w:trPr>
          <w:trHeight w:val="360"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44,332,072.42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24,516,691.61</w:t>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176,997,358.71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119,038,878.10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1140" w:left="980" w:right="112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3057"/>
        <w:gridCol w:w="3221"/>
        <w:gridCol w:w="3279"/>
      </w:tblGrid>
      <w:tr>
        <w:trPr>
          <w:trHeight w:val="36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176,217,902.06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118,257,749.77</w:t>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779,456.65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781,128.33</w:t>
            </w:r>
          </w:p>
        </w:tc>
      </w:tr>
      <w:tr>
        <w:trPr>
          <w:trHeight w:val="360"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10"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10"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0"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0"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176,997,358.71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119,038,878.10</w:t>
            </w:r>
          </w:p>
        </w:tc>
      </w:tr>
      <w:tr>
        <w:trPr>
          <w:trHeight w:val="67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7"/>
              <w:ind w:left="10"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176,217,902.06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118,257,749.77</w:t>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779,456.65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781,128.33</w:t>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w w:val="95"/>
                <w:sz w:val="18"/>
              </w:rPr>
              <w:t>0.42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0.33</w:t>
            </w:r>
          </w:p>
        </w:tc>
      </w:tr>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w w:val="95"/>
                <w:sz w:val="18"/>
              </w:rPr>
              <w:t>0.42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0.33</w:t>
            </w:r>
          </w:p>
        </w:tc>
      </w:tr>
    </w:tbl>
    <w:p>
      <w:pPr>
        <w:pStyle w:val="BodyText"/>
        <w:spacing w:line="316" w:lineRule="auto" w:before="8"/>
        <w:ind w:left="820" w:right="3206"/>
        <w:jc w:val="left"/>
      </w:pPr>
      <w:r>
        <w:rPr/>
        <w:t>法定代表人：肖志鸿主管会计工作负责人：殷明坤会计机构负责人：刘英 本期未发生同一控制下企业合并。</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959" w:top="1340" w:bottom="1140" w:left="980" w:right="1120"/>
        </w:sectPr>
      </w:pPr>
    </w:p>
    <w:p>
      <w:pPr>
        <w:pStyle w:val="Heading5"/>
        <w:spacing w:line="240" w:lineRule="auto" w:before="36"/>
        <w:ind w:left="820" w:right="-17"/>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1"/>
        <w:ind w:left="820" w:right="0"/>
        <w:jc w:val="left"/>
      </w:pPr>
      <w:r>
        <w:rPr/>
        <w:t>单位：元</w:t>
      </w:r>
    </w:p>
    <w:p>
      <w:pPr>
        <w:spacing w:after="0" w:line="240" w:lineRule="auto"/>
        <w:jc w:val="left"/>
        <w:sectPr>
          <w:type w:val="continuous"/>
          <w:pgSz w:w="11910" w:h="16840"/>
          <w:pgMar w:top="1580" w:bottom="1140" w:left="980" w:right="1120"/>
          <w:cols w:num="2" w:equalWidth="0">
            <w:col w:w="2405" w:space="5183"/>
            <w:col w:w="2222"/>
          </w:cols>
        </w:sectPr>
      </w:pPr>
    </w:p>
    <w:p>
      <w:pPr>
        <w:spacing w:line="240" w:lineRule="auto" w:before="1"/>
        <w:rPr>
          <w:rFonts w:ascii="Times New Roman" w:hAnsi="Times New Roman" w:cs="Times New Roman" w:eastAsia="Times New Roman"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945"/>
        <w:gridCol w:w="3312"/>
        <w:gridCol w:w="3301"/>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224,752,648.54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271,113,526.77</w:t>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158,141,173.83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198,465,017.95</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86,212.74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44,033.62</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18,624,337.20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21,996,629.51</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28,746,108.63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20,519,180.25</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-5,127,415.78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-5,579,966.77</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88,628.81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2"/>
                <w:sz w:val="18"/>
              </w:rPr>
              <w:t>6,210,113.08</w:t>
            </w:r>
          </w:p>
        </w:tc>
      </w:tr>
      <w:tr>
        <w:trPr>
          <w:trHeight w:val="67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0"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25,090,428.23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-134,940.10</w:t>
            </w: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-24,756.64</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49,284,031.34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29,323,579.03</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9,860,825.81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3,290,594.18</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44,592.73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22,619.27</w:t>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109,919.92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241,669.81</w:t>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29,885.45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2,732.31</w:t>
            </w:r>
          </w:p>
        </w:tc>
      </w:tr>
      <w:tr>
        <w:trPr>
          <w:trHeight w:val="6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 w:right="63"/>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59,034,937.23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32,372,503.40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15,600,027.03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10,226,633.90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43,434,910.20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22,145,869.50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0" w:right="8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 w:right="8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 w:right="8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9" w:top="1340" w:bottom="1140" w:left="980" w:right="1120"/>
        </w:sectPr>
      </w:pPr>
    </w:p>
    <w:p>
      <w:pPr>
        <w:spacing w:line="240" w:lineRule="auto" w:before="1"/>
        <w:rPr>
          <w:rFonts w:ascii="Times New Roman" w:hAnsi="Times New Roman" w:cs="Times New Roman" w:eastAsia="Times New Roman"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945"/>
        <w:gridCol w:w="3312"/>
        <w:gridCol w:w="3301"/>
      </w:tblGrid>
      <w:tr>
        <w:trPr>
          <w:trHeight w:val="6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0"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43,434,910.20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22,145,869.50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w w:val="95"/>
                <w:sz w:val="18"/>
              </w:rPr>
              <w:t>0.10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w w:val="95"/>
                <w:sz w:val="18"/>
              </w:rPr>
              <w:t>0.06</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w w:val="95"/>
                <w:sz w:val="18"/>
              </w:rPr>
              <w:t>0.10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w w:val="95"/>
                <w:sz w:val="18"/>
              </w:rPr>
              <w:t>0.06</w:t>
            </w:r>
          </w:p>
        </w:tc>
      </w:tr>
    </w:tbl>
    <w:p>
      <w:pPr>
        <w:pStyle w:val="BodyText"/>
        <w:spacing w:line="240" w:lineRule="auto" w:before="8"/>
        <w:ind w:left="820" w:right="0"/>
        <w:jc w:val="left"/>
      </w:pPr>
      <w:r>
        <w:rPr/>
        <w:t>法定代表人：肖志鸿主管会计工作负责人：殷明坤会计机构负责人：刘英</w:t>
      </w:r>
    </w:p>
    <w:p>
      <w:pPr>
        <w:spacing w:line="240" w:lineRule="auto" w:before="6"/>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59" w:top="1340" w:bottom="1140" w:left="980" w:right="840"/>
        </w:sectPr>
      </w:pPr>
    </w:p>
    <w:p>
      <w:pPr>
        <w:pStyle w:val="Heading5"/>
        <w:spacing w:line="240" w:lineRule="auto" w:before="36"/>
        <w:ind w:left="820" w:right="-16"/>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3"/>
        <w:ind w:left="820" w:right="0"/>
        <w:jc w:val="left"/>
      </w:pPr>
      <w:r>
        <w:rPr/>
        <w:t>单位：元</w:t>
      </w:r>
    </w:p>
    <w:p>
      <w:pPr>
        <w:spacing w:after="0" w:line="240" w:lineRule="auto"/>
        <w:jc w:val="left"/>
        <w:sectPr>
          <w:type w:val="continuous"/>
          <w:pgSz w:w="11910" w:h="16840"/>
          <w:pgMar w:top="1580" w:bottom="1140" w:left="980" w:right="840"/>
          <w:cols w:num="2" w:equalWidth="0">
            <w:col w:w="2616" w:space="4972"/>
            <w:col w:w="2502"/>
          </w:cols>
        </w:sectPr>
      </w:pP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228"/>
        <w:gridCol w:w="3312"/>
        <w:gridCol w:w="3303"/>
      </w:tblGrid>
      <w:tr>
        <w:trPr>
          <w:trHeight w:val="361"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1"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562,358,487.63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508,701,811.10</w:t>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144"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 当期损益的金融资产净增加额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7,819,524.18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1,258,354.98</w:t>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13,687,505.86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17,027,535.09</w:t>
            </w:r>
          </w:p>
        </w:tc>
      </w:tr>
      <w:tr>
        <w:trPr>
          <w:trHeight w:val="36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pacing w:val="-1"/>
                <w:sz w:val="18"/>
              </w:rPr>
              <w:t>583,865,517.67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pacing w:val="-1"/>
                <w:sz w:val="18"/>
              </w:rPr>
              <w:t>526,987,701.17</w:t>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201,166,667.66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230,017,180.95</w:t>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70,826,516.20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51,246,055.70</w:t>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48,951,742.57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25,920,787.25</w:t>
            </w:r>
          </w:p>
        </w:tc>
      </w:tr>
      <w:tr>
        <w:trPr>
          <w:trHeight w:val="360"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48,243,009.31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45,074,546.29</w:t>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369,187,935.74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352,258,570.19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1140" w:left="980" w:right="840"/>
        </w:sectPr>
      </w:pPr>
    </w:p>
    <w:p>
      <w:pPr>
        <w:spacing w:line="240" w:lineRule="auto" w:before="1"/>
        <w:rPr>
          <w:rFonts w:ascii="Times New Roman" w:hAnsi="Times New Roman" w:cs="Times New Roman" w:eastAsia="Times New Roman"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3228"/>
        <w:gridCol w:w="3312"/>
        <w:gridCol w:w="3303"/>
      </w:tblGrid>
      <w:tr>
        <w:trPr>
          <w:trHeight w:val="36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214,677,581.93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174,729,130.98</w:t>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0"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183,800,000.00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183,167,520.00</w:t>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2,342,342.33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1,528,008.44</w:t>
            </w:r>
          </w:p>
        </w:tc>
      </w:tr>
      <w:tr>
        <w:trPr>
          <w:trHeight w:val="674"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10"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w:t>
            </w:r>
            <w:r>
              <w:rPr>
                <w:rFonts w:ascii="宋体" w:hAnsi="宋体" w:cs="宋体" w:eastAsia="宋体" w:hint="default"/>
                <w:sz w:val="18"/>
                <w:szCs w:val="18"/>
              </w:rPr>
              <w:t> 资产收回的现金净额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156,152.13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23,680.00</w:t>
            </w:r>
          </w:p>
        </w:tc>
      </w:tr>
      <w:tr>
        <w:trPr>
          <w:trHeight w:val="674"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144"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 现金净额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186,298,494.46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184,719,208.44</w:t>
            </w:r>
          </w:p>
        </w:tc>
      </w:tr>
      <w:tr>
        <w:trPr>
          <w:trHeight w:val="67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10"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w:t>
            </w:r>
            <w:r>
              <w:rPr>
                <w:rFonts w:ascii="宋体" w:hAnsi="宋体" w:cs="宋体" w:eastAsia="宋体" w:hint="default"/>
                <w:sz w:val="18"/>
                <w:szCs w:val="18"/>
              </w:rPr>
              <w:t> 资产支付的现金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23,958,143.91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4,167,055.68</w:t>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267,000,000.00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131,205,078.79</w:t>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144"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 现金净额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246,210,094.19</w:t>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290,958,143.91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381,582,228.66</w:t>
            </w:r>
          </w:p>
        </w:tc>
      </w:tr>
      <w:tr>
        <w:trPr>
          <w:trHeight w:val="360"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-104,659,649.45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-196,863,020.22</w:t>
            </w:r>
          </w:p>
        </w:tc>
      </w:tr>
      <w:tr>
        <w:trPr>
          <w:trHeight w:val="36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225,781,992.52</w:t>
            </w:r>
          </w:p>
        </w:tc>
      </w:tr>
      <w:tr>
        <w:trPr>
          <w:trHeight w:val="674"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10"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其中：子公司吸收少数股东投资收到</w:t>
            </w:r>
            <w:r>
              <w:rPr>
                <w:rFonts w:ascii="宋体" w:hAnsi="宋体" w:cs="宋体" w:eastAsia="宋体" w:hint="default"/>
                <w:sz w:val="18"/>
                <w:szCs w:val="18"/>
              </w:rPr>
              <w:t> 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225,781,992.52</w:t>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分配股利、利润或偿付利息支付的现</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12,318,585.68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7,965,000.00</w:t>
            </w:r>
          </w:p>
        </w:tc>
      </w:tr>
      <w:tr>
        <w:trPr>
          <w:trHeight w:val="674"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144"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 利、利润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w:t>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12,318,585.68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7,965,000.00</w:t>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-12,318,585.68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217,816,992.52</w:t>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四、汇率变动对现金及现金等价物的影响</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97,699,346.80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195,683,103.28</w:t>
            </w:r>
          </w:p>
        </w:tc>
      </w:tr>
      <w:tr>
        <w:trPr>
          <w:trHeight w:val="363"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368,993,223.71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173,310,120.43</w:t>
            </w:r>
          </w:p>
        </w:tc>
      </w:tr>
      <w:tr>
        <w:trPr>
          <w:trHeight w:val="36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466,692,570.51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368,993,223.71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9" w:top="1340" w:bottom="1140" w:left="980" w:right="840"/>
        </w:sectPr>
      </w:pPr>
    </w:p>
    <w:p>
      <w:pPr>
        <w:pStyle w:val="BodyText"/>
        <w:spacing w:line="240" w:lineRule="auto" w:before="30"/>
        <w:ind w:left="820" w:right="598"/>
        <w:jc w:val="left"/>
      </w:pPr>
      <w:r>
        <w:rPr/>
        <w:t>法定代表人：肖志鸿主管会计工作负责人：殷明坤会计机构负责人：刘英</w:t>
      </w:r>
    </w:p>
    <w:p>
      <w:pPr>
        <w:spacing w:line="240" w:lineRule="auto" w:before="6"/>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59" w:top="1400" w:bottom="1140" w:left="980" w:right="1120"/>
        </w:sectPr>
      </w:pPr>
    </w:p>
    <w:p>
      <w:pPr>
        <w:pStyle w:val="Heading5"/>
        <w:spacing w:line="240" w:lineRule="auto" w:before="36"/>
        <w:ind w:left="820" w:right="-8"/>
        <w:jc w:val="left"/>
        <w:rPr>
          <w:b w:val="0"/>
          <w:bCs w:val="0"/>
        </w:rPr>
      </w:pPr>
      <w:r>
        <w:rPr>
          <w:rFonts w:ascii="Times New Roman" w:hAnsi="Times New Roman" w:cs="Times New Roman" w:eastAsia="Times New Roman" w:hint="default"/>
          <w:spacing w:val="-1"/>
        </w:rPr>
        <w:t>6</w:t>
      </w:r>
      <w:r>
        <w:rPr>
          <w:spacing w:val="-1"/>
        </w:rPr>
        <w:t>、母公司现金流量表</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3"/>
        <w:ind w:left="820" w:right="0"/>
        <w:jc w:val="left"/>
      </w:pPr>
      <w:r>
        <w:rPr/>
        <w:t>单位：元</w:t>
      </w:r>
    </w:p>
    <w:p>
      <w:pPr>
        <w:spacing w:after="0" w:line="240" w:lineRule="auto"/>
        <w:jc w:val="left"/>
        <w:sectPr>
          <w:type w:val="continuous"/>
          <w:pgSz w:w="11910" w:h="16840"/>
          <w:pgMar w:top="1580" w:bottom="1140" w:left="980" w:right="1120"/>
          <w:cols w:num="2" w:equalWidth="0">
            <w:col w:w="2825" w:space="4763"/>
            <w:col w:w="2222"/>
          </w:cols>
        </w:sectPr>
      </w:pP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943"/>
        <w:gridCol w:w="3314"/>
        <w:gridCol w:w="3301"/>
      </w:tblGrid>
      <w:tr>
        <w:trPr>
          <w:trHeight w:val="36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224,674,629.99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272,613,064.29</w:t>
            </w:r>
          </w:p>
        </w:tc>
      </w:tr>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7,649,566.41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188,626,076.52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39,641,613.65</w:t>
            </w:r>
          </w:p>
        </w:tc>
      </w:tr>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420,950,272.92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312,254,677.94</w:t>
            </w:r>
          </w:p>
        </w:tc>
      </w:tr>
      <w:tr>
        <w:trPr>
          <w:trHeight w:val="36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142,009,902.67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159,217,888.17</w:t>
            </w:r>
          </w:p>
        </w:tc>
      </w:tr>
      <w:tr>
        <w:trPr>
          <w:trHeight w:val="67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14,513,386.41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13,882,899.32</w:t>
            </w:r>
          </w:p>
        </w:tc>
      </w:tr>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13,509,720.28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8,099,896.40</w:t>
            </w:r>
          </w:p>
        </w:tc>
      </w:tr>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33,186,884.47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36,676,123.36</w:t>
            </w:r>
          </w:p>
        </w:tc>
      </w:tr>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203,219,893.83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217,876,807.25</w:t>
            </w:r>
          </w:p>
        </w:tc>
      </w:tr>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217,730,379.09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94,377,870.69</w:t>
            </w:r>
          </w:p>
        </w:tc>
      </w:tr>
      <w:tr>
        <w:trPr>
          <w:trHeight w:val="36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96,000,000.00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183,167,520.00</w:t>
            </w:r>
          </w:p>
        </w:tc>
      </w:tr>
      <w:tr>
        <w:trPr>
          <w:trHeight w:val="36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1,122,581.98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540,000.00</w:t>
            </w:r>
          </w:p>
        </w:tc>
      </w:tr>
      <w:tr>
        <w:trPr>
          <w:trHeight w:val="67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121,407.44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23,680.00</w:t>
            </w:r>
          </w:p>
        </w:tc>
      </w:tr>
      <w:tr>
        <w:trPr>
          <w:trHeight w:val="67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97,243,989.42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183,731,200.00</w:t>
            </w:r>
          </w:p>
        </w:tc>
      </w:tr>
      <w:tr>
        <w:trPr>
          <w:trHeight w:val="67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851" w:right="9" w:hanging="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其他长期资产支付的现金</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19,703,017.75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1,500,756.74</w:t>
            </w:r>
          </w:p>
        </w:tc>
      </w:tr>
      <w:tr>
        <w:trPr>
          <w:trHeight w:val="36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9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264,000,000.00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377,215,800.03</w:t>
            </w:r>
          </w:p>
        </w:tc>
      </w:tr>
      <w:tr>
        <w:trPr>
          <w:trHeight w:val="67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51" w:right="160" w:hanging="60"/>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51" w:right="160" w:hanging="60"/>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283,703,017.75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378,716,556.77</w:t>
            </w:r>
          </w:p>
        </w:tc>
      </w:tr>
      <w:tr>
        <w:trPr>
          <w:trHeight w:val="36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-186,459,028.33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-194,985,356.77</w:t>
            </w:r>
          </w:p>
        </w:tc>
      </w:tr>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1" w:right="-18"/>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9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225,781,992.52</w:t>
            </w:r>
          </w:p>
        </w:tc>
      </w:tr>
      <w:tr>
        <w:trPr>
          <w:trHeight w:val="161" w:hRule="exact"/>
        </w:trPr>
        <w:tc>
          <w:tcPr>
            <w:tcW w:w="294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14"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29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9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vMerge/>
            <w:tcBorders>
              <w:left w:val="single" w:sz="9" w:space="0" w:color="D2D2D2"/>
              <w:right w:val="single" w:sz="4" w:space="0" w:color="000000"/>
            </w:tcBorders>
          </w:tcPr>
          <w:p>
            <w:pPr/>
          </w:p>
        </w:tc>
        <w:tc>
          <w:tcPr>
            <w:tcW w:w="3301" w:type="dxa"/>
            <w:vMerge/>
            <w:tcBorders>
              <w:left w:val="single" w:sz="4" w:space="0" w:color="000000"/>
              <w:right w:val="single" w:sz="4" w:space="0" w:color="000000"/>
            </w:tcBorders>
          </w:tcPr>
          <w:p>
            <w:pPr/>
          </w:p>
        </w:tc>
      </w:tr>
      <w:tr>
        <w:trPr>
          <w:trHeight w:val="161" w:hRule="exact"/>
        </w:trPr>
        <w:tc>
          <w:tcPr>
            <w:tcW w:w="294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14" w:type="dxa"/>
            <w:vMerge/>
            <w:tcBorders>
              <w:left w:val="single" w:sz="9" w:space="0" w:color="D2D2D2"/>
              <w:bottom w:val="single" w:sz="4" w:space="0" w:color="000000"/>
              <w:right w:val="single" w:sz="4" w:space="0" w:color="000000"/>
            </w:tcBorders>
          </w:tcPr>
          <w:p>
            <w:pPr/>
          </w:p>
        </w:tc>
        <w:tc>
          <w:tcPr>
            <w:tcW w:w="3301"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580" w:bottom="1140" w:left="980" w:right="1120"/>
        </w:sectPr>
      </w:pPr>
    </w:p>
    <w:p>
      <w:pPr>
        <w:spacing w:line="240" w:lineRule="auto" w:before="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965"/>
        <w:gridCol w:w="3303"/>
        <w:gridCol w:w="3301"/>
      </w:tblGrid>
      <w:tr>
        <w:trPr>
          <w:trHeight w:val="675"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62" w:right="171" w:hanging="60"/>
              <w:jc w:val="left"/>
              <w:rPr>
                <w:rFonts w:ascii="宋体" w:hAnsi="宋体" w:cs="宋体" w:eastAsia="宋体" w:hint="default"/>
                <w:sz w:val="18"/>
                <w:szCs w:val="18"/>
              </w:rPr>
            </w:pPr>
            <w:r>
              <w:rPr>
                <w:rFonts w:ascii="宋体" w:hAnsi="宋体" w:cs="宋体" w:eastAsia="宋体" w:hint="default"/>
                <w:sz w:val="18"/>
                <w:szCs w:val="18"/>
              </w:rPr>
              <w:t>收到其他与筹资活动有关 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4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225,781,992.52</w:t>
            </w:r>
          </w:p>
        </w:tc>
      </w:tr>
      <w:tr>
        <w:trPr>
          <w:trHeight w:val="674"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62" w:right="20" w:hanging="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支付的现金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12,318,585.68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7,605,000.00</w:t>
            </w:r>
          </w:p>
        </w:tc>
      </w:tr>
      <w:tr>
        <w:trPr>
          <w:trHeight w:val="675"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862" w:right="171" w:hanging="60"/>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4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12,318,585.68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7,605,000.00</w:t>
            </w:r>
          </w:p>
        </w:tc>
      </w:tr>
      <w:tr>
        <w:trPr>
          <w:trHeight w:val="362"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4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-12,318,585.68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218,176,992.52</w:t>
            </w:r>
          </w:p>
        </w:tc>
      </w:tr>
      <w:tr>
        <w:trPr>
          <w:trHeight w:val="672"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62" w:right="20" w:hanging="420"/>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物的影响</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42"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18,952,765.08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117,569,506.44</w:t>
            </w:r>
          </w:p>
        </w:tc>
      </w:tr>
      <w:tr>
        <w:trPr>
          <w:trHeight w:val="674"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62" w:right="20" w:hanging="6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余额</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261,090,687.29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143,521,180.85</w:t>
            </w:r>
          </w:p>
        </w:tc>
      </w:tr>
      <w:tr>
        <w:trPr>
          <w:trHeight w:val="362"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42"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280,043,452.37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261,090,687.29</w:t>
            </w:r>
          </w:p>
        </w:tc>
      </w:tr>
    </w:tbl>
    <w:p>
      <w:pPr>
        <w:pStyle w:val="BodyText"/>
        <w:spacing w:line="240" w:lineRule="auto" w:before="8"/>
        <w:ind w:left="820" w:right="598"/>
        <w:jc w:val="left"/>
      </w:pPr>
      <w:r>
        <w:rPr/>
        <w:t>法定代表人：肖志鸿主管会计工作负责人：殷明坤会计机构负责人：刘英</w:t>
      </w:r>
    </w:p>
    <w:p>
      <w:pPr>
        <w:spacing w:line="240" w:lineRule="auto" w:before="6"/>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59" w:top="1340" w:bottom="1140" w:left="980" w:right="1120"/>
        </w:sectPr>
      </w:pPr>
    </w:p>
    <w:p>
      <w:pPr>
        <w:pStyle w:val="Heading5"/>
        <w:spacing w:line="240" w:lineRule="auto" w:before="36"/>
        <w:ind w:left="820" w:right="-6"/>
        <w:jc w:val="left"/>
        <w:rPr>
          <w:b w:val="0"/>
          <w:bCs w:val="0"/>
        </w:rPr>
      </w:pPr>
      <w:r>
        <w:rPr>
          <w:rFonts w:ascii="Times New Roman" w:hAnsi="Times New Roman" w:cs="Times New Roman" w:eastAsia="Times New Roman" w:hint="default"/>
          <w:spacing w:val="-1"/>
        </w:rPr>
        <w:t>7</w:t>
      </w:r>
      <w:r>
        <w:rPr>
          <w:spacing w:val="-1"/>
        </w:rPr>
        <w:t>、合并所有者权益变动表</w:t>
      </w:r>
      <w:r>
        <w:rPr>
          <w:b w:val="0"/>
          <w:bCs w:val="0"/>
          <w:spacing w:val="-1"/>
        </w:rPr>
      </w:r>
    </w:p>
    <w:p>
      <w:pPr>
        <w:pStyle w:val="BodyText"/>
        <w:spacing w:line="240" w:lineRule="auto" w:before="42"/>
        <w:ind w:left="820" w:right="-6"/>
        <w:jc w:val="left"/>
      </w:pP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pStyle w:val="BodyText"/>
        <w:spacing w:line="240" w:lineRule="auto"/>
        <w:ind w:left="820" w:right="0"/>
        <w:jc w:val="left"/>
      </w:pPr>
      <w:r>
        <w:rPr/>
        <w:t>单位：元</w:t>
      </w:r>
    </w:p>
    <w:p>
      <w:pPr>
        <w:spacing w:after="0" w:line="240" w:lineRule="auto"/>
        <w:jc w:val="left"/>
        <w:sectPr>
          <w:type w:val="continuous"/>
          <w:pgSz w:w="11910" w:h="16840"/>
          <w:pgMar w:top="1580" w:bottom="1140" w:left="980" w:right="1120"/>
          <w:cols w:num="2" w:equalWidth="0">
            <w:col w:w="3247" w:space="4340"/>
            <w:col w:w="2223"/>
          </w:cols>
        </w:sectPr>
      </w:pPr>
    </w:p>
    <w:p>
      <w:pPr>
        <w:spacing w:line="240" w:lineRule="auto" w:before="3"/>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427"/>
        <w:gridCol w:w="562"/>
        <w:gridCol w:w="530"/>
        <w:gridCol w:w="531"/>
        <w:gridCol w:w="533"/>
        <w:gridCol w:w="662"/>
        <w:gridCol w:w="665"/>
        <w:gridCol w:w="668"/>
        <w:gridCol w:w="665"/>
        <w:gridCol w:w="662"/>
        <w:gridCol w:w="665"/>
        <w:gridCol w:w="665"/>
        <w:gridCol w:w="667"/>
        <w:gridCol w:w="658"/>
      </w:tblGrid>
      <w:tr>
        <w:trPr>
          <w:trHeight w:val="361"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2"/>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7" w:type="dxa"/>
            <w:vMerge/>
            <w:tcBorders>
              <w:left w:val="single" w:sz="4" w:space="0" w:color="000000"/>
              <w:right w:val="single" w:sz="4" w:space="0" w:color="000000"/>
            </w:tcBorders>
            <w:shd w:val="clear" w:color="auto" w:fill="D2D2D2"/>
          </w:tcPr>
          <w:p>
            <w:pPr/>
          </w:p>
        </w:tc>
        <w:tc>
          <w:tcPr>
            <w:tcW w:w="680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7"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08" w:type="dxa"/>
            <w:gridSpan w:val="11"/>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52"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87"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25" w:lineRule="exact"/>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3"/>
              <w:ind w:left="57" w:right="5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58" w:hRule="exact"/>
        </w:trPr>
        <w:tc>
          <w:tcPr>
            <w:tcW w:w="1427" w:type="dxa"/>
            <w:vMerge/>
            <w:tcBorders>
              <w:left w:val="single" w:sz="4" w:space="0" w:color="000000"/>
              <w:bottom w:val="single" w:sz="10" w:space="0" w:color="FFFFFF"/>
              <w:right w:val="single" w:sz="4" w:space="0" w:color="000000"/>
            </w:tcBorders>
            <w:shd w:val="clear" w:color="auto" w:fill="D2D2D2"/>
          </w:tcPr>
          <w:p>
            <w:pPr/>
          </w:p>
        </w:tc>
        <w:tc>
          <w:tcPr>
            <w:tcW w:w="562" w:type="dxa"/>
            <w:vMerge/>
            <w:tcBorders>
              <w:left w:val="single" w:sz="4" w:space="0" w:color="000000"/>
              <w:bottom w:val="single" w:sz="10" w:space="0" w:color="FFFFFF"/>
              <w:right w:val="single" w:sz="4" w:space="0" w:color="000000"/>
            </w:tcBorders>
            <w:shd w:val="clear" w:color="auto" w:fill="D2D2D2"/>
          </w:tcPr>
          <w:p>
            <w:pPr/>
          </w:p>
        </w:tc>
        <w:tc>
          <w:tcPr>
            <w:tcW w:w="1594" w:type="dxa"/>
            <w:gridSpan w:val="3"/>
            <w:vMerge/>
            <w:tcBorders>
              <w:left w:val="single" w:sz="4" w:space="0" w:color="000000"/>
              <w:bottom w:val="single" w:sz="10" w:space="0" w:color="FFFFFF"/>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35"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57" w:right="58"/>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35" w:right="5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35"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7"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78" w:hRule="exact"/>
        </w:trPr>
        <w:tc>
          <w:tcPr>
            <w:tcW w:w="1427" w:type="dxa"/>
            <w:vMerge w:val="restart"/>
            <w:tcBorders>
              <w:top w:val="single" w:sz="10" w:space="0" w:color="FFFFFF"/>
              <w:left w:val="single" w:sz="4" w:space="0" w:color="000000"/>
              <w:right w:val="single" w:sz="4" w:space="0" w:color="000000"/>
            </w:tcBorders>
            <w:shd w:val="clear" w:color="auto" w:fill="D2D2D2"/>
          </w:tcPr>
          <w:p>
            <w:pPr/>
          </w:p>
        </w:tc>
        <w:tc>
          <w:tcPr>
            <w:tcW w:w="562" w:type="dxa"/>
            <w:vMerge w:val="restart"/>
            <w:tcBorders>
              <w:top w:val="single" w:sz="10" w:space="0" w:color="FFFFFF"/>
              <w:left w:val="single" w:sz="4" w:space="0" w:color="000000"/>
              <w:right w:val="single" w:sz="4" w:space="0" w:color="000000"/>
            </w:tcBorders>
            <w:shd w:val="clear" w:color="auto" w:fill="D2D2D2"/>
          </w:tcPr>
          <w:p>
            <w:pPr>
              <w:pStyle w:val="TableParagraph"/>
              <w:spacing w:line="229" w:lineRule="exact"/>
              <w:ind w:left="9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10" w:space="0" w:color="FFFFFF"/>
              <w:left w:val="single" w:sz="4" w:space="0" w:color="000000"/>
              <w:right w:val="single" w:sz="4" w:space="0" w:color="000000"/>
            </w:tcBorders>
            <w:shd w:val="clear" w:color="auto" w:fill="D2D2D2"/>
          </w:tcPr>
          <w:p>
            <w:pPr>
              <w:pStyle w:val="TableParagraph"/>
              <w:spacing w:line="316" w:lineRule="auto" w:before="17"/>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10" w:space="0" w:color="FFFFFF"/>
              <w:left w:val="single" w:sz="4" w:space="0" w:color="000000"/>
              <w:right w:val="single" w:sz="4" w:space="0" w:color="000000"/>
            </w:tcBorders>
            <w:shd w:val="clear" w:color="auto" w:fill="D2D2D2"/>
          </w:tcPr>
          <w:p>
            <w:pPr>
              <w:pStyle w:val="TableParagraph"/>
              <w:spacing w:line="316" w:lineRule="auto" w:before="17"/>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10" w:space="0" w:color="FFFFFF"/>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7"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3"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 w:right="0"/>
              <w:jc w:val="left"/>
              <w:rPr>
                <w:rFonts w:ascii="Times New Roman" w:hAnsi="Times New Roman" w:cs="Times New Roman" w:eastAsia="Times New Roman" w:hint="default"/>
                <w:sz w:val="18"/>
                <w:szCs w:val="18"/>
              </w:rPr>
            </w:pPr>
            <w:r>
              <w:rPr>
                <w:rFonts w:ascii="Times New Roman"/>
                <w:sz w:val="18"/>
              </w:rPr>
              <w:t>351,95</w:t>
            </w:r>
          </w:p>
          <w:p>
            <w:pPr>
              <w:pStyle w:val="TableParagraph"/>
              <w:spacing w:line="240" w:lineRule="auto" w:before="105"/>
              <w:ind w:left="69" w:right="0"/>
              <w:jc w:val="left"/>
              <w:rPr>
                <w:rFonts w:ascii="Times New Roman" w:hAnsi="Times New Roman" w:cs="Times New Roman" w:eastAsia="Times New Roman" w:hint="default"/>
                <w:sz w:val="18"/>
                <w:szCs w:val="18"/>
              </w:rPr>
            </w:pPr>
            <w:r>
              <w:rPr>
                <w:rFonts w:ascii="Times New Roman"/>
                <w:sz w:val="18"/>
              </w:rPr>
              <w:t>9,591.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1,205,9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60,316.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15,150,</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122.60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191,830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,428.97</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9,526,7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21.25</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1,774,4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r>
      <w:tr>
        <w:trPr>
          <w:trHeight w:val="35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473"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67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144"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vMerge/>
            <w:tcBorders>
              <w:left w:val="single" w:sz="10"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580" w:bottom="1140" w:left="980" w:right="1120"/>
        </w:sectPr>
      </w:pPr>
    </w:p>
    <w:p>
      <w:pPr>
        <w:spacing w:line="240" w:lineRule="auto" w:before="1"/>
        <w:rPr>
          <w:rFonts w:ascii="Times New Roman" w:hAnsi="Times New Roman" w:cs="Times New Roman" w:eastAsia="Times New Roman"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438"/>
        <w:gridCol w:w="562"/>
        <w:gridCol w:w="530"/>
        <w:gridCol w:w="531"/>
        <w:gridCol w:w="533"/>
        <w:gridCol w:w="662"/>
        <w:gridCol w:w="665"/>
        <w:gridCol w:w="668"/>
        <w:gridCol w:w="665"/>
        <w:gridCol w:w="662"/>
        <w:gridCol w:w="665"/>
        <w:gridCol w:w="665"/>
        <w:gridCol w:w="667"/>
        <w:gridCol w:w="658"/>
      </w:tblGrid>
      <w:tr>
        <w:trPr>
          <w:trHeight w:val="1299"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3" w:right="0"/>
              <w:jc w:val="left"/>
              <w:rPr>
                <w:rFonts w:ascii="Times New Roman" w:hAnsi="Times New Roman" w:cs="Times New Roman" w:eastAsia="Times New Roman" w:hint="default"/>
                <w:sz w:val="18"/>
                <w:szCs w:val="18"/>
              </w:rPr>
            </w:pPr>
            <w:r>
              <w:rPr>
                <w:rFonts w:ascii="Times New Roman"/>
                <w:sz w:val="18"/>
              </w:rPr>
              <w:t>351,95</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9,591.</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1,205,9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60,316.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88" w:right="0"/>
              <w:jc w:val="left"/>
              <w:rPr>
                <w:rFonts w:ascii="Times New Roman" w:hAnsi="Times New Roman" w:cs="Times New Roman" w:eastAsia="Times New Roman" w:hint="default"/>
                <w:sz w:val="18"/>
                <w:szCs w:val="18"/>
              </w:rPr>
            </w:pPr>
            <w:r>
              <w:rPr>
                <w:rFonts w:ascii="Times New Roman"/>
                <w:sz w:val="18"/>
              </w:rPr>
              <w:t>15,150,</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122.60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7" w:right="0"/>
              <w:jc w:val="left"/>
              <w:rPr>
                <w:rFonts w:ascii="Times New Roman" w:hAnsi="Times New Roman" w:cs="Times New Roman" w:eastAsia="Times New Roman" w:hint="default"/>
                <w:sz w:val="18"/>
                <w:szCs w:val="18"/>
              </w:rPr>
            </w:pPr>
            <w:r>
              <w:rPr>
                <w:rFonts w:ascii="Times New Roman"/>
                <w:sz w:val="18"/>
              </w:rPr>
              <w:t>191,830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,428.97</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70" w:right="0"/>
              <w:jc w:val="center"/>
              <w:rPr>
                <w:rFonts w:ascii="Times New Roman" w:hAnsi="Times New Roman" w:cs="Times New Roman" w:eastAsia="Times New Roman" w:hint="default"/>
                <w:sz w:val="18"/>
                <w:szCs w:val="18"/>
              </w:rPr>
            </w:pPr>
            <w:r>
              <w:rPr>
                <w:rFonts w:ascii="Times New Roman"/>
                <w:sz w:val="18"/>
              </w:rPr>
              <w:t>9,526,7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21.25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1,774,4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r>
      <w:tr>
        <w:trPr>
          <w:trHeight w:val="129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9" w:lineRule="auto"/>
              <w:ind w:left="2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70,391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6" w:right="0"/>
              <w:jc w:val="center"/>
              <w:rPr>
                <w:rFonts w:ascii="Times New Roman" w:hAnsi="Times New Roman" w:cs="Times New Roman" w:eastAsia="Times New Roman" w:hint="default"/>
                <w:sz w:val="18"/>
                <w:szCs w:val="18"/>
              </w:rPr>
            </w:pPr>
            <w:r>
              <w:rPr>
                <w:rFonts w:ascii="Times New Roman"/>
                <w:sz w:val="18"/>
              </w:rPr>
              <w:t>-70,391,</w:t>
            </w:r>
          </w:p>
          <w:p>
            <w:pPr>
              <w:pStyle w:val="TableParagraph"/>
              <w:spacing w:line="240" w:lineRule="auto" w:before="105"/>
              <w:ind w:left="106" w:right="0"/>
              <w:jc w:val="center"/>
              <w:rPr>
                <w:rFonts w:ascii="Times New Roman" w:hAnsi="Times New Roman" w:cs="Times New Roman" w:eastAsia="Times New Roman" w:hint="default"/>
                <w:sz w:val="18"/>
                <w:szCs w:val="18"/>
              </w:rPr>
            </w:pPr>
            <w:r>
              <w:rPr>
                <w:rFonts w:ascii="Times New Roman"/>
                <w:sz w:val="18"/>
              </w:rPr>
              <w:t>918.00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65" w:right="0"/>
              <w:jc w:val="center"/>
              <w:rPr>
                <w:rFonts w:ascii="Times New Roman" w:hAnsi="Times New Roman" w:cs="Times New Roman" w:eastAsia="Times New Roman" w:hint="default"/>
                <w:sz w:val="18"/>
                <w:szCs w:val="18"/>
              </w:rPr>
            </w:pPr>
            <w:r>
              <w:rPr>
                <w:rFonts w:ascii="Times New Roman"/>
                <w:sz w:val="18"/>
              </w:rPr>
              <w:t>4,343,4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91.02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7" w:right="0"/>
              <w:jc w:val="left"/>
              <w:rPr>
                <w:rFonts w:ascii="Times New Roman" w:hAnsi="Times New Roman" w:cs="Times New Roman" w:eastAsia="Times New Roman" w:hint="default"/>
                <w:sz w:val="18"/>
                <w:szCs w:val="18"/>
              </w:rPr>
            </w:pPr>
            <w:r>
              <w:rPr>
                <w:rFonts w:ascii="Times New Roman"/>
                <w:sz w:val="18"/>
              </w:rPr>
              <w:t>159,555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,825.36</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7" w:right="0"/>
              <w:jc w:val="left"/>
              <w:rPr>
                <w:rFonts w:ascii="Times New Roman" w:hAnsi="Times New Roman" w:cs="Times New Roman" w:eastAsia="Times New Roman" w:hint="default"/>
                <w:sz w:val="18"/>
                <w:szCs w:val="18"/>
              </w:rPr>
            </w:pPr>
            <w:r>
              <w:rPr>
                <w:rFonts w:ascii="Times New Roman"/>
                <w:sz w:val="18"/>
              </w:rPr>
              <w:t>779,456</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.65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38" w:right="0"/>
              <w:jc w:val="left"/>
              <w:rPr>
                <w:rFonts w:ascii="Times New Roman" w:hAnsi="Times New Roman" w:cs="Times New Roman" w:eastAsia="Times New Roman" w:hint="default"/>
                <w:sz w:val="18"/>
                <w:szCs w:val="18"/>
              </w:rPr>
            </w:pPr>
            <w:r>
              <w:rPr>
                <w:rFonts w:ascii="Times New Roman"/>
                <w:sz w:val="18"/>
              </w:rPr>
              <w:t>164,678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,773.03</w:t>
            </w:r>
          </w:p>
        </w:tc>
      </w:tr>
      <w:tr>
        <w:trPr>
          <w:trHeight w:val="98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7" w:right="0"/>
              <w:jc w:val="left"/>
              <w:rPr>
                <w:rFonts w:ascii="Times New Roman" w:hAnsi="Times New Roman" w:cs="Times New Roman" w:eastAsia="Times New Roman" w:hint="default"/>
                <w:sz w:val="18"/>
                <w:szCs w:val="18"/>
              </w:rPr>
            </w:pPr>
            <w:r>
              <w:rPr>
                <w:rFonts w:ascii="Times New Roman"/>
                <w:sz w:val="18"/>
              </w:rPr>
              <w:t>176,217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,902.06</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7" w:right="0"/>
              <w:jc w:val="left"/>
              <w:rPr>
                <w:rFonts w:ascii="Times New Roman" w:hAnsi="Times New Roman" w:cs="Times New Roman" w:eastAsia="Times New Roman" w:hint="default"/>
                <w:sz w:val="18"/>
                <w:szCs w:val="18"/>
              </w:rPr>
            </w:pPr>
            <w:r>
              <w:rPr>
                <w:rFonts w:ascii="Times New Roman"/>
                <w:sz w:val="18"/>
              </w:rPr>
              <w:t>779,456</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.65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8" w:right="0"/>
              <w:jc w:val="left"/>
              <w:rPr>
                <w:rFonts w:ascii="Times New Roman" w:hAnsi="Times New Roman" w:cs="Times New Roman" w:eastAsia="Times New Roman" w:hint="default"/>
                <w:sz w:val="18"/>
                <w:szCs w:val="18"/>
              </w:rPr>
            </w:pPr>
            <w:r>
              <w:rPr>
                <w:rFonts w:ascii="Times New Roman"/>
                <w:sz w:val="18"/>
              </w:rPr>
              <w:t>176,997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,358.71</w:t>
            </w:r>
          </w:p>
        </w:tc>
      </w:tr>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65" w:right="0"/>
              <w:jc w:val="center"/>
              <w:rPr>
                <w:rFonts w:ascii="Times New Roman" w:hAnsi="Times New Roman" w:cs="Times New Roman" w:eastAsia="Times New Roman" w:hint="default"/>
                <w:sz w:val="18"/>
                <w:szCs w:val="18"/>
              </w:rPr>
            </w:pPr>
            <w:r>
              <w:rPr>
                <w:rFonts w:ascii="Times New Roman"/>
                <w:sz w:val="18"/>
              </w:rPr>
              <w:t>4,343,4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91.02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2" w:right="0"/>
              <w:jc w:val="center"/>
              <w:rPr>
                <w:rFonts w:ascii="Times New Roman" w:hAnsi="Times New Roman" w:cs="Times New Roman" w:eastAsia="Times New Roman" w:hint="default"/>
                <w:sz w:val="18"/>
                <w:szCs w:val="18"/>
              </w:rPr>
            </w:pPr>
            <w:r>
              <w:rPr>
                <w:rFonts w:ascii="Times New Roman"/>
                <w:sz w:val="18"/>
              </w:rPr>
              <w:t>-16,662,</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076.70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 w:right="0"/>
              <w:jc w:val="center"/>
              <w:rPr>
                <w:rFonts w:ascii="Times New Roman" w:hAnsi="Times New Roman" w:cs="Times New Roman" w:eastAsia="Times New Roman" w:hint="default"/>
                <w:sz w:val="18"/>
                <w:szCs w:val="18"/>
              </w:rPr>
            </w:pPr>
            <w:r>
              <w:rPr>
                <w:rFonts w:ascii="Times New Roman"/>
                <w:sz w:val="18"/>
              </w:rPr>
              <w:t>-12,318,</w:t>
            </w:r>
          </w:p>
          <w:p>
            <w:pPr>
              <w:pStyle w:val="TableParagraph"/>
              <w:spacing w:line="240" w:lineRule="auto" w:before="105"/>
              <w:ind w:left="101" w:right="0"/>
              <w:jc w:val="center"/>
              <w:rPr>
                <w:rFonts w:ascii="Times New Roman" w:hAnsi="Times New Roman" w:cs="Times New Roman" w:eastAsia="Times New Roman" w:hint="default"/>
                <w:sz w:val="18"/>
                <w:szCs w:val="18"/>
              </w:rPr>
            </w:pPr>
            <w:r>
              <w:rPr>
                <w:rFonts w:ascii="Times New Roman"/>
                <w:sz w:val="18"/>
              </w:rPr>
              <w:t>585.68</w:t>
            </w:r>
          </w:p>
        </w:tc>
      </w:tr>
      <w:tr>
        <w:trPr>
          <w:trHeight w:val="98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5" w:right="0"/>
              <w:jc w:val="center"/>
              <w:rPr>
                <w:rFonts w:ascii="Times New Roman" w:hAnsi="Times New Roman" w:cs="Times New Roman" w:eastAsia="Times New Roman" w:hint="default"/>
                <w:sz w:val="18"/>
                <w:szCs w:val="18"/>
              </w:rPr>
            </w:pPr>
            <w:r>
              <w:rPr>
                <w:rFonts w:ascii="Times New Roman"/>
                <w:sz w:val="18"/>
              </w:rPr>
              <w:t>4,343,4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91.02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1" w:right="0"/>
              <w:jc w:val="center"/>
              <w:rPr>
                <w:rFonts w:ascii="Times New Roman" w:hAnsi="Times New Roman" w:cs="Times New Roman" w:eastAsia="Times New Roman" w:hint="default"/>
                <w:sz w:val="18"/>
                <w:szCs w:val="18"/>
              </w:rPr>
            </w:pPr>
            <w:r>
              <w:rPr>
                <w:rFonts w:ascii="Times New Roman"/>
                <w:sz w:val="18"/>
              </w:rPr>
              <w:t>-4,343,4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91.02</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0" w:lineRule="auto"/>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 w:right="0"/>
              <w:jc w:val="center"/>
              <w:rPr>
                <w:rFonts w:ascii="Times New Roman" w:hAnsi="Times New Roman" w:cs="Times New Roman" w:eastAsia="Times New Roman" w:hint="default"/>
                <w:sz w:val="18"/>
                <w:szCs w:val="18"/>
              </w:rPr>
            </w:pPr>
            <w:r>
              <w:rPr>
                <w:rFonts w:ascii="Times New Roman"/>
                <w:sz w:val="18"/>
              </w:rPr>
              <w:t>-12,318,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585.68</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Times New Roman" w:hAnsi="Times New Roman" w:cs="Times New Roman" w:eastAsia="Times New Roman" w:hint="default"/>
                <w:sz w:val="18"/>
                <w:szCs w:val="18"/>
              </w:rPr>
            </w:pPr>
            <w:r>
              <w:rPr>
                <w:rFonts w:ascii="Times New Roman"/>
                <w:sz w:val="18"/>
              </w:rPr>
              <w:t>-12,318,</w:t>
            </w:r>
          </w:p>
          <w:p>
            <w:pPr>
              <w:pStyle w:val="TableParagraph"/>
              <w:spacing w:line="240" w:lineRule="auto" w:before="105"/>
              <w:ind w:left="101" w:right="0"/>
              <w:jc w:val="center"/>
              <w:rPr>
                <w:rFonts w:ascii="Times New Roman" w:hAnsi="Times New Roman" w:cs="Times New Roman" w:eastAsia="Times New Roman" w:hint="default"/>
                <w:sz w:val="18"/>
                <w:szCs w:val="18"/>
              </w:rPr>
            </w:pPr>
            <w:r>
              <w:rPr>
                <w:rFonts w:ascii="Times New Roman"/>
                <w:sz w:val="18"/>
              </w:rPr>
              <w:t>585.68</w:t>
            </w:r>
          </w:p>
        </w:tc>
      </w:tr>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29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1"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70,391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6" w:right="0"/>
              <w:jc w:val="center"/>
              <w:rPr>
                <w:rFonts w:ascii="Times New Roman" w:hAnsi="Times New Roman" w:cs="Times New Roman" w:eastAsia="Times New Roman" w:hint="default"/>
                <w:sz w:val="18"/>
                <w:szCs w:val="18"/>
              </w:rPr>
            </w:pPr>
            <w:r>
              <w:rPr>
                <w:rFonts w:ascii="Times New Roman"/>
                <w:sz w:val="18"/>
              </w:rPr>
              <w:t>-70,391,</w:t>
            </w:r>
          </w:p>
          <w:p>
            <w:pPr>
              <w:pStyle w:val="TableParagraph"/>
              <w:spacing w:line="240" w:lineRule="auto" w:before="105"/>
              <w:ind w:left="106" w:right="0"/>
              <w:jc w:val="center"/>
              <w:rPr>
                <w:rFonts w:ascii="Times New Roman" w:hAnsi="Times New Roman" w:cs="Times New Roman" w:eastAsia="Times New Roman" w:hint="default"/>
                <w:sz w:val="18"/>
                <w:szCs w:val="18"/>
              </w:rPr>
            </w:pPr>
            <w:r>
              <w:rPr>
                <w:rFonts w:ascii="Times New Roman"/>
                <w:sz w:val="18"/>
              </w:rPr>
              <w:t>918.00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0" w:lineRule="auto"/>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70,391</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,918.0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6" w:right="0"/>
              <w:jc w:val="center"/>
              <w:rPr>
                <w:rFonts w:ascii="Times New Roman" w:hAnsi="Times New Roman" w:cs="Times New Roman" w:eastAsia="Times New Roman" w:hint="default"/>
                <w:sz w:val="18"/>
                <w:szCs w:val="18"/>
              </w:rPr>
            </w:pPr>
            <w:r>
              <w:rPr>
                <w:rFonts w:ascii="Times New Roman"/>
                <w:sz w:val="18"/>
              </w:rPr>
              <w:t>-70,391,</w:t>
            </w:r>
          </w:p>
          <w:p>
            <w:pPr>
              <w:pStyle w:val="TableParagraph"/>
              <w:spacing w:line="240" w:lineRule="auto" w:before="105"/>
              <w:ind w:left="106" w:right="0"/>
              <w:jc w:val="center"/>
              <w:rPr>
                <w:rFonts w:ascii="Times New Roman" w:hAnsi="Times New Roman" w:cs="Times New Roman" w:eastAsia="Times New Roman" w:hint="default"/>
                <w:sz w:val="18"/>
                <w:szCs w:val="18"/>
              </w:rPr>
            </w:pPr>
            <w:r>
              <w:rPr>
                <w:rFonts w:ascii="Times New Roman"/>
                <w:sz w:val="18"/>
              </w:rPr>
              <w:t>918.00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9" w:top="1340" w:bottom="1140" w:left="980" w:right="1120"/>
        </w:sectPr>
      </w:pPr>
    </w:p>
    <w:p>
      <w:pPr>
        <w:spacing w:line="240" w:lineRule="auto" w:before="1"/>
        <w:rPr>
          <w:rFonts w:ascii="Times New Roman" w:hAnsi="Times New Roman" w:cs="Times New Roman" w:eastAsia="Times New Roman"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438"/>
        <w:gridCol w:w="562"/>
        <w:gridCol w:w="530"/>
        <w:gridCol w:w="531"/>
        <w:gridCol w:w="533"/>
        <w:gridCol w:w="662"/>
        <w:gridCol w:w="665"/>
        <w:gridCol w:w="668"/>
        <w:gridCol w:w="665"/>
        <w:gridCol w:w="662"/>
        <w:gridCol w:w="665"/>
        <w:gridCol w:w="665"/>
        <w:gridCol w:w="667"/>
        <w:gridCol w:w="658"/>
      </w:tblGrid>
      <w:tr>
        <w:trPr>
          <w:trHeight w:val="36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29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3" w:right="0"/>
              <w:jc w:val="left"/>
              <w:rPr>
                <w:rFonts w:ascii="Times New Roman" w:hAnsi="Times New Roman" w:cs="Times New Roman" w:eastAsia="Times New Roman" w:hint="default"/>
                <w:sz w:val="18"/>
                <w:szCs w:val="18"/>
              </w:rPr>
            </w:pPr>
            <w:r>
              <w:rPr>
                <w:rFonts w:ascii="Times New Roman"/>
                <w:sz w:val="18"/>
              </w:rPr>
              <w:t>422,35</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1,509.</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1,135,5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68,398.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88" w:right="0"/>
              <w:jc w:val="left"/>
              <w:rPr>
                <w:rFonts w:ascii="Times New Roman" w:hAnsi="Times New Roman" w:cs="Times New Roman" w:eastAsia="Times New Roman" w:hint="default"/>
                <w:sz w:val="18"/>
                <w:szCs w:val="18"/>
              </w:rPr>
            </w:pPr>
            <w:r>
              <w:rPr>
                <w:rFonts w:ascii="Times New Roman"/>
                <w:sz w:val="18"/>
              </w:rPr>
              <w:t>19,493,</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613.62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7" w:right="0"/>
              <w:jc w:val="left"/>
              <w:rPr>
                <w:rFonts w:ascii="Times New Roman" w:hAnsi="Times New Roman" w:cs="Times New Roman" w:eastAsia="Times New Roman" w:hint="default"/>
                <w:sz w:val="18"/>
                <w:szCs w:val="18"/>
              </w:rPr>
            </w:pPr>
            <w:r>
              <w:rPr>
                <w:rFonts w:ascii="Times New Roman"/>
                <w:sz w:val="18"/>
              </w:rPr>
              <w:t>351,386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,254.33</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93" w:right="0"/>
              <w:jc w:val="left"/>
              <w:rPr>
                <w:rFonts w:ascii="Times New Roman" w:hAnsi="Times New Roman" w:cs="Times New Roman" w:eastAsia="Times New Roman" w:hint="default"/>
                <w:sz w:val="18"/>
                <w:szCs w:val="18"/>
              </w:rPr>
            </w:pPr>
            <w:r>
              <w:rPr>
                <w:rFonts w:ascii="Times New Roman"/>
                <w:sz w:val="18"/>
              </w:rPr>
              <w:t>10,306,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177.90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1,939,1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05,953.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r>
    </w:tbl>
    <w:p>
      <w:pPr>
        <w:pStyle w:val="BodyText"/>
        <w:spacing w:line="240" w:lineRule="auto" w:before="8"/>
        <w:ind w:left="820" w:right="598"/>
        <w:jc w:val="left"/>
      </w:pPr>
      <w:r>
        <w:rPr/>
        <w:t>上期金额</w:t>
      </w:r>
    </w:p>
    <w:p>
      <w:pPr>
        <w:pStyle w:val="BodyText"/>
        <w:spacing w:line="240" w:lineRule="auto" w:before="115"/>
        <w:ind w:left="0" w:right="676"/>
        <w:jc w:val="right"/>
      </w:pPr>
      <w:r>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425"/>
        <w:gridCol w:w="564"/>
        <w:gridCol w:w="530"/>
        <w:gridCol w:w="531"/>
        <w:gridCol w:w="530"/>
        <w:gridCol w:w="665"/>
        <w:gridCol w:w="665"/>
        <w:gridCol w:w="665"/>
        <w:gridCol w:w="665"/>
        <w:gridCol w:w="665"/>
        <w:gridCol w:w="665"/>
        <w:gridCol w:w="677"/>
        <w:gridCol w:w="653"/>
        <w:gridCol w:w="660"/>
      </w:tblGrid>
      <w:tr>
        <w:trPr>
          <w:trHeight w:val="362" w:hRule="exact"/>
        </w:trPr>
        <w:tc>
          <w:tcPr>
            <w:tcW w:w="1425"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5"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5"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85" w:hRule="exact"/>
        </w:trPr>
        <w:tc>
          <w:tcPr>
            <w:tcW w:w="1425" w:type="dxa"/>
            <w:vMerge w:val="restart"/>
            <w:tcBorders>
              <w:top w:val="nil" w:sz="6" w:space="0" w:color="auto"/>
              <w:left w:val="single" w:sz="4" w:space="0" w:color="000000"/>
              <w:right w:val="single" w:sz="4" w:space="0" w:color="000000"/>
            </w:tcBorders>
            <w:shd w:val="clear" w:color="auto" w:fill="D2D2D2"/>
          </w:tcPr>
          <w:p>
            <w:pPr>
              <w:pStyle w:val="TableParagraph"/>
              <w:spacing w:line="222" w:lineRule="exact"/>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56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58" w:hRule="exact"/>
        </w:trPr>
        <w:tc>
          <w:tcPr>
            <w:tcW w:w="1425" w:type="dxa"/>
            <w:vMerge/>
            <w:tcBorders>
              <w:left w:val="single" w:sz="4" w:space="0" w:color="000000"/>
              <w:bottom w:val="single" w:sz="10" w:space="0" w:color="FFFFFF"/>
              <w:right w:val="single" w:sz="4" w:space="0" w:color="000000"/>
            </w:tcBorders>
            <w:shd w:val="clear" w:color="auto" w:fill="D2D2D2"/>
          </w:tcPr>
          <w:p>
            <w:pPr/>
          </w:p>
        </w:tc>
        <w:tc>
          <w:tcPr>
            <w:tcW w:w="564" w:type="dxa"/>
            <w:vMerge/>
            <w:tcBorders>
              <w:left w:val="single" w:sz="4" w:space="0" w:color="000000"/>
              <w:bottom w:val="single" w:sz="10" w:space="0" w:color="FFFFFF"/>
              <w:right w:val="single" w:sz="4" w:space="0" w:color="000000"/>
            </w:tcBorders>
            <w:shd w:val="clear" w:color="auto" w:fill="D2D2D2"/>
          </w:tcPr>
          <w:p>
            <w:pPr/>
          </w:p>
        </w:tc>
        <w:tc>
          <w:tcPr>
            <w:tcW w:w="1592" w:type="dxa"/>
            <w:gridSpan w:val="3"/>
            <w:vMerge/>
            <w:tcBorders>
              <w:left w:val="single" w:sz="4" w:space="0" w:color="000000"/>
              <w:bottom w:val="single" w:sz="10" w:space="0" w:color="FFFFFF"/>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55" w:right="5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0" w:hRule="exact"/>
        </w:trPr>
        <w:tc>
          <w:tcPr>
            <w:tcW w:w="1425" w:type="dxa"/>
            <w:vMerge w:val="restart"/>
            <w:tcBorders>
              <w:top w:val="single" w:sz="10" w:space="0" w:color="FFFFFF"/>
              <w:left w:val="single" w:sz="4" w:space="0" w:color="000000"/>
              <w:right w:val="single" w:sz="4" w:space="0" w:color="000000"/>
            </w:tcBorders>
            <w:shd w:val="clear" w:color="auto" w:fill="D2D2D2"/>
          </w:tcPr>
          <w:p>
            <w:pPr/>
          </w:p>
        </w:tc>
        <w:tc>
          <w:tcPr>
            <w:tcW w:w="564" w:type="dxa"/>
            <w:vMerge w:val="restart"/>
            <w:tcBorders>
              <w:top w:val="single" w:sz="10" w:space="0" w:color="FFFFFF"/>
              <w:left w:val="single" w:sz="4" w:space="0" w:color="000000"/>
              <w:right w:val="single" w:sz="4" w:space="0" w:color="000000"/>
            </w:tcBorders>
            <w:shd w:val="clear" w:color="auto" w:fill="D2D2D2"/>
          </w:tcPr>
          <w:p>
            <w:pPr>
              <w:pStyle w:val="TableParagraph"/>
              <w:spacing w:line="229" w:lineRule="exact"/>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10" w:space="0" w:color="FFFFFF"/>
              <w:left w:val="single" w:sz="4" w:space="0" w:color="000000"/>
              <w:right w:val="single" w:sz="4" w:space="0" w:color="000000"/>
            </w:tcBorders>
            <w:shd w:val="clear" w:color="auto" w:fill="D2D2D2"/>
          </w:tcPr>
          <w:p>
            <w:pPr>
              <w:pStyle w:val="TableParagraph"/>
              <w:spacing w:line="316" w:lineRule="auto" w:before="20"/>
              <w:ind w:left="167"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10" w:space="0" w:color="FFFFFF"/>
              <w:left w:val="single" w:sz="4" w:space="0" w:color="000000"/>
              <w:right w:val="single" w:sz="4" w:space="0" w:color="000000"/>
            </w:tcBorders>
            <w:shd w:val="clear" w:color="auto" w:fill="D2D2D2"/>
          </w:tcPr>
          <w:p>
            <w:pPr>
              <w:pStyle w:val="TableParagraph"/>
              <w:spacing w:line="316" w:lineRule="auto" w:before="20"/>
              <w:ind w:left="167" w:right="80"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10" w:space="0" w:color="FFFFFF"/>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7" w:hRule="exact"/>
        </w:trPr>
        <w:tc>
          <w:tcPr>
            <w:tcW w:w="1425" w:type="dxa"/>
            <w:vMerge/>
            <w:tcBorders>
              <w:left w:val="single" w:sz="4" w:space="0" w:color="000000"/>
              <w:right w:val="single" w:sz="4" w:space="0" w:color="000000"/>
            </w:tcBorders>
            <w:shd w:val="clear" w:color="auto" w:fill="D2D2D2"/>
          </w:tcPr>
          <w:p>
            <w:pPr/>
          </w:p>
        </w:tc>
        <w:tc>
          <w:tcPr>
            <w:tcW w:w="56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5" w:type="dxa"/>
            <w:vMerge/>
            <w:tcBorders>
              <w:left w:val="single" w:sz="4" w:space="0" w:color="000000"/>
              <w:right w:val="single" w:sz="4" w:space="0" w:color="000000"/>
            </w:tcBorders>
            <w:shd w:val="clear" w:color="auto" w:fill="D2D2D2"/>
          </w:tcPr>
          <w:p>
            <w:pPr/>
          </w:p>
        </w:tc>
        <w:tc>
          <w:tcPr>
            <w:tcW w:w="56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198" w:hRule="exact"/>
        </w:trPr>
        <w:tc>
          <w:tcPr>
            <w:tcW w:w="1425" w:type="dxa"/>
            <w:vMerge/>
            <w:tcBorders>
              <w:left w:val="single" w:sz="4" w:space="0" w:color="000000"/>
              <w:bottom w:val="single" w:sz="4" w:space="0" w:color="000000"/>
              <w:right w:val="single" w:sz="4" w:space="0" w:color="000000"/>
            </w:tcBorders>
            <w:shd w:val="clear" w:color="auto" w:fill="D2D2D2"/>
          </w:tcPr>
          <w:p>
            <w:pPr/>
          </w:p>
        </w:tc>
        <w:tc>
          <w:tcPr>
            <w:tcW w:w="56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3" w:hRule="exact"/>
        </w:trPr>
        <w:tc>
          <w:tcPr>
            <w:tcW w:w="1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5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0" w:right="0"/>
              <w:jc w:val="left"/>
              <w:rPr>
                <w:rFonts w:ascii="Times New Roman" w:hAnsi="Times New Roman" w:cs="Times New Roman" w:eastAsia="Times New Roman" w:hint="default"/>
                <w:sz w:val="18"/>
                <w:szCs w:val="18"/>
              </w:rPr>
            </w:pPr>
            <w:r>
              <w:rPr>
                <w:rFonts w:ascii="Times New Roman"/>
                <w:sz w:val="18"/>
              </w:rPr>
              <w:t>152,10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288,237</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,915.29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12,935,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535.65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83,392,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266.15</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9,105,5</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92.92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545,771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,310.01</w:t>
            </w:r>
          </w:p>
        </w:tc>
      </w:tr>
      <w:tr>
        <w:trPr>
          <w:trHeight w:val="353" w:hRule="exact"/>
        </w:trPr>
        <w:tc>
          <w:tcPr>
            <w:tcW w:w="1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473" w:hRule="exact"/>
        </w:trPr>
        <w:tc>
          <w:tcPr>
            <w:tcW w:w="1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56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674" w:hRule="exact"/>
        </w:trPr>
        <w:tc>
          <w:tcPr>
            <w:tcW w:w="1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1" w:hRule="exact"/>
        </w:trPr>
        <w:tc>
          <w:tcPr>
            <w:tcW w:w="1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5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1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56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319" w:hRule="exact"/>
        </w:trPr>
        <w:tc>
          <w:tcPr>
            <w:tcW w:w="1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5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30" w:right="0"/>
              <w:jc w:val="left"/>
              <w:rPr>
                <w:rFonts w:ascii="Times New Roman" w:hAnsi="Times New Roman" w:cs="Times New Roman" w:eastAsia="Times New Roman" w:hint="default"/>
                <w:sz w:val="18"/>
                <w:szCs w:val="18"/>
              </w:rPr>
            </w:pPr>
            <w:r>
              <w:rPr>
                <w:rFonts w:ascii="Times New Roman"/>
                <w:sz w:val="18"/>
              </w:rPr>
              <w:t>152,10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5" w:right="0"/>
              <w:jc w:val="left"/>
              <w:rPr>
                <w:rFonts w:ascii="Times New Roman" w:hAnsi="Times New Roman" w:cs="Times New Roman" w:eastAsia="Times New Roman" w:hint="default"/>
                <w:sz w:val="18"/>
                <w:szCs w:val="18"/>
              </w:rPr>
            </w:pPr>
            <w:r>
              <w:rPr>
                <w:rFonts w:ascii="Times New Roman"/>
                <w:sz w:val="18"/>
              </w:rPr>
              <w:t>288,237</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,915.29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1" w:right="0"/>
              <w:jc w:val="left"/>
              <w:rPr>
                <w:rFonts w:ascii="Times New Roman" w:hAnsi="Times New Roman" w:cs="Times New Roman" w:eastAsia="Times New Roman" w:hint="default"/>
                <w:sz w:val="18"/>
                <w:szCs w:val="18"/>
              </w:rPr>
            </w:pPr>
            <w:r>
              <w:rPr>
                <w:rFonts w:ascii="Times New Roman"/>
                <w:sz w:val="18"/>
              </w:rPr>
              <w:t>12,935,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535.65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5" w:right="0"/>
              <w:jc w:val="left"/>
              <w:rPr>
                <w:rFonts w:ascii="Times New Roman" w:hAnsi="Times New Roman" w:cs="Times New Roman" w:eastAsia="Times New Roman" w:hint="default"/>
                <w:sz w:val="18"/>
                <w:szCs w:val="18"/>
              </w:rPr>
            </w:pPr>
            <w:r>
              <w:rPr>
                <w:rFonts w:ascii="Times New Roman"/>
                <w:sz w:val="18"/>
              </w:rPr>
              <w:t>83,392,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266.15</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5" w:right="0"/>
              <w:jc w:val="center"/>
              <w:rPr>
                <w:rFonts w:ascii="Times New Roman" w:hAnsi="Times New Roman" w:cs="Times New Roman" w:eastAsia="Times New Roman" w:hint="default"/>
                <w:sz w:val="18"/>
                <w:szCs w:val="18"/>
              </w:rPr>
            </w:pPr>
            <w:r>
              <w:rPr>
                <w:rFonts w:ascii="Times New Roman"/>
                <w:sz w:val="18"/>
              </w:rPr>
              <w:t>9,105,5</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92.92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0" w:right="0"/>
              <w:jc w:val="left"/>
              <w:rPr>
                <w:rFonts w:ascii="Times New Roman" w:hAnsi="Times New Roman" w:cs="Times New Roman" w:eastAsia="Times New Roman" w:hint="default"/>
                <w:sz w:val="18"/>
                <w:szCs w:val="18"/>
              </w:rPr>
            </w:pPr>
            <w:r>
              <w:rPr>
                <w:rFonts w:ascii="Times New Roman"/>
                <w:sz w:val="18"/>
              </w:rPr>
              <w:t>545,771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,310.01</w:t>
            </w:r>
          </w:p>
        </w:tc>
      </w:tr>
      <w:tr>
        <w:trPr>
          <w:trHeight w:val="351" w:hRule="exact"/>
        </w:trPr>
        <w:tc>
          <w:tcPr>
            <w:tcW w:w="1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56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59" w:top="1340" w:bottom="1140" w:left="980" w:right="1120"/>
        </w:sectPr>
      </w:pPr>
    </w:p>
    <w:p>
      <w:pPr>
        <w:spacing w:line="240" w:lineRule="auto" w:before="1"/>
        <w:rPr>
          <w:rFonts w:ascii="Times New Roman" w:hAnsi="Times New Roman" w:cs="Times New Roman" w:eastAsia="Times New Roman"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436"/>
        <w:gridCol w:w="564"/>
        <w:gridCol w:w="530"/>
        <w:gridCol w:w="531"/>
        <w:gridCol w:w="530"/>
        <w:gridCol w:w="665"/>
        <w:gridCol w:w="665"/>
        <w:gridCol w:w="665"/>
        <w:gridCol w:w="665"/>
        <w:gridCol w:w="665"/>
        <w:gridCol w:w="665"/>
        <w:gridCol w:w="677"/>
        <w:gridCol w:w="653"/>
        <w:gridCol w:w="660"/>
      </w:tblGrid>
      <w:tr>
        <w:trPr>
          <w:trHeight w:val="36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9" w:lineRule="auto"/>
              <w:ind w:left="2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5" w:right="0"/>
              <w:jc w:val="left"/>
              <w:rPr>
                <w:rFonts w:ascii="Times New Roman" w:hAnsi="Times New Roman" w:cs="Times New Roman" w:eastAsia="Times New Roman" w:hint="default"/>
                <w:sz w:val="18"/>
                <w:szCs w:val="18"/>
              </w:rPr>
            </w:pPr>
            <w:r>
              <w:rPr>
                <w:rFonts w:ascii="Times New Roman"/>
                <w:sz w:val="18"/>
              </w:rPr>
              <w:t>199,85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9,591.</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917,722</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,401.52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67" w:right="0"/>
              <w:jc w:val="center"/>
              <w:rPr>
                <w:rFonts w:ascii="Times New Roman" w:hAnsi="Times New Roman" w:cs="Times New Roman" w:eastAsia="Times New Roman" w:hint="default"/>
                <w:sz w:val="18"/>
                <w:szCs w:val="18"/>
              </w:rPr>
            </w:pPr>
            <w:r>
              <w:rPr>
                <w:rFonts w:ascii="Times New Roman"/>
                <w:sz w:val="18"/>
              </w:rPr>
              <w:t>2,214,5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86.95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59" w:right="0"/>
              <w:jc w:val="left"/>
              <w:rPr>
                <w:rFonts w:ascii="Times New Roman" w:hAnsi="Times New Roman" w:cs="Times New Roman" w:eastAsia="Times New Roman" w:hint="default"/>
                <w:sz w:val="18"/>
                <w:szCs w:val="18"/>
              </w:rPr>
            </w:pPr>
            <w:r>
              <w:rPr>
                <w:rFonts w:ascii="Times New Roman"/>
                <w:sz w:val="18"/>
              </w:rPr>
              <w:t>108,438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,162.82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33" w:right="0"/>
              <w:jc w:val="left"/>
              <w:rPr>
                <w:rFonts w:ascii="Times New Roman" w:hAnsi="Times New Roman" w:cs="Times New Roman" w:eastAsia="Times New Roman" w:hint="default"/>
                <w:sz w:val="18"/>
                <w:szCs w:val="18"/>
              </w:rPr>
            </w:pPr>
            <w:r>
              <w:rPr>
                <w:rFonts w:ascii="Times New Roman"/>
                <w:sz w:val="18"/>
              </w:rPr>
              <w:t>421,128</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.33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1,228,6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55,870.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r>
      <w:tr>
        <w:trPr>
          <w:trHeight w:val="98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67" w:right="0"/>
              <w:jc w:val="left"/>
              <w:rPr>
                <w:rFonts w:ascii="Times New Roman" w:hAnsi="Times New Roman" w:cs="Times New Roman" w:eastAsia="Times New Roman" w:hint="default"/>
                <w:sz w:val="18"/>
                <w:szCs w:val="18"/>
              </w:rPr>
            </w:pPr>
            <w:r>
              <w:rPr>
                <w:rFonts w:ascii="Times New Roman"/>
                <w:sz w:val="18"/>
              </w:rPr>
              <w:t>118,257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,749.77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3" w:right="0"/>
              <w:jc w:val="left"/>
              <w:rPr>
                <w:rFonts w:ascii="Times New Roman" w:hAnsi="Times New Roman" w:cs="Times New Roman" w:eastAsia="Times New Roman" w:hint="default"/>
                <w:sz w:val="18"/>
                <w:szCs w:val="18"/>
              </w:rPr>
            </w:pPr>
            <w:r>
              <w:rPr>
                <w:rFonts w:ascii="Times New Roman"/>
                <w:sz w:val="18"/>
              </w:rPr>
              <w:t>781,128</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.33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7" w:right="0"/>
              <w:jc w:val="left"/>
              <w:rPr>
                <w:rFonts w:ascii="Times New Roman" w:hAnsi="Times New Roman" w:cs="Times New Roman" w:eastAsia="Times New Roman" w:hint="default"/>
                <w:sz w:val="18"/>
                <w:szCs w:val="18"/>
              </w:rPr>
            </w:pPr>
            <w:r>
              <w:rPr>
                <w:rFonts w:ascii="Times New Roman"/>
                <w:sz w:val="18"/>
              </w:rPr>
              <w:t>119,038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,878.10</w:t>
            </w:r>
          </w:p>
        </w:tc>
      </w:tr>
      <w:tr>
        <w:trPr>
          <w:trHeight w:val="1299"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5" w:right="0"/>
              <w:jc w:val="left"/>
              <w:rPr>
                <w:rFonts w:ascii="Times New Roman" w:hAnsi="Times New Roman" w:cs="Times New Roman" w:eastAsia="Times New Roman" w:hint="default"/>
                <w:sz w:val="18"/>
                <w:szCs w:val="18"/>
              </w:rPr>
            </w:pPr>
            <w:r>
              <w:rPr>
                <w:rFonts w:ascii="Times New Roman"/>
                <w:sz w:val="18"/>
              </w:rPr>
              <w:t>123,80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9,591.</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993,772</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,401.52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pacing w:val="-2"/>
                <w:sz w:val="18"/>
              </w:rPr>
              <w:t>1,117,5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81,992.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r>
      <w:tr>
        <w:trPr>
          <w:trHeight w:val="129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3"/>
              <w:ind w:left="21"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5" w:right="0"/>
              <w:jc w:val="left"/>
              <w:rPr>
                <w:rFonts w:ascii="Times New Roman" w:hAnsi="Times New Roman" w:cs="Times New Roman" w:eastAsia="Times New Roman" w:hint="default"/>
                <w:sz w:val="18"/>
                <w:szCs w:val="18"/>
              </w:rPr>
            </w:pPr>
            <w:r>
              <w:rPr>
                <w:rFonts w:ascii="Times New Roman"/>
                <w:sz w:val="18"/>
              </w:rPr>
              <w:t>123,80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9,591.</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45" w:right="0"/>
              <w:jc w:val="left"/>
              <w:rPr>
                <w:rFonts w:ascii="Times New Roman" w:hAnsi="Times New Roman" w:cs="Times New Roman" w:eastAsia="Times New Roman" w:hint="default"/>
                <w:sz w:val="18"/>
                <w:szCs w:val="18"/>
              </w:rPr>
            </w:pPr>
            <w:r>
              <w:rPr>
                <w:rFonts w:ascii="Times New Roman"/>
                <w:sz w:val="18"/>
              </w:rPr>
              <w:t>993,772</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,401.52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2"/>
                <w:sz w:val="18"/>
              </w:rPr>
              <w:t>1,117,5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81,992.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r>
      <w:tr>
        <w:trPr>
          <w:trHeight w:val="67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1"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21"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67" w:right="0"/>
              <w:jc w:val="center"/>
              <w:rPr>
                <w:rFonts w:ascii="Times New Roman" w:hAnsi="Times New Roman" w:cs="Times New Roman" w:eastAsia="Times New Roman" w:hint="default"/>
                <w:sz w:val="18"/>
                <w:szCs w:val="18"/>
              </w:rPr>
            </w:pPr>
            <w:r>
              <w:rPr>
                <w:rFonts w:ascii="Times New Roman"/>
                <w:sz w:val="18"/>
              </w:rPr>
              <w:t>2,214,5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86.95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center"/>
              <w:rPr>
                <w:rFonts w:ascii="Times New Roman" w:hAnsi="Times New Roman" w:cs="Times New Roman" w:eastAsia="Times New Roman" w:hint="default"/>
                <w:sz w:val="18"/>
                <w:szCs w:val="18"/>
              </w:rPr>
            </w:pPr>
            <w:r>
              <w:rPr>
                <w:rFonts w:ascii="Times New Roman"/>
                <w:sz w:val="18"/>
              </w:rPr>
              <w:t>-9,819,5</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86.95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64"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 w:right="0"/>
              <w:jc w:val="center"/>
              <w:rPr>
                <w:rFonts w:ascii="Times New Roman" w:hAnsi="Times New Roman" w:cs="Times New Roman" w:eastAsia="Times New Roman" w:hint="default"/>
                <w:sz w:val="18"/>
                <w:szCs w:val="18"/>
              </w:rPr>
            </w:pPr>
            <w:r>
              <w:rPr>
                <w:rFonts w:ascii="Times New Roman"/>
                <w:sz w:val="18"/>
              </w:rPr>
              <w:t>-7,965,0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98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7" w:right="0"/>
              <w:jc w:val="center"/>
              <w:rPr>
                <w:rFonts w:ascii="Times New Roman" w:hAnsi="Times New Roman" w:cs="Times New Roman" w:eastAsia="Times New Roman" w:hint="default"/>
                <w:sz w:val="18"/>
                <w:szCs w:val="18"/>
              </w:rPr>
            </w:pPr>
            <w:r>
              <w:rPr>
                <w:rFonts w:ascii="Times New Roman"/>
                <w:sz w:val="18"/>
              </w:rPr>
              <w:t>2,214,5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86.95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center"/>
              <w:rPr>
                <w:rFonts w:ascii="Times New Roman" w:hAnsi="Times New Roman" w:cs="Times New Roman" w:eastAsia="Times New Roman" w:hint="default"/>
                <w:sz w:val="18"/>
                <w:szCs w:val="18"/>
              </w:rPr>
            </w:pPr>
            <w:r>
              <w:rPr>
                <w:rFonts w:ascii="Times New Roman"/>
                <w:sz w:val="18"/>
              </w:rPr>
              <w:t>-2,214,5</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86.95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1"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0" w:lineRule="auto"/>
              <w:ind w:left="21"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center"/>
              <w:rPr>
                <w:rFonts w:ascii="Times New Roman" w:hAnsi="Times New Roman" w:cs="Times New Roman" w:eastAsia="Times New Roman" w:hint="default"/>
                <w:sz w:val="18"/>
                <w:szCs w:val="18"/>
              </w:rPr>
            </w:pPr>
            <w:r>
              <w:rPr>
                <w:rFonts w:ascii="Times New Roman"/>
                <w:sz w:val="18"/>
              </w:rPr>
              <w:t>-7,605,0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64"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 w:right="0"/>
              <w:jc w:val="center"/>
              <w:rPr>
                <w:rFonts w:ascii="Times New Roman" w:hAnsi="Times New Roman" w:cs="Times New Roman" w:eastAsia="Times New Roman" w:hint="default"/>
                <w:sz w:val="18"/>
                <w:szCs w:val="18"/>
              </w:rPr>
            </w:pPr>
            <w:r>
              <w:rPr>
                <w:rFonts w:ascii="Times New Roman"/>
                <w:sz w:val="18"/>
              </w:rPr>
              <w:t>-7,965,0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67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29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1"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76,050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8" w:right="0"/>
              <w:jc w:val="center"/>
              <w:rPr>
                <w:rFonts w:ascii="Times New Roman" w:hAnsi="Times New Roman" w:cs="Times New Roman" w:eastAsia="Times New Roman" w:hint="default"/>
                <w:sz w:val="18"/>
                <w:szCs w:val="18"/>
              </w:rPr>
            </w:pPr>
            <w:r>
              <w:rPr>
                <w:rFonts w:ascii="Times New Roman"/>
                <w:sz w:val="18"/>
              </w:rPr>
              <w:t>-76,050,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1"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76,050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-76,050,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9" w:top="1340" w:bottom="1140" w:left="980" w:right="1120"/>
        </w:sectPr>
      </w:pPr>
    </w:p>
    <w:p>
      <w:pPr>
        <w:spacing w:line="240" w:lineRule="auto" w:before="1"/>
        <w:rPr>
          <w:rFonts w:ascii="Times New Roman" w:hAnsi="Times New Roman" w:cs="Times New Roman" w:eastAsia="Times New Roman"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436"/>
        <w:gridCol w:w="564"/>
        <w:gridCol w:w="530"/>
        <w:gridCol w:w="531"/>
        <w:gridCol w:w="530"/>
        <w:gridCol w:w="665"/>
        <w:gridCol w:w="665"/>
        <w:gridCol w:w="665"/>
        <w:gridCol w:w="665"/>
        <w:gridCol w:w="665"/>
        <w:gridCol w:w="665"/>
        <w:gridCol w:w="677"/>
        <w:gridCol w:w="653"/>
        <w:gridCol w:w="660"/>
      </w:tblGrid>
      <w:tr>
        <w:trPr>
          <w:trHeight w:val="67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1"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1"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29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5" w:right="0"/>
              <w:jc w:val="left"/>
              <w:rPr>
                <w:rFonts w:ascii="Times New Roman" w:hAnsi="Times New Roman" w:cs="Times New Roman" w:eastAsia="Times New Roman" w:hint="default"/>
                <w:sz w:val="18"/>
                <w:szCs w:val="18"/>
              </w:rPr>
            </w:pPr>
            <w:r>
              <w:rPr>
                <w:rFonts w:ascii="Times New Roman"/>
                <w:sz w:val="18"/>
              </w:rPr>
              <w:t>351,95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9,591.</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1,205,9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60,316.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15,150,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122.60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59" w:right="0"/>
              <w:jc w:val="left"/>
              <w:rPr>
                <w:rFonts w:ascii="Times New Roman" w:hAnsi="Times New Roman" w:cs="Times New Roman" w:eastAsia="Times New Roman" w:hint="default"/>
                <w:sz w:val="18"/>
                <w:szCs w:val="18"/>
              </w:rPr>
            </w:pPr>
            <w:r>
              <w:rPr>
                <w:rFonts w:ascii="Times New Roman"/>
                <w:sz w:val="18"/>
              </w:rPr>
              <w:t>191,830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,428.97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55" w:right="0"/>
              <w:jc w:val="center"/>
              <w:rPr>
                <w:rFonts w:ascii="Times New Roman" w:hAnsi="Times New Roman" w:cs="Times New Roman" w:eastAsia="Times New Roman" w:hint="default"/>
                <w:sz w:val="18"/>
                <w:szCs w:val="18"/>
              </w:rPr>
            </w:pPr>
            <w:r>
              <w:rPr>
                <w:rFonts w:ascii="Times New Roman"/>
                <w:sz w:val="18"/>
              </w:rPr>
              <w:t>9,526,7</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21.25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1,774,4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r>
    </w:tbl>
    <w:p>
      <w:pPr>
        <w:pStyle w:val="BodyText"/>
        <w:spacing w:line="240" w:lineRule="auto" w:before="8"/>
        <w:ind w:left="820" w:right="598"/>
        <w:jc w:val="left"/>
      </w:pPr>
      <w:r>
        <w:rPr/>
        <w:t>法定代表人：肖志鸿主管会计工作负责人：殷明坤会计机构负责人：刘英</w:t>
      </w:r>
    </w:p>
    <w:p>
      <w:pPr>
        <w:spacing w:line="240" w:lineRule="auto" w:before="6"/>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59" w:top="1340" w:bottom="1140" w:left="980" w:right="1120"/>
        </w:sectPr>
      </w:pPr>
    </w:p>
    <w:p>
      <w:pPr>
        <w:pStyle w:val="Heading5"/>
        <w:spacing w:line="240" w:lineRule="auto" w:before="36"/>
        <w:ind w:left="820" w:right="-6"/>
        <w:jc w:val="left"/>
        <w:rPr>
          <w:b w:val="0"/>
          <w:bCs w:val="0"/>
        </w:rPr>
      </w:pPr>
      <w:r>
        <w:rPr>
          <w:rFonts w:ascii="Times New Roman" w:hAnsi="Times New Roman" w:cs="Times New Roman" w:eastAsia="Times New Roman" w:hint="default"/>
          <w:spacing w:val="-1"/>
        </w:rPr>
        <w:t>8</w:t>
      </w:r>
      <w:r>
        <w:rPr>
          <w:spacing w:val="-1"/>
        </w:rPr>
        <w:t>、母公司所有者权益变动表</w:t>
      </w:r>
      <w:r>
        <w:rPr>
          <w:b w:val="0"/>
          <w:bCs w:val="0"/>
          <w:spacing w:val="-1"/>
        </w:rPr>
      </w:r>
    </w:p>
    <w:p>
      <w:pPr>
        <w:pStyle w:val="BodyText"/>
        <w:spacing w:line="240" w:lineRule="auto" w:before="42"/>
        <w:ind w:left="820" w:right="-6"/>
        <w:jc w:val="left"/>
      </w:pP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BodyText"/>
        <w:spacing w:line="240" w:lineRule="auto"/>
        <w:ind w:left="820" w:right="0"/>
        <w:jc w:val="left"/>
      </w:pPr>
      <w:r>
        <w:rPr/>
        <w:t>单位：元</w:t>
      </w:r>
    </w:p>
    <w:p>
      <w:pPr>
        <w:spacing w:after="0" w:line="240" w:lineRule="auto"/>
        <w:jc w:val="left"/>
        <w:sectPr>
          <w:type w:val="continuous"/>
          <w:pgSz w:w="11910" w:h="16840"/>
          <w:pgMar w:top="1580" w:bottom="1140" w:left="980" w:right="1120"/>
          <w:cols w:num="2" w:equalWidth="0">
            <w:col w:w="3456" w:space="4132"/>
            <w:col w:w="2222"/>
          </w:cols>
        </w:sectPr>
      </w:pP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430"/>
        <w:gridCol w:w="691"/>
        <w:gridCol w:w="665"/>
        <w:gridCol w:w="665"/>
        <w:gridCol w:w="665"/>
        <w:gridCol w:w="797"/>
        <w:gridCol w:w="800"/>
        <w:gridCol w:w="797"/>
        <w:gridCol w:w="797"/>
        <w:gridCol w:w="797"/>
        <w:gridCol w:w="677"/>
        <w:gridCol w:w="782"/>
      </w:tblGrid>
      <w:tr>
        <w:trPr>
          <w:trHeight w:val="3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85"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2"/>
              <w:ind w:left="304" w:right="34"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2"/>
              <w:ind w:left="211" w:right="3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2"/>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2"/>
              <w:ind w:left="115" w:right="2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7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r>
      <w:tr>
        <w:trPr>
          <w:trHeight w:val="18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r>
      <w:tr>
        <w:trPr>
          <w:trHeight w:val="18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319"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351,959,</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591.00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center"/>
              <w:rPr>
                <w:rFonts w:ascii="Times New Roman" w:hAnsi="Times New Roman" w:cs="Times New Roman" w:eastAsia="Times New Roman" w:hint="default"/>
                <w:sz w:val="18"/>
                <w:szCs w:val="18"/>
              </w:rPr>
            </w:pPr>
            <w:r>
              <w:rPr>
                <w:rFonts w:ascii="Times New Roman"/>
                <w:sz w:val="18"/>
              </w:rPr>
              <w:t>1,205,669</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,284.50</w:t>
            </w:r>
          </w:p>
        </w:tc>
        <w:tc>
          <w:tcPr>
            <w:tcW w:w="800" w:type="dxa"/>
            <w:vMerge w:val="restart"/>
            <w:tcBorders>
              <w:top w:val="single" w:sz="10"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10"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5" w:right="0"/>
              <w:jc w:val="left"/>
              <w:rPr>
                <w:rFonts w:ascii="Times New Roman" w:hAnsi="Times New Roman" w:cs="Times New Roman" w:eastAsia="Times New Roman" w:hint="default"/>
                <w:sz w:val="18"/>
                <w:szCs w:val="18"/>
              </w:rPr>
            </w:pPr>
            <w:r>
              <w:rPr>
                <w:rFonts w:ascii="Times New Roman"/>
                <w:sz w:val="18"/>
              </w:rPr>
              <w:t>15,150,12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2.60</w:t>
            </w:r>
          </w:p>
        </w:tc>
        <w:tc>
          <w:tcPr>
            <w:tcW w:w="677" w:type="dxa"/>
            <w:vMerge w:val="restart"/>
            <w:tcBorders>
              <w:top w:val="single" w:sz="10"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Times New Roman" w:hAnsi="Times New Roman" w:cs="Times New Roman" w:eastAsia="Times New Roman" w:hint="default"/>
                <w:sz w:val="18"/>
                <w:szCs w:val="18"/>
              </w:rPr>
            </w:pPr>
            <w:r>
              <w:rPr>
                <w:rFonts w:ascii="Times New Roman"/>
                <w:sz w:val="18"/>
              </w:rPr>
              <w:t>83,043,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103.30</w:t>
            </w:r>
          </w:p>
        </w:tc>
        <w:tc>
          <w:tcPr>
            <w:tcW w:w="782" w:type="dxa"/>
            <w:vMerge w:val="restart"/>
            <w:tcBorders>
              <w:top w:val="single" w:sz="10"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5" w:right="0"/>
              <w:jc w:val="center"/>
              <w:rPr>
                <w:rFonts w:ascii="Times New Roman" w:hAnsi="Times New Roman" w:cs="Times New Roman" w:eastAsia="Times New Roman" w:hint="default"/>
                <w:sz w:val="18"/>
                <w:szCs w:val="18"/>
              </w:rPr>
            </w:pPr>
            <w:r>
              <w:rPr>
                <w:rFonts w:ascii="Times New Roman"/>
                <w:sz w:val="18"/>
              </w:rPr>
              <w:t>1,655,822</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,101.40</w:t>
            </w:r>
          </w:p>
        </w:tc>
      </w:tr>
      <w:tr>
        <w:trPr>
          <w:trHeight w:val="35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67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351,959,</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591.00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left="24" w:right="0"/>
              <w:jc w:val="center"/>
              <w:rPr>
                <w:rFonts w:ascii="Times New Roman" w:hAnsi="Times New Roman" w:cs="Times New Roman" w:eastAsia="Times New Roman" w:hint="default"/>
                <w:sz w:val="18"/>
                <w:szCs w:val="18"/>
              </w:rPr>
            </w:pPr>
            <w:r>
              <w:rPr>
                <w:rFonts w:ascii="Times New Roman"/>
                <w:sz w:val="18"/>
              </w:rPr>
              <w:t>1,205,669</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,284.50</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15,150,12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2.60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83,043,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103.30</w:t>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1,655,822</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,101.40</w:t>
            </w:r>
          </w:p>
        </w:tc>
      </w:tr>
      <w:tr>
        <w:trPr>
          <w:trHeight w:val="353"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675"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27"/>
              <w:ind w:left="10" w:right="21"/>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70,391,9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pacing w:val="-1"/>
                <w:sz w:val="18"/>
              </w:rPr>
              <w:t>-70,391,9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4,343,491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z w:val="18"/>
              </w:rPr>
              <w:t>26,772,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w w:val="95"/>
                <w:sz w:val="18"/>
              </w:rPr>
              <w:t>31,116,32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1140" w:left="980" w:right="1120"/>
        </w:sectPr>
      </w:pPr>
    </w:p>
    <w:p>
      <w:pPr>
        <w:spacing w:line="240" w:lineRule="auto" w:before="1"/>
        <w:rPr>
          <w:rFonts w:ascii="Times New Roman" w:hAnsi="Times New Roman" w:cs="Times New Roman" w:eastAsia="Times New Roman"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440"/>
        <w:gridCol w:w="691"/>
        <w:gridCol w:w="665"/>
        <w:gridCol w:w="665"/>
        <w:gridCol w:w="665"/>
        <w:gridCol w:w="797"/>
        <w:gridCol w:w="800"/>
        <w:gridCol w:w="797"/>
        <w:gridCol w:w="797"/>
        <w:gridCol w:w="797"/>
        <w:gridCol w:w="677"/>
        <w:gridCol w:w="782"/>
      </w:tblGrid>
      <w:tr>
        <w:trPr>
          <w:trHeight w:val="36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18.00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833.50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4.52</w:t>
            </w:r>
          </w:p>
        </w:tc>
      </w:tr>
      <w:tr>
        <w:trPr>
          <w:trHeight w:val="98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Times New Roman" w:hAnsi="Times New Roman" w:cs="Times New Roman" w:eastAsia="Times New Roman" w:hint="default"/>
                <w:sz w:val="18"/>
                <w:szCs w:val="18"/>
              </w:rPr>
            </w:pPr>
            <w:r>
              <w:rPr>
                <w:rFonts w:ascii="Times New Roman"/>
                <w:sz w:val="18"/>
              </w:rPr>
              <w:t>43,434,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910.20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8" w:right="0"/>
              <w:jc w:val="left"/>
              <w:rPr>
                <w:rFonts w:ascii="Times New Roman" w:hAnsi="Times New Roman" w:cs="Times New Roman" w:eastAsia="Times New Roman" w:hint="default"/>
                <w:sz w:val="18"/>
                <w:szCs w:val="18"/>
              </w:rPr>
            </w:pPr>
            <w:r>
              <w:rPr>
                <w:rFonts w:ascii="Times New Roman"/>
                <w:sz w:val="18"/>
              </w:rPr>
              <w:t>43,434,91</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0.20</w:t>
            </w:r>
          </w:p>
        </w:tc>
      </w:tr>
      <w:tr>
        <w:trPr>
          <w:trHeight w:val="67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2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4,343,491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0" w:right="0"/>
              <w:jc w:val="center"/>
              <w:rPr>
                <w:rFonts w:ascii="Times New Roman" w:hAnsi="Times New Roman" w:cs="Times New Roman" w:eastAsia="Times New Roman" w:hint="default"/>
                <w:sz w:val="18"/>
                <w:szCs w:val="18"/>
              </w:rPr>
            </w:pPr>
            <w:r>
              <w:rPr>
                <w:rFonts w:ascii="Times New Roman"/>
                <w:sz w:val="18"/>
              </w:rPr>
              <w:t>-16,662,</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076.70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59" w:right="0"/>
              <w:jc w:val="left"/>
              <w:rPr>
                <w:rFonts w:ascii="Times New Roman" w:hAnsi="Times New Roman" w:cs="Times New Roman" w:eastAsia="Times New Roman" w:hint="default"/>
                <w:sz w:val="18"/>
                <w:szCs w:val="18"/>
              </w:rPr>
            </w:pPr>
            <w:r>
              <w:rPr>
                <w:rFonts w:ascii="Times New Roman"/>
                <w:sz w:val="18"/>
              </w:rPr>
              <w:t>-12,318,5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85.68</w:t>
            </w:r>
          </w:p>
        </w:tc>
      </w:tr>
      <w:tr>
        <w:trPr>
          <w:trHeight w:val="98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4,343,491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9" w:right="0"/>
              <w:jc w:val="center"/>
              <w:rPr>
                <w:rFonts w:ascii="Times New Roman" w:hAnsi="Times New Roman" w:cs="Times New Roman" w:eastAsia="Times New Roman" w:hint="default"/>
                <w:sz w:val="18"/>
                <w:szCs w:val="18"/>
              </w:rPr>
            </w:pPr>
            <w:r>
              <w:rPr>
                <w:rFonts w:ascii="Times New Roman"/>
                <w:sz w:val="18"/>
              </w:rPr>
              <w:t>-4,343,4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91.02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2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0" w:right="0"/>
              <w:jc w:val="center"/>
              <w:rPr>
                <w:rFonts w:ascii="Times New Roman" w:hAnsi="Times New Roman" w:cs="Times New Roman" w:eastAsia="Times New Roman" w:hint="default"/>
                <w:sz w:val="18"/>
                <w:szCs w:val="18"/>
              </w:rPr>
            </w:pPr>
            <w:r>
              <w:rPr>
                <w:rFonts w:ascii="Times New Roman"/>
                <w:sz w:val="18"/>
              </w:rPr>
              <w:t>-12,318,</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585.68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59" w:right="0"/>
              <w:jc w:val="left"/>
              <w:rPr>
                <w:rFonts w:ascii="Times New Roman" w:hAnsi="Times New Roman" w:cs="Times New Roman" w:eastAsia="Times New Roman" w:hint="default"/>
                <w:sz w:val="18"/>
                <w:szCs w:val="18"/>
              </w:rPr>
            </w:pPr>
            <w:r>
              <w:rPr>
                <w:rFonts w:ascii="Times New Roman"/>
                <w:sz w:val="18"/>
              </w:rPr>
              <w:t>-12,318,5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85.68</w:t>
            </w:r>
          </w:p>
        </w:tc>
      </w:tr>
      <w:tr>
        <w:trPr>
          <w:trHeight w:val="67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8" w:right="0"/>
              <w:jc w:val="left"/>
              <w:rPr>
                <w:rFonts w:ascii="Times New Roman" w:hAnsi="Times New Roman" w:cs="Times New Roman" w:eastAsia="Times New Roman" w:hint="default"/>
                <w:sz w:val="18"/>
                <w:szCs w:val="18"/>
              </w:rPr>
            </w:pPr>
            <w:r>
              <w:rPr>
                <w:rFonts w:ascii="Times New Roman"/>
                <w:sz w:val="18"/>
              </w:rPr>
              <w:t>70,391,9</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18.00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76" w:right="0"/>
              <w:jc w:val="left"/>
              <w:rPr>
                <w:rFonts w:ascii="Times New Roman" w:hAnsi="Times New Roman" w:cs="Times New Roman" w:eastAsia="Times New Roman" w:hint="default"/>
                <w:sz w:val="18"/>
                <w:szCs w:val="18"/>
              </w:rPr>
            </w:pPr>
            <w:r>
              <w:rPr>
                <w:rFonts w:ascii="Times New Roman"/>
                <w:sz w:val="18"/>
              </w:rPr>
              <w:t>-70,391,9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18.00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0" w:lineRule="auto"/>
              <w:ind w:left="2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Times New Roman" w:hAnsi="Times New Roman" w:cs="Times New Roman" w:eastAsia="Times New Roman" w:hint="default"/>
                <w:sz w:val="18"/>
                <w:szCs w:val="18"/>
              </w:rPr>
            </w:pPr>
            <w:r>
              <w:rPr>
                <w:rFonts w:ascii="Times New Roman"/>
                <w:sz w:val="18"/>
              </w:rPr>
              <w:t>70,391,9</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18.00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6" w:right="0"/>
              <w:jc w:val="left"/>
              <w:rPr>
                <w:rFonts w:ascii="Times New Roman" w:hAnsi="Times New Roman" w:cs="Times New Roman" w:eastAsia="Times New Roman" w:hint="default"/>
                <w:sz w:val="18"/>
                <w:szCs w:val="18"/>
              </w:rPr>
            </w:pPr>
            <w:r>
              <w:rPr>
                <w:rFonts w:ascii="Times New Roman"/>
                <w:sz w:val="18"/>
              </w:rPr>
              <w:t>-70,391,9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18.00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9" w:top="1340" w:bottom="1140" w:left="980" w:right="1120"/>
        </w:sectPr>
      </w:pPr>
    </w:p>
    <w:p>
      <w:pPr>
        <w:spacing w:line="240" w:lineRule="auto" w:before="1"/>
        <w:rPr>
          <w:rFonts w:ascii="Times New Roman" w:hAnsi="Times New Roman" w:cs="Times New Roman" w:eastAsia="Times New Roman"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440"/>
        <w:gridCol w:w="691"/>
        <w:gridCol w:w="665"/>
        <w:gridCol w:w="665"/>
        <w:gridCol w:w="665"/>
        <w:gridCol w:w="797"/>
        <w:gridCol w:w="800"/>
        <w:gridCol w:w="797"/>
        <w:gridCol w:w="797"/>
        <w:gridCol w:w="797"/>
        <w:gridCol w:w="677"/>
        <w:gridCol w:w="782"/>
      </w:tblGrid>
      <w:tr>
        <w:trPr>
          <w:trHeight w:val="67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1"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 w:right="0"/>
              <w:jc w:val="center"/>
              <w:rPr>
                <w:rFonts w:ascii="Times New Roman" w:hAnsi="Times New Roman" w:cs="Times New Roman" w:eastAsia="Times New Roman" w:hint="default"/>
                <w:sz w:val="18"/>
                <w:szCs w:val="18"/>
              </w:rPr>
            </w:pPr>
            <w:r>
              <w:rPr>
                <w:rFonts w:ascii="Times New Roman"/>
                <w:sz w:val="18"/>
              </w:rPr>
              <w:t>422,351,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509.00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4" w:right="0"/>
              <w:jc w:val="center"/>
              <w:rPr>
                <w:rFonts w:ascii="Times New Roman" w:hAnsi="Times New Roman" w:cs="Times New Roman" w:eastAsia="Times New Roman" w:hint="default"/>
                <w:sz w:val="18"/>
                <w:szCs w:val="18"/>
              </w:rPr>
            </w:pPr>
            <w:r>
              <w:rPr>
                <w:rFonts w:ascii="Times New Roman"/>
                <w:sz w:val="18"/>
              </w:rPr>
              <w:t>1,135,277</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,366.50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5" w:right="0"/>
              <w:jc w:val="left"/>
              <w:rPr>
                <w:rFonts w:ascii="Times New Roman" w:hAnsi="Times New Roman" w:cs="Times New Roman" w:eastAsia="Times New Roman" w:hint="default"/>
                <w:sz w:val="18"/>
                <w:szCs w:val="18"/>
              </w:rPr>
            </w:pPr>
            <w:r>
              <w:rPr>
                <w:rFonts w:ascii="Times New Roman"/>
                <w:sz w:val="18"/>
              </w:rPr>
              <w:t>19,493,61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3.62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57" w:right="0"/>
              <w:jc w:val="left"/>
              <w:rPr>
                <w:rFonts w:ascii="Times New Roman" w:hAnsi="Times New Roman" w:cs="Times New Roman" w:eastAsia="Times New Roman" w:hint="default"/>
                <w:sz w:val="18"/>
                <w:szCs w:val="18"/>
              </w:rPr>
            </w:pPr>
            <w:r>
              <w:rPr>
                <w:rFonts w:ascii="Times New Roman"/>
                <w:sz w:val="18"/>
              </w:rPr>
              <w:t>109,815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,936.80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5" w:right="0"/>
              <w:jc w:val="center"/>
              <w:rPr>
                <w:rFonts w:ascii="Times New Roman" w:hAnsi="Times New Roman" w:cs="Times New Roman" w:eastAsia="Times New Roman" w:hint="default"/>
                <w:sz w:val="18"/>
                <w:szCs w:val="18"/>
              </w:rPr>
            </w:pPr>
            <w:r>
              <w:rPr>
                <w:rFonts w:ascii="Times New Roman"/>
                <w:sz w:val="18"/>
              </w:rPr>
              <w:t>1,686,938</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,425.92</w:t>
            </w:r>
          </w:p>
        </w:tc>
      </w:tr>
    </w:tbl>
    <w:p>
      <w:pPr>
        <w:pStyle w:val="BodyText"/>
        <w:spacing w:line="240" w:lineRule="auto" w:before="8"/>
        <w:ind w:left="820" w:right="598"/>
        <w:jc w:val="left"/>
      </w:pPr>
      <w:r>
        <w:rPr/>
        <w:t>上期金额</w:t>
      </w:r>
    </w:p>
    <w:p>
      <w:pPr>
        <w:pStyle w:val="BodyText"/>
        <w:spacing w:line="240" w:lineRule="auto" w:before="115"/>
        <w:ind w:left="0" w:right="676"/>
        <w:jc w:val="right"/>
      </w:pPr>
      <w:r>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430"/>
        <w:gridCol w:w="691"/>
        <w:gridCol w:w="665"/>
        <w:gridCol w:w="665"/>
        <w:gridCol w:w="665"/>
        <w:gridCol w:w="797"/>
        <w:gridCol w:w="800"/>
        <w:gridCol w:w="797"/>
        <w:gridCol w:w="797"/>
        <w:gridCol w:w="797"/>
        <w:gridCol w:w="677"/>
        <w:gridCol w:w="782"/>
      </w:tblGrid>
      <w:tr>
        <w:trPr>
          <w:trHeight w:val="3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85"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2"/>
              <w:ind w:left="304" w:right="34"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2"/>
              <w:ind w:left="211" w:right="3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2"/>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2"/>
              <w:ind w:left="115" w:right="2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7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r>
      <w:tr>
        <w:trPr>
          <w:trHeight w:val="18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r>
      <w:tr>
        <w:trPr>
          <w:trHeight w:val="18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319"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152,100,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5" w:right="0"/>
              <w:jc w:val="left"/>
              <w:rPr>
                <w:rFonts w:ascii="Times New Roman" w:hAnsi="Times New Roman" w:cs="Times New Roman" w:eastAsia="Times New Roman" w:hint="default"/>
                <w:sz w:val="18"/>
                <w:szCs w:val="18"/>
              </w:rPr>
            </w:pPr>
            <w:r>
              <w:rPr>
                <w:rFonts w:ascii="Times New Roman"/>
                <w:sz w:val="18"/>
              </w:rPr>
              <w:t>287,946,8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82.98</w:t>
            </w:r>
          </w:p>
        </w:tc>
        <w:tc>
          <w:tcPr>
            <w:tcW w:w="800" w:type="dxa"/>
            <w:vMerge w:val="restart"/>
            <w:tcBorders>
              <w:top w:val="single" w:sz="10"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10"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5" w:right="0"/>
              <w:jc w:val="left"/>
              <w:rPr>
                <w:rFonts w:ascii="Times New Roman" w:hAnsi="Times New Roman" w:cs="Times New Roman" w:eastAsia="Times New Roman" w:hint="default"/>
                <w:sz w:val="18"/>
                <w:szCs w:val="18"/>
              </w:rPr>
            </w:pPr>
            <w:r>
              <w:rPr>
                <w:rFonts w:ascii="Times New Roman"/>
                <w:sz w:val="18"/>
              </w:rPr>
              <w:t>12,935,53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5.65</w:t>
            </w:r>
          </w:p>
        </w:tc>
        <w:tc>
          <w:tcPr>
            <w:tcW w:w="677" w:type="dxa"/>
            <w:vMerge w:val="restart"/>
            <w:tcBorders>
              <w:top w:val="single" w:sz="10"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Times New Roman" w:hAnsi="Times New Roman" w:cs="Times New Roman" w:eastAsia="Times New Roman" w:hint="default"/>
                <w:sz w:val="18"/>
                <w:szCs w:val="18"/>
              </w:rPr>
            </w:pPr>
            <w:r>
              <w:rPr>
                <w:rFonts w:ascii="Times New Roman"/>
                <w:sz w:val="18"/>
              </w:rPr>
              <w:t>70,716,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820.75</w:t>
            </w:r>
          </w:p>
        </w:tc>
        <w:tc>
          <w:tcPr>
            <w:tcW w:w="782" w:type="dxa"/>
            <w:vMerge w:val="restart"/>
            <w:tcBorders>
              <w:top w:val="single" w:sz="10"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8" w:right="0"/>
              <w:jc w:val="left"/>
              <w:rPr>
                <w:rFonts w:ascii="Times New Roman" w:hAnsi="Times New Roman" w:cs="Times New Roman" w:eastAsia="Times New Roman" w:hint="default"/>
                <w:sz w:val="18"/>
                <w:szCs w:val="18"/>
              </w:rPr>
            </w:pPr>
            <w:r>
              <w:rPr>
                <w:rFonts w:ascii="Times New Roman"/>
                <w:sz w:val="18"/>
              </w:rPr>
              <w:t>523,699,2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39.38</w:t>
            </w:r>
          </w:p>
        </w:tc>
      </w:tr>
      <w:tr>
        <w:trPr>
          <w:trHeight w:val="350"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67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152,100,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5" w:right="0"/>
              <w:jc w:val="left"/>
              <w:rPr>
                <w:rFonts w:ascii="Times New Roman" w:hAnsi="Times New Roman" w:cs="Times New Roman" w:eastAsia="Times New Roman" w:hint="default"/>
                <w:sz w:val="18"/>
                <w:szCs w:val="18"/>
              </w:rPr>
            </w:pPr>
            <w:r>
              <w:rPr>
                <w:rFonts w:ascii="Times New Roman"/>
                <w:sz w:val="18"/>
              </w:rPr>
              <w:t>287,946,8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82.98</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5" w:right="0"/>
              <w:jc w:val="left"/>
              <w:rPr>
                <w:rFonts w:ascii="Times New Roman" w:hAnsi="Times New Roman" w:cs="Times New Roman" w:eastAsia="Times New Roman" w:hint="default"/>
                <w:sz w:val="18"/>
                <w:szCs w:val="18"/>
              </w:rPr>
            </w:pPr>
            <w:r>
              <w:rPr>
                <w:rFonts w:ascii="Times New Roman"/>
                <w:sz w:val="18"/>
              </w:rPr>
              <w:t>12,935,53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5.65</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70,716,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820.75</w:t>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8" w:right="0"/>
              <w:jc w:val="left"/>
              <w:rPr>
                <w:rFonts w:ascii="Times New Roman" w:hAnsi="Times New Roman" w:cs="Times New Roman" w:eastAsia="Times New Roman" w:hint="default"/>
                <w:sz w:val="18"/>
                <w:szCs w:val="18"/>
              </w:rPr>
            </w:pPr>
            <w:r>
              <w:rPr>
                <w:rFonts w:ascii="Times New Roman"/>
                <w:sz w:val="18"/>
              </w:rPr>
              <w:t>523,699,2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39.38</w:t>
            </w:r>
          </w:p>
        </w:tc>
      </w:tr>
      <w:tr>
        <w:trPr>
          <w:trHeight w:val="353"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98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199,859,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591.00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5" w:right="0"/>
              <w:jc w:val="left"/>
              <w:rPr>
                <w:rFonts w:ascii="Times New Roman" w:hAnsi="Times New Roman" w:cs="Times New Roman" w:eastAsia="Times New Roman" w:hint="default"/>
                <w:sz w:val="18"/>
                <w:szCs w:val="18"/>
              </w:rPr>
            </w:pPr>
            <w:r>
              <w:rPr>
                <w:rFonts w:ascii="Times New Roman"/>
                <w:sz w:val="18"/>
              </w:rPr>
              <w:t>917,722,4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01.52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2,214,586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12,326,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282.55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 w:right="0"/>
              <w:jc w:val="center"/>
              <w:rPr>
                <w:rFonts w:ascii="Times New Roman" w:hAnsi="Times New Roman" w:cs="Times New Roman" w:eastAsia="Times New Roman" w:hint="default"/>
                <w:sz w:val="18"/>
                <w:szCs w:val="18"/>
              </w:rPr>
            </w:pPr>
            <w:r>
              <w:rPr>
                <w:rFonts w:ascii="Times New Roman"/>
                <w:sz w:val="18"/>
              </w:rPr>
              <w:t>1,132,122</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,862.02</w:t>
            </w:r>
          </w:p>
        </w:tc>
      </w:tr>
      <w:tr>
        <w:trPr>
          <w:trHeight w:val="163"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sz w:val="18"/>
              </w:rPr>
              <w:t>22,145,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869.50</w:t>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 w:right="0"/>
              <w:jc w:val="left"/>
              <w:rPr>
                <w:rFonts w:ascii="Times New Roman" w:hAnsi="Times New Roman" w:cs="Times New Roman" w:eastAsia="Times New Roman" w:hint="default"/>
                <w:sz w:val="18"/>
                <w:szCs w:val="18"/>
              </w:rPr>
            </w:pPr>
            <w:r>
              <w:rPr>
                <w:rFonts w:ascii="Times New Roman"/>
                <w:sz w:val="18"/>
              </w:rPr>
              <w:t>22,145,86</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9.50</w:t>
            </w:r>
          </w:p>
        </w:tc>
      </w:tr>
      <w:tr>
        <w:trPr>
          <w:trHeight w:val="66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
              <w:ind w:left="10"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123,809,</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591.00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5" w:right="0"/>
              <w:jc w:val="left"/>
              <w:rPr>
                <w:rFonts w:ascii="Times New Roman" w:hAnsi="Times New Roman" w:cs="Times New Roman" w:eastAsia="Times New Roman" w:hint="default"/>
                <w:sz w:val="18"/>
                <w:szCs w:val="18"/>
              </w:rPr>
            </w:pPr>
            <w:r>
              <w:rPr>
                <w:rFonts w:ascii="Times New Roman"/>
                <w:sz w:val="18"/>
              </w:rPr>
              <w:t>993,772,4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01.52</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2" w:right="0"/>
              <w:jc w:val="center"/>
              <w:rPr>
                <w:rFonts w:ascii="Times New Roman" w:hAnsi="Times New Roman" w:cs="Times New Roman" w:eastAsia="Times New Roman" w:hint="default"/>
                <w:sz w:val="18"/>
                <w:szCs w:val="18"/>
              </w:rPr>
            </w:pPr>
            <w:r>
              <w:rPr>
                <w:rFonts w:ascii="Times New Roman"/>
                <w:sz w:val="18"/>
              </w:rPr>
              <w:t>1,117,581</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,992.52</w:t>
            </w:r>
          </w:p>
        </w:tc>
      </w:tr>
      <w:tr>
        <w:trPr>
          <w:trHeight w:val="665"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
              <w:ind w:left="10"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123,809,</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591.00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5" w:right="0"/>
              <w:jc w:val="left"/>
              <w:rPr>
                <w:rFonts w:ascii="Times New Roman" w:hAnsi="Times New Roman" w:cs="Times New Roman" w:eastAsia="Times New Roman" w:hint="default"/>
                <w:sz w:val="18"/>
                <w:szCs w:val="18"/>
              </w:rPr>
            </w:pPr>
            <w:r>
              <w:rPr>
                <w:rFonts w:ascii="Times New Roman"/>
                <w:sz w:val="18"/>
              </w:rPr>
              <w:t>993,772,4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01.52</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2" w:right="0"/>
              <w:jc w:val="center"/>
              <w:rPr>
                <w:rFonts w:ascii="Times New Roman" w:hAnsi="Times New Roman" w:cs="Times New Roman" w:eastAsia="Times New Roman" w:hint="default"/>
                <w:sz w:val="18"/>
                <w:szCs w:val="18"/>
              </w:rPr>
            </w:pPr>
            <w:r>
              <w:rPr>
                <w:rFonts w:ascii="Times New Roman"/>
                <w:sz w:val="18"/>
              </w:rPr>
              <w:t>1,117,581</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,992.52</w:t>
            </w:r>
          </w:p>
        </w:tc>
      </w:tr>
      <w:tr>
        <w:trPr>
          <w:trHeight w:val="665"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8"/>
              <w:ind w:left="10"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67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0"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7"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0"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59" w:top="1340" w:bottom="1140" w:left="980" w:right="1120"/>
        </w:sectPr>
      </w:pPr>
    </w:p>
    <w:p>
      <w:pPr>
        <w:spacing w:line="240" w:lineRule="auto" w:before="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440"/>
        <w:gridCol w:w="691"/>
        <w:gridCol w:w="665"/>
        <w:gridCol w:w="665"/>
        <w:gridCol w:w="665"/>
        <w:gridCol w:w="797"/>
        <w:gridCol w:w="800"/>
        <w:gridCol w:w="797"/>
        <w:gridCol w:w="797"/>
        <w:gridCol w:w="797"/>
        <w:gridCol w:w="677"/>
        <w:gridCol w:w="782"/>
      </w:tblGrid>
      <w:tr>
        <w:trPr>
          <w:trHeight w:val="67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2,214,586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9" w:right="0"/>
              <w:jc w:val="center"/>
              <w:rPr>
                <w:rFonts w:ascii="Times New Roman" w:hAnsi="Times New Roman" w:cs="Times New Roman" w:eastAsia="Times New Roman" w:hint="default"/>
                <w:sz w:val="18"/>
                <w:szCs w:val="18"/>
              </w:rPr>
            </w:pPr>
            <w:r>
              <w:rPr>
                <w:rFonts w:ascii="Times New Roman"/>
                <w:sz w:val="18"/>
              </w:rPr>
              <w:t>-9,819,5</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86.95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9" w:right="0"/>
              <w:jc w:val="left"/>
              <w:rPr>
                <w:rFonts w:ascii="Times New Roman" w:hAnsi="Times New Roman" w:cs="Times New Roman" w:eastAsia="Times New Roman" w:hint="default"/>
                <w:sz w:val="18"/>
                <w:szCs w:val="18"/>
              </w:rPr>
            </w:pPr>
            <w:r>
              <w:rPr>
                <w:rFonts w:ascii="Times New Roman"/>
                <w:sz w:val="18"/>
              </w:rPr>
              <w:t>-7,605,00</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0.00</w:t>
            </w:r>
          </w:p>
        </w:tc>
      </w:tr>
      <w:tr>
        <w:trPr>
          <w:trHeight w:val="98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2,214,586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9" w:right="0"/>
              <w:jc w:val="center"/>
              <w:rPr>
                <w:rFonts w:ascii="Times New Roman" w:hAnsi="Times New Roman" w:cs="Times New Roman" w:eastAsia="Times New Roman" w:hint="default"/>
                <w:sz w:val="18"/>
                <w:szCs w:val="18"/>
              </w:rPr>
            </w:pPr>
            <w:r>
              <w:rPr>
                <w:rFonts w:ascii="Times New Roman"/>
                <w:sz w:val="18"/>
              </w:rPr>
              <w:t>-2,214,5</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86.95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2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9" w:right="0"/>
              <w:jc w:val="center"/>
              <w:rPr>
                <w:rFonts w:ascii="Times New Roman" w:hAnsi="Times New Roman" w:cs="Times New Roman" w:eastAsia="Times New Roman" w:hint="default"/>
                <w:sz w:val="18"/>
                <w:szCs w:val="18"/>
              </w:rPr>
            </w:pPr>
            <w:r>
              <w:rPr>
                <w:rFonts w:ascii="Times New Roman"/>
                <w:sz w:val="18"/>
              </w:rPr>
              <w:t>-7,605,0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9" w:right="0"/>
              <w:jc w:val="left"/>
              <w:rPr>
                <w:rFonts w:ascii="Times New Roman" w:hAnsi="Times New Roman" w:cs="Times New Roman" w:eastAsia="Times New Roman" w:hint="default"/>
                <w:sz w:val="18"/>
                <w:szCs w:val="18"/>
              </w:rPr>
            </w:pPr>
            <w:r>
              <w:rPr>
                <w:rFonts w:ascii="Times New Roman"/>
                <w:sz w:val="18"/>
              </w:rPr>
              <w:t>-7,605,00</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0.00</w:t>
            </w:r>
          </w:p>
        </w:tc>
      </w:tr>
      <w:tr>
        <w:trPr>
          <w:trHeight w:val="67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8" w:right="0"/>
              <w:jc w:val="left"/>
              <w:rPr>
                <w:rFonts w:ascii="Times New Roman" w:hAnsi="Times New Roman" w:cs="Times New Roman" w:eastAsia="Times New Roman" w:hint="default"/>
                <w:sz w:val="18"/>
                <w:szCs w:val="18"/>
              </w:rPr>
            </w:pPr>
            <w:r>
              <w:rPr>
                <w:rFonts w:ascii="Times New Roman"/>
                <w:sz w:val="18"/>
              </w:rPr>
              <w:t>76,050,0</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6" w:right="0"/>
              <w:jc w:val="left"/>
              <w:rPr>
                <w:rFonts w:ascii="Times New Roman" w:hAnsi="Times New Roman" w:cs="Times New Roman" w:eastAsia="Times New Roman" w:hint="default"/>
                <w:sz w:val="18"/>
                <w:szCs w:val="18"/>
              </w:rPr>
            </w:pPr>
            <w:r>
              <w:rPr>
                <w:rFonts w:ascii="Times New Roman"/>
                <w:sz w:val="18"/>
              </w:rPr>
              <w:t>-76,050,0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2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8" w:right="0"/>
              <w:jc w:val="left"/>
              <w:rPr>
                <w:rFonts w:ascii="Times New Roman" w:hAnsi="Times New Roman" w:cs="Times New Roman" w:eastAsia="Times New Roman" w:hint="default"/>
                <w:sz w:val="18"/>
                <w:szCs w:val="18"/>
              </w:rPr>
            </w:pPr>
            <w:r>
              <w:rPr>
                <w:rFonts w:ascii="Times New Roman"/>
                <w:sz w:val="18"/>
              </w:rPr>
              <w:t>76,050,0</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6" w:right="0"/>
              <w:jc w:val="left"/>
              <w:rPr>
                <w:rFonts w:ascii="Times New Roman" w:hAnsi="Times New Roman" w:cs="Times New Roman" w:eastAsia="Times New Roman" w:hint="default"/>
                <w:sz w:val="18"/>
                <w:szCs w:val="18"/>
              </w:rPr>
            </w:pPr>
            <w:r>
              <w:rPr>
                <w:rFonts w:ascii="Times New Roman"/>
                <w:sz w:val="18"/>
              </w:rPr>
              <w:t>-76,050,0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 w:right="0"/>
              <w:jc w:val="center"/>
              <w:rPr>
                <w:rFonts w:ascii="Times New Roman" w:hAnsi="Times New Roman" w:cs="Times New Roman" w:eastAsia="Times New Roman" w:hint="default"/>
                <w:sz w:val="18"/>
                <w:szCs w:val="18"/>
              </w:rPr>
            </w:pPr>
            <w:r>
              <w:rPr>
                <w:rFonts w:ascii="Times New Roman"/>
                <w:sz w:val="18"/>
              </w:rPr>
              <w:t>351,959,</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591.00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center"/>
              <w:rPr>
                <w:rFonts w:ascii="Times New Roman" w:hAnsi="Times New Roman" w:cs="Times New Roman" w:eastAsia="Times New Roman" w:hint="default"/>
                <w:sz w:val="18"/>
                <w:szCs w:val="18"/>
              </w:rPr>
            </w:pPr>
            <w:r>
              <w:rPr>
                <w:rFonts w:ascii="Times New Roman"/>
                <w:sz w:val="18"/>
              </w:rPr>
              <w:t>1,205,669</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,284.50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5" w:right="0"/>
              <w:jc w:val="left"/>
              <w:rPr>
                <w:rFonts w:ascii="Times New Roman" w:hAnsi="Times New Roman" w:cs="Times New Roman" w:eastAsia="Times New Roman" w:hint="default"/>
                <w:sz w:val="18"/>
                <w:szCs w:val="18"/>
              </w:rPr>
            </w:pPr>
            <w:r>
              <w:rPr>
                <w:rFonts w:ascii="Times New Roman"/>
                <w:sz w:val="18"/>
              </w:rPr>
              <w:t>15,150,12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2.60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83,043,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103.30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 w:right="0"/>
              <w:jc w:val="center"/>
              <w:rPr>
                <w:rFonts w:ascii="Times New Roman" w:hAnsi="Times New Roman" w:cs="Times New Roman" w:eastAsia="Times New Roman" w:hint="default"/>
                <w:sz w:val="18"/>
                <w:szCs w:val="18"/>
              </w:rPr>
            </w:pPr>
            <w:r>
              <w:rPr>
                <w:rFonts w:ascii="Times New Roman"/>
                <w:sz w:val="18"/>
              </w:rPr>
              <w:t>1,655,822</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,101.40</w:t>
            </w:r>
          </w:p>
        </w:tc>
      </w:tr>
    </w:tbl>
    <w:p>
      <w:pPr>
        <w:pStyle w:val="BodyText"/>
        <w:spacing w:line="240" w:lineRule="auto" w:before="8"/>
        <w:ind w:left="820" w:right="598"/>
        <w:jc w:val="left"/>
      </w:pPr>
      <w:r>
        <w:rPr/>
        <w:t>法定代表人：肖志鸿主管会计工作负责人：殷明坤会计机构负责人：刘英</w:t>
      </w:r>
    </w:p>
    <w:p>
      <w:pPr>
        <w:spacing w:line="240" w:lineRule="auto" w:before="4"/>
        <w:rPr>
          <w:rFonts w:ascii="宋体" w:hAnsi="宋体" w:cs="宋体" w:eastAsia="宋体" w:hint="default"/>
          <w:sz w:val="24"/>
          <w:szCs w:val="24"/>
        </w:rPr>
      </w:pPr>
    </w:p>
    <w:p>
      <w:pPr>
        <w:pStyle w:val="Heading2"/>
        <w:spacing w:line="240" w:lineRule="auto"/>
        <w:ind w:left="820" w:right="598"/>
        <w:jc w:val="left"/>
        <w:rPr>
          <w:rFonts w:ascii="黑体" w:hAnsi="黑体" w:cs="黑体" w:eastAsia="黑体" w:hint="default"/>
          <w:b w:val="0"/>
          <w:bCs w:val="0"/>
        </w:rPr>
      </w:pP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rFonts w:ascii="黑体" w:hAnsi="黑体" w:cs="黑体" w:eastAsia="黑体" w:hint="default"/>
        </w:rPr>
        <w:t>年度财务报表附注</w:t>
      </w:r>
      <w:r>
        <w:rPr>
          <w:rFonts w:ascii="黑体" w:hAnsi="黑体" w:cs="黑体" w:eastAsia="黑体" w:hint="default"/>
          <w:b w:val="0"/>
          <w:bCs w:val="0"/>
        </w:rPr>
      </w:r>
    </w:p>
    <w:p>
      <w:pPr>
        <w:pStyle w:val="Heading3"/>
        <w:spacing w:line="240" w:lineRule="auto" w:before="279"/>
        <w:ind w:left="820" w:right="598"/>
        <w:jc w:val="left"/>
        <w:rPr>
          <w:b w:val="0"/>
          <w:bCs w:val="0"/>
        </w:rPr>
      </w:pPr>
      <w:r>
        <w:rPr/>
        <w:t>一、公司基本情况</w:t>
      </w:r>
      <w:r>
        <w:rPr>
          <w:b w:val="0"/>
          <w:bCs w:val="0"/>
        </w:rPr>
      </w:r>
    </w:p>
    <w:p>
      <w:pPr>
        <w:spacing w:after="0" w:line="240" w:lineRule="auto"/>
        <w:jc w:val="left"/>
        <w:sectPr>
          <w:pgSz w:w="11910" w:h="16840"/>
          <w:pgMar w:header="0" w:footer="959" w:top="1340" w:bottom="1140" w:left="980" w:right="1120"/>
        </w:sectPr>
      </w:pPr>
    </w:p>
    <w:p>
      <w:pPr>
        <w:pStyle w:val="Heading3"/>
        <w:spacing w:line="240" w:lineRule="auto" w:before="4"/>
        <w:ind w:left="480" w:right="0"/>
        <w:jc w:val="left"/>
        <w:rPr>
          <w:b w:val="0"/>
          <w:bCs w:val="0"/>
        </w:rPr>
      </w:pPr>
      <w:r>
        <w:rPr>
          <w:rFonts w:ascii="Times New Roman" w:hAnsi="Times New Roman" w:cs="Times New Roman" w:eastAsia="Times New Roman" w:hint="default"/>
        </w:rPr>
        <w:t>1</w:t>
      </w:r>
      <w:r>
        <w:rPr/>
        <w:t>、历史沿革</w:t>
      </w:r>
      <w:r>
        <w:rPr>
          <w:b w:val="0"/>
          <w:bCs w:val="0"/>
        </w:rPr>
      </w:r>
    </w:p>
    <w:p>
      <w:pPr>
        <w:spacing w:line="240" w:lineRule="auto" w:before="8"/>
        <w:rPr>
          <w:rFonts w:ascii="宋体" w:hAnsi="宋体" w:cs="宋体" w:eastAsia="宋体" w:hint="default"/>
          <w:b/>
          <w:bCs/>
          <w:sz w:val="16"/>
          <w:szCs w:val="16"/>
        </w:rPr>
      </w:pPr>
    </w:p>
    <w:p>
      <w:pPr>
        <w:pStyle w:val="BodyText"/>
        <w:spacing w:line="345" w:lineRule="auto"/>
        <w:ind w:right="213" w:firstLine="359"/>
        <w:jc w:val="both"/>
      </w:pPr>
      <w:r>
        <w:rPr/>
        <w:t>天舟文化股份有限公司（以下简称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）原名湖南天舟科教文化股份有限公司，是由原 湖南天舟科教文化拓展有限公司整体变更的股份有限公司。湖南天舟科教文化拓展有限公司于</w:t>
      </w:r>
      <w:r>
        <w:rPr>
          <w:spacing w:val="-60"/>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7"/>
        </w:rPr>
        <w:t> </w:t>
      </w:r>
      <w:r>
        <w:rPr/>
        <w:t>年</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16"/>
        </w:rPr>
        <w:t> </w:t>
      </w:r>
      <w:r>
        <w:rPr/>
        <w:t>月</w:t>
      </w:r>
    </w:p>
    <w:p>
      <w:pPr>
        <w:pStyle w:val="BodyText"/>
        <w:spacing w:line="240" w:lineRule="auto" w:before="23"/>
        <w:ind w:right="0"/>
        <w:jc w:val="both"/>
      </w:pPr>
      <w:r>
        <w:rPr>
          <w:rFonts w:ascii="Times New Roman" w:hAnsi="Times New Roman" w:cs="Times New Roman" w:eastAsia="Times New Roman" w:hint="default"/>
        </w:rPr>
        <w:t>18</w:t>
      </w:r>
      <w:r>
        <w:rPr>
          <w:rFonts w:ascii="Times New Roman" w:hAnsi="Times New Roman" w:cs="Times New Roman" w:eastAsia="Times New Roman" w:hint="default"/>
          <w:spacing w:val="-8"/>
        </w:rPr>
        <w:t> </w:t>
      </w:r>
      <w:r>
        <w:rPr/>
        <w:t>日在湖南省工商行政管理局登记成立，公司成立时注册资本人民币</w:t>
      </w:r>
      <w:r>
        <w:rPr>
          <w:spacing w:val="-53"/>
        </w:rPr>
        <w:t> </w:t>
      </w:r>
      <w:r>
        <w:rPr>
          <w:rFonts w:ascii="Times New Roman" w:hAnsi="Times New Roman" w:cs="Times New Roman" w:eastAsia="Times New Roman" w:hint="default"/>
        </w:rPr>
        <w:t>300</w:t>
      </w:r>
      <w:r>
        <w:rPr>
          <w:rFonts w:ascii="Times New Roman" w:hAnsi="Times New Roman" w:cs="Times New Roman" w:eastAsia="Times New Roman" w:hint="default"/>
          <w:spacing w:val="-8"/>
        </w:rPr>
        <w:t> </w:t>
      </w:r>
      <w:r>
        <w:rPr/>
        <w:t>万元，其中湖南天鸿投资有限公</w:t>
      </w:r>
    </w:p>
    <w:p>
      <w:pPr>
        <w:pStyle w:val="BodyText"/>
        <w:spacing w:line="240" w:lineRule="auto" w:before="111"/>
        <w:ind w:right="0"/>
        <w:jc w:val="both"/>
      </w:pPr>
      <w:r>
        <w:rPr/>
        <w:t>司出资</w:t>
      </w:r>
      <w:r>
        <w:rPr>
          <w:spacing w:val="-51"/>
        </w:rPr>
        <w:t> </w:t>
      </w:r>
      <w:r>
        <w:rPr>
          <w:rFonts w:ascii="Times New Roman" w:hAnsi="Times New Roman" w:cs="Times New Roman" w:eastAsia="Times New Roman" w:hint="default"/>
        </w:rPr>
        <w:t>195</w:t>
      </w:r>
      <w:r>
        <w:rPr>
          <w:rFonts w:ascii="Times New Roman" w:hAnsi="Times New Roman" w:cs="Times New Roman" w:eastAsia="Times New Roman" w:hint="default"/>
          <w:spacing w:val="-5"/>
        </w:rPr>
        <w:t> </w:t>
      </w:r>
      <w:r>
        <w:rPr/>
        <w:t>万元，湖南教育出版社工会出资</w:t>
      </w:r>
      <w:r>
        <w:rPr>
          <w:spacing w:val="-50"/>
        </w:rPr>
        <w:t> </w:t>
      </w:r>
      <w:r>
        <w:rPr>
          <w:rFonts w:ascii="Times New Roman" w:hAnsi="Times New Roman" w:cs="Times New Roman" w:eastAsia="Times New Roman" w:hint="default"/>
        </w:rPr>
        <w:t>105</w:t>
      </w:r>
      <w:r>
        <w:rPr>
          <w:rFonts w:ascii="Times New Roman" w:hAnsi="Times New Roman" w:cs="Times New Roman" w:eastAsia="Times New Roman" w:hint="default"/>
          <w:spacing w:val="-5"/>
        </w:rPr>
        <w:t> </w:t>
      </w:r>
      <w:r>
        <w:rPr/>
        <w:t>万元，成立时企业法人营业执照注册号为</w:t>
      </w:r>
      <w:r>
        <w:rPr>
          <w:spacing w:val="-51"/>
        </w:rPr>
        <w:t> </w:t>
      </w:r>
      <w:r>
        <w:rPr>
          <w:rFonts w:ascii="Times New Roman" w:hAnsi="Times New Roman" w:cs="Times New Roman" w:eastAsia="Times New Roman" w:hint="default"/>
        </w:rPr>
        <w:t>4300002004810</w:t>
      </w:r>
      <w:r>
        <w:rPr/>
        <w:t>。</w:t>
      </w:r>
    </w:p>
    <w:p>
      <w:pPr>
        <w:spacing w:line="240" w:lineRule="auto" w:before="5"/>
        <w:rPr>
          <w:rFonts w:ascii="宋体" w:hAnsi="宋体" w:cs="宋体" w:eastAsia="宋体" w:hint="default"/>
          <w:sz w:val="20"/>
          <w:szCs w:val="20"/>
        </w:rPr>
      </w:pPr>
    </w:p>
    <w:p>
      <w:pPr>
        <w:pStyle w:val="BodyText"/>
        <w:spacing w:line="240" w:lineRule="auto"/>
        <w:ind w:left="480"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8 </w:t>
      </w:r>
      <w:r>
        <w:rPr/>
        <w:t>月，公司增资</w:t>
      </w:r>
      <w:r>
        <w:rPr>
          <w:spacing w:val="-48"/>
        </w:rPr>
        <w:t> </w:t>
      </w:r>
      <w:r>
        <w:rPr>
          <w:rFonts w:ascii="Times New Roman" w:hAnsi="Times New Roman" w:cs="Times New Roman" w:eastAsia="Times New Roman" w:hint="default"/>
        </w:rPr>
        <w:t>4,700</w:t>
      </w:r>
      <w:r>
        <w:rPr>
          <w:rFonts w:ascii="Times New Roman" w:hAnsi="Times New Roman" w:cs="Times New Roman" w:eastAsia="Times New Roman" w:hint="default"/>
          <w:spacing w:val="-2"/>
        </w:rPr>
        <w:t> </w:t>
      </w:r>
      <w:r>
        <w:rPr/>
        <w:t>万元，增资后注册资本变更为人民币</w:t>
      </w:r>
      <w:r>
        <w:rPr>
          <w:spacing w:val="-45"/>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w:t>
      </w:r>
    </w:p>
    <w:p>
      <w:pPr>
        <w:spacing w:line="240" w:lineRule="auto" w:before="5"/>
        <w:rPr>
          <w:rFonts w:ascii="宋体" w:hAnsi="宋体" w:cs="宋体" w:eastAsia="宋体" w:hint="default"/>
          <w:sz w:val="20"/>
          <w:szCs w:val="20"/>
        </w:rPr>
      </w:pPr>
    </w:p>
    <w:p>
      <w:pPr>
        <w:pStyle w:val="BodyText"/>
        <w:spacing w:line="240" w:lineRule="auto"/>
        <w:ind w:left="480" w:right="0"/>
        <w:jc w:val="left"/>
      </w:pP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21  </w:t>
      </w:r>
      <w:r>
        <w:rPr>
          <w:spacing w:val="5"/>
        </w:rPr>
        <w:t>日，湖南天舟科教文化拓展有限公司以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spacing w:val="-3"/>
        </w:rPr>
        <w:t>11  </w:t>
      </w:r>
      <w:r>
        <w:rPr/>
        <w:t>月 </w:t>
      </w:r>
      <w:r>
        <w:rPr>
          <w:rFonts w:ascii="Times New Roman" w:hAnsi="Times New Roman" w:cs="Times New Roman" w:eastAsia="Times New Roman" w:hint="default"/>
        </w:rPr>
        <w:t>30  </w:t>
      </w:r>
      <w:r>
        <w:rPr>
          <w:rFonts w:ascii="Times New Roman" w:hAnsi="Times New Roman" w:cs="Times New Roman" w:eastAsia="Times New Roman" w:hint="default"/>
          <w:spacing w:val="26"/>
        </w:rPr>
        <w:t> </w:t>
      </w:r>
      <w:r>
        <w:rPr>
          <w:spacing w:val="5"/>
        </w:rPr>
        <w:t>日经审计后的净资产</w:t>
      </w:r>
    </w:p>
    <w:p>
      <w:pPr>
        <w:pStyle w:val="BodyText"/>
        <w:spacing w:line="348" w:lineRule="auto" w:before="111"/>
        <w:ind w:right="216"/>
        <w:jc w:val="both"/>
      </w:pPr>
      <w:r>
        <w:rPr>
          <w:rFonts w:ascii="Times New Roman" w:hAnsi="Times New Roman" w:cs="Times New Roman" w:eastAsia="Times New Roman" w:hint="default"/>
        </w:rPr>
        <w:t>53,357,644.43</w:t>
      </w:r>
      <w:r>
        <w:rPr>
          <w:rFonts w:ascii="Times New Roman" w:hAnsi="Times New Roman" w:cs="Times New Roman" w:eastAsia="Times New Roman" w:hint="default"/>
          <w:spacing w:val="-7"/>
        </w:rPr>
        <w:t> </w:t>
      </w:r>
      <w:r>
        <w:rPr/>
        <w:t>元按净资产</w:t>
      </w:r>
      <w:r>
        <w:rPr>
          <w:spacing w:val="-56"/>
        </w:rPr>
        <w:t> </w:t>
      </w:r>
      <w:r>
        <w:rPr>
          <w:rFonts w:ascii="Times New Roman" w:hAnsi="Times New Roman" w:cs="Times New Roman" w:eastAsia="Times New Roman" w:hint="default"/>
        </w:rPr>
        <w:t>1.067</w:t>
      </w:r>
      <w:r>
        <w:rPr/>
        <w:t>：</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折股，整体变更为湖南天舟科教文化股份有限公司。整体变更后，公司 股本为</w:t>
      </w:r>
      <w:r>
        <w:rPr>
          <w:spacing w:val="-4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
        </w:rPr>
        <w:t> </w:t>
      </w:r>
      <w:r>
        <w:rPr/>
        <w:t>万元，计</w:t>
      </w:r>
      <w:r>
        <w:rPr>
          <w:spacing w:val="-4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t>万股，其中湖南天鸿投资集团有限公司出资</w:t>
      </w:r>
      <w:r>
        <w:rPr>
          <w:spacing w:val="-43"/>
        </w:rPr>
        <w:t> </w:t>
      </w:r>
      <w:r>
        <w:rPr>
          <w:rFonts w:ascii="Times New Roman" w:hAnsi="Times New Roman" w:cs="Times New Roman" w:eastAsia="Times New Roman" w:hint="default"/>
        </w:rPr>
        <w:t>4,898</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102</w:t>
      </w:r>
      <w:r>
        <w:rPr>
          <w:rFonts w:ascii="Times New Roman" w:hAnsi="Times New Roman" w:cs="Times New Roman" w:eastAsia="Times New Roman" w:hint="default"/>
          <w:spacing w:val="3"/>
        </w:rPr>
        <w:t> </w:t>
      </w:r>
      <w:r>
        <w:rPr/>
        <w:t>名自然人股东出 资</w:t>
      </w:r>
      <w:r>
        <w:rPr>
          <w:spacing w:val="-47"/>
        </w:rPr>
        <w:t> </w:t>
      </w:r>
      <w:r>
        <w:rPr>
          <w:rFonts w:ascii="Times New Roman" w:hAnsi="Times New Roman" w:cs="Times New Roman" w:eastAsia="Times New Roman" w:hint="default"/>
        </w:rPr>
        <w:t>102</w:t>
      </w:r>
      <w:r>
        <w:rPr>
          <w:rFonts w:ascii="Times New Roman" w:hAnsi="Times New Roman" w:cs="Times New Roman" w:eastAsia="Times New Roman" w:hint="default"/>
          <w:spacing w:val="-1"/>
        </w:rPr>
        <w:t> </w:t>
      </w:r>
      <w:r>
        <w:rPr/>
        <w:t>万元。整体变更后的企业法人营业执照注册号为</w:t>
      </w:r>
      <w:r>
        <w:rPr>
          <w:spacing w:val="-46"/>
        </w:rPr>
        <w:t> </w:t>
      </w:r>
      <w:r>
        <w:rPr>
          <w:rFonts w:ascii="Times New Roman" w:hAnsi="Times New Roman" w:cs="Times New Roman" w:eastAsia="Times New Roman" w:hint="default"/>
        </w:rPr>
        <w:t>430121000002025</w:t>
      </w:r>
      <w:r>
        <w:rPr/>
        <w:t>。</w:t>
      </w:r>
    </w:p>
    <w:p>
      <w:pPr>
        <w:spacing w:line="240" w:lineRule="auto" w:before="7"/>
        <w:rPr>
          <w:rFonts w:ascii="宋体" w:hAnsi="宋体" w:cs="宋体" w:eastAsia="宋体" w:hint="default"/>
          <w:sz w:val="13"/>
          <w:szCs w:val="13"/>
        </w:rPr>
      </w:pPr>
    </w:p>
    <w:p>
      <w:pPr>
        <w:pStyle w:val="BodyText"/>
        <w:spacing w:line="240" w:lineRule="auto"/>
        <w:ind w:left="480"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7 </w:t>
      </w:r>
      <w:r>
        <w:rPr/>
        <w:t>月，公司增资</w:t>
      </w:r>
      <w:r>
        <w:rPr>
          <w:spacing w:val="-48"/>
        </w:rPr>
        <w:t> </w:t>
      </w:r>
      <w:r>
        <w:rPr>
          <w:rFonts w:ascii="Times New Roman" w:hAnsi="Times New Roman" w:cs="Times New Roman" w:eastAsia="Times New Roman" w:hint="default"/>
        </w:rPr>
        <w:t>600 </w:t>
      </w:r>
      <w:r>
        <w:rPr/>
        <w:t>万元，增资后公司股本增加至</w:t>
      </w:r>
      <w:r>
        <w:rPr>
          <w:spacing w:val="-46"/>
        </w:rPr>
        <w:t> </w:t>
      </w:r>
      <w:r>
        <w:rPr>
          <w:rFonts w:ascii="Times New Roman" w:hAnsi="Times New Roman" w:cs="Times New Roman" w:eastAsia="Times New Roman" w:hint="default"/>
        </w:rPr>
        <w:t>5,600</w:t>
      </w:r>
      <w:r>
        <w:rPr>
          <w:rFonts w:ascii="Times New Roman" w:hAnsi="Times New Roman" w:cs="Times New Roman" w:eastAsia="Times New Roman" w:hint="default"/>
          <w:spacing w:val="1"/>
        </w:rPr>
        <w:t> </w:t>
      </w:r>
      <w:r>
        <w:rPr/>
        <w:t>万元。</w:t>
      </w:r>
    </w:p>
    <w:p>
      <w:pPr>
        <w:spacing w:line="240" w:lineRule="auto" w:before="5"/>
        <w:rPr>
          <w:rFonts w:ascii="宋体" w:hAnsi="宋体" w:cs="宋体" w:eastAsia="宋体" w:hint="default"/>
          <w:sz w:val="20"/>
          <w:szCs w:val="20"/>
        </w:rPr>
      </w:pPr>
    </w:p>
    <w:p>
      <w:pPr>
        <w:pStyle w:val="BodyText"/>
        <w:spacing w:line="240" w:lineRule="auto"/>
        <w:ind w:left="480" w:right="0"/>
        <w:jc w:val="left"/>
      </w:pPr>
      <w:r>
        <w:rPr>
          <w:rFonts w:ascii="Times New Roman" w:hAnsi="Times New Roman" w:cs="Times New Roman" w:eastAsia="Times New Roman" w:hint="default"/>
        </w:rPr>
        <w:t>2010 </w:t>
      </w:r>
      <w:r>
        <w:rPr/>
        <w:t>年</w:t>
      </w:r>
      <w:r>
        <w:rPr>
          <w:spacing w:val="-4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日，公司经中国证监会《证监许可</w:t>
      </w:r>
      <w:r>
        <w:rPr>
          <w:rFonts w:ascii="Times New Roman" w:hAnsi="Times New Roman" w:cs="Times New Roman" w:eastAsia="Times New Roman" w:hint="default"/>
        </w:rPr>
        <w:t>[2010]1697 </w:t>
      </w:r>
      <w:r>
        <w:rPr/>
        <w:t>号》文批准，向社会公开发行社会公众</w:t>
      </w:r>
    </w:p>
    <w:p>
      <w:pPr>
        <w:pStyle w:val="BodyText"/>
        <w:spacing w:line="240" w:lineRule="auto" w:before="111"/>
        <w:ind w:right="0"/>
        <w:jc w:val="both"/>
      </w:pPr>
      <w:r>
        <w:rPr/>
        <w:t>股</w:t>
      </w:r>
      <w:r>
        <w:rPr>
          <w:spacing w:val="-47"/>
        </w:rPr>
        <w:t> </w:t>
      </w:r>
      <w:r>
        <w:rPr>
          <w:rFonts w:ascii="Times New Roman" w:hAnsi="Times New Roman" w:cs="Times New Roman" w:eastAsia="Times New Roman" w:hint="default"/>
        </w:rPr>
        <w:t>1,900 </w:t>
      </w:r>
      <w:r>
        <w:rPr/>
        <w:t>万股；经深圳证券交易所《深证上</w:t>
      </w:r>
      <w:r>
        <w:rPr>
          <w:rFonts w:ascii="Times New Roman" w:hAnsi="Times New Roman" w:cs="Times New Roman" w:eastAsia="Times New Roman" w:hint="default"/>
        </w:rPr>
        <w:t>[2010]</w:t>
      </w:r>
      <w:r>
        <w:rPr>
          <w:rFonts w:ascii="Times New Roman" w:hAnsi="Times New Roman" w:cs="Times New Roman" w:eastAsia="Times New Roman" w:hint="default"/>
          <w:spacing w:val="38"/>
        </w:rPr>
        <w:t> </w:t>
      </w:r>
      <w:r>
        <w:rPr>
          <w:rFonts w:ascii="Times New Roman" w:hAnsi="Times New Roman" w:cs="Times New Roman" w:eastAsia="Times New Roman" w:hint="default"/>
        </w:rPr>
        <w:t>412 </w:t>
      </w:r>
      <w:r>
        <w:rPr/>
        <w:t>号》文同意，于</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日在深交所创业板</w:t>
      </w:r>
    </w:p>
    <w:p>
      <w:pPr>
        <w:pStyle w:val="BodyText"/>
        <w:spacing w:line="240" w:lineRule="auto" w:before="111"/>
        <w:ind w:right="0"/>
        <w:jc w:val="both"/>
      </w:pPr>
      <w:r>
        <w:rPr/>
        <w:t>上市交易。公司股本增加至 </w:t>
      </w:r>
      <w:r>
        <w:rPr>
          <w:rFonts w:ascii="Times New Roman" w:hAnsi="Times New Roman" w:cs="Times New Roman" w:eastAsia="Times New Roman" w:hint="default"/>
        </w:rPr>
        <w:t>7,500  </w:t>
      </w:r>
      <w:r>
        <w:rPr>
          <w:spacing w:val="2"/>
        </w:rPr>
        <w:t>万元，其中湖南天鸿投资集团有限公司出资 </w:t>
      </w:r>
      <w:r>
        <w:rPr>
          <w:rFonts w:ascii="Times New Roman" w:hAnsi="Times New Roman" w:cs="Times New Roman" w:eastAsia="Times New Roman" w:hint="default"/>
        </w:rPr>
        <w:t>4,888  </w:t>
      </w:r>
      <w:r>
        <w:rPr>
          <w:rFonts w:ascii="Times New Roman" w:hAnsi="Times New Roman" w:cs="Times New Roman" w:eastAsia="Times New Roman" w:hint="default"/>
          <w:spacing w:val="12"/>
        </w:rPr>
        <w:t> </w:t>
      </w:r>
      <w:r>
        <w:rPr/>
        <w:t>万元，占总股本的</w:t>
      </w:r>
    </w:p>
    <w:p>
      <w:pPr>
        <w:pStyle w:val="BodyText"/>
        <w:spacing w:line="240" w:lineRule="auto" w:before="111"/>
        <w:ind w:right="0"/>
        <w:jc w:val="both"/>
      </w:pPr>
      <w:r>
        <w:rPr>
          <w:rFonts w:ascii="Times New Roman" w:hAnsi="Times New Roman" w:cs="Times New Roman" w:eastAsia="Times New Roman" w:hint="default"/>
        </w:rPr>
        <w:t>65.17%</w:t>
      </w:r>
      <w:r>
        <w:rPr/>
        <w:t>。</w:t>
      </w:r>
    </w:p>
    <w:p>
      <w:pPr>
        <w:spacing w:line="240" w:lineRule="auto" w:before="9"/>
        <w:rPr>
          <w:rFonts w:ascii="宋体" w:hAnsi="宋体" w:cs="宋体" w:eastAsia="宋体" w:hint="default"/>
          <w:sz w:val="17"/>
          <w:szCs w:val="17"/>
        </w:rPr>
      </w:pPr>
    </w:p>
    <w:p>
      <w:pPr>
        <w:pStyle w:val="Heading6"/>
        <w:spacing w:line="297" w:lineRule="auto"/>
        <w:ind w:left="120" w:right="119" w:firstLine="419"/>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日，公司</w:t>
      </w:r>
      <w:r>
        <w:rPr>
          <w:rFonts w:ascii="Times New Roman" w:hAnsi="Times New Roman" w:cs="Times New Roman" w:eastAsia="Times New Roman" w:hint="default"/>
          <w:spacing w:val="-2"/>
        </w:rPr>
        <w:t>2010</w:t>
      </w:r>
      <w:r>
        <w:rPr>
          <w:spacing w:val="-2"/>
        </w:rPr>
        <w:t>年度股东大会决议，以</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7,500</w:t>
      </w:r>
      <w:r>
        <w:rPr>
          <w:spacing w:val="-2"/>
        </w:rPr>
        <w:t>万股为基</w:t>
      </w:r>
      <w:r>
        <w:rPr>
          <w:w w:val="100"/>
        </w:rPr>
        <w:t> </w:t>
      </w:r>
      <w:r>
        <w:rPr>
          <w:spacing w:val="-2"/>
        </w:rPr>
        <w:t>数，按每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w:t>
      </w:r>
      <w:r>
        <w:rPr>
          <w:spacing w:val="-2"/>
        </w:rPr>
        <w:t>股的比例，以资本公积转增股份</w:t>
      </w:r>
      <w:r>
        <w:rPr>
          <w:rFonts w:ascii="Times New Roman" w:hAnsi="Times New Roman" w:cs="Times New Roman" w:eastAsia="Times New Roman" w:hint="default"/>
          <w:spacing w:val="-2"/>
        </w:rPr>
        <w:t>2,250</w:t>
      </w:r>
      <w:r>
        <w:rPr>
          <w:spacing w:val="-2"/>
        </w:rPr>
        <w:t>万股，公司股本增加至</w:t>
      </w:r>
      <w:r>
        <w:rPr>
          <w:rFonts w:ascii="Times New Roman" w:hAnsi="Times New Roman" w:cs="Times New Roman" w:eastAsia="Times New Roman" w:hint="default"/>
          <w:spacing w:val="-2"/>
        </w:rPr>
        <w:t>9,750</w:t>
      </w:r>
      <w:r>
        <w:rPr>
          <w:spacing w:val="-2"/>
        </w:rPr>
        <w:t>万元。</w:t>
      </w:r>
    </w:p>
    <w:p>
      <w:pPr>
        <w:spacing w:line="240" w:lineRule="auto" w:before="8"/>
        <w:rPr>
          <w:rFonts w:ascii="宋体" w:hAnsi="宋体" w:cs="宋体" w:eastAsia="宋体" w:hint="default"/>
          <w:sz w:val="15"/>
          <w:szCs w:val="15"/>
        </w:rPr>
      </w:pPr>
    </w:p>
    <w:p>
      <w:pPr>
        <w:pStyle w:val="BodyText"/>
        <w:spacing w:line="240" w:lineRule="auto"/>
        <w:ind w:left="480"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日，公司名称变更为天舟文化股份有限公司。</w:t>
      </w:r>
    </w:p>
    <w:p>
      <w:pPr>
        <w:spacing w:line="240" w:lineRule="auto" w:before="9"/>
        <w:rPr>
          <w:rFonts w:ascii="宋体" w:hAnsi="宋体" w:cs="宋体" w:eastAsia="宋体" w:hint="default"/>
          <w:sz w:val="17"/>
          <w:szCs w:val="17"/>
        </w:rPr>
      </w:pPr>
    </w:p>
    <w:p>
      <w:pPr>
        <w:pStyle w:val="Heading6"/>
        <w:spacing w:line="297" w:lineRule="auto"/>
        <w:ind w:left="120" w:right="0" w:firstLine="419"/>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日，公司</w:t>
      </w:r>
      <w:r>
        <w:rPr>
          <w:rFonts w:ascii="Times New Roman" w:hAnsi="Times New Roman" w:cs="Times New Roman" w:eastAsia="Times New Roman" w:hint="default"/>
          <w:spacing w:val="-2"/>
        </w:rPr>
        <w:t>2011</w:t>
      </w:r>
      <w:r>
        <w:rPr>
          <w:spacing w:val="-2"/>
        </w:rPr>
        <w:t>年度股东大会决议，以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9,750</w:t>
      </w:r>
      <w:r>
        <w:rPr>
          <w:spacing w:val="-2"/>
        </w:rPr>
        <w:t>万股为基</w:t>
      </w:r>
      <w:r>
        <w:rPr>
          <w:w w:val="100"/>
        </w:rPr>
        <w:t> </w:t>
      </w:r>
      <w:r>
        <w:rPr>
          <w:spacing w:val="-4"/>
        </w:rPr>
        <w:t>数，按每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3</w:t>
      </w:r>
      <w:r>
        <w:rPr>
          <w:spacing w:val="-4"/>
        </w:rPr>
        <w:t>股的比例，以资本公积转增股份</w:t>
      </w:r>
      <w:r>
        <w:rPr>
          <w:rFonts w:ascii="Times New Roman" w:hAnsi="Times New Roman" w:cs="Times New Roman" w:eastAsia="Times New Roman" w:hint="default"/>
          <w:spacing w:val="-4"/>
        </w:rPr>
        <w:t>2,925</w:t>
      </w:r>
      <w:r>
        <w:rPr>
          <w:spacing w:val="-4"/>
        </w:rPr>
        <w:t>万股，公司股本增加至</w:t>
      </w:r>
      <w:r>
        <w:rPr>
          <w:rFonts w:ascii="Times New Roman" w:hAnsi="Times New Roman" w:cs="Times New Roman" w:eastAsia="Times New Roman" w:hint="default"/>
          <w:spacing w:val="-4"/>
        </w:rPr>
        <w:t>12,675</w:t>
      </w:r>
      <w:r>
        <w:rPr>
          <w:spacing w:val="-4"/>
        </w:rPr>
        <w:t>万元。</w:t>
      </w:r>
    </w:p>
    <w:p>
      <w:pPr>
        <w:pStyle w:val="Heading6"/>
        <w:spacing w:line="297" w:lineRule="auto" w:before="169"/>
        <w:ind w:left="120" w:right="211" w:firstLine="419"/>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日，公司</w:t>
      </w:r>
      <w:r>
        <w:rPr>
          <w:rFonts w:ascii="Times New Roman" w:hAnsi="Times New Roman" w:cs="Times New Roman" w:eastAsia="Times New Roman" w:hint="default"/>
        </w:rPr>
        <w:t>2012</w:t>
      </w:r>
      <w:r>
        <w:rPr/>
        <w:t>年度股东大会决议，以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12,675</w:t>
      </w:r>
      <w:r>
        <w:rPr/>
        <w:t>万股为</w:t>
      </w:r>
      <w:r>
        <w:rPr>
          <w:w w:val="100"/>
        </w:rPr>
        <w:t> </w:t>
      </w:r>
      <w:r>
        <w:rPr>
          <w:spacing w:val="-1"/>
        </w:rPr>
        <w:t>基数，按每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2</w:t>
      </w:r>
      <w:r>
        <w:rPr>
          <w:spacing w:val="-1"/>
        </w:rPr>
        <w:t>股的比例，以资本公积转增股份</w:t>
      </w:r>
      <w:r>
        <w:rPr>
          <w:rFonts w:ascii="Times New Roman" w:hAnsi="Times New Roman" w:cs="Times New Roman" w:eastAsia="Times New Roman" w:hint="default"/>
          <w:spacing w:val="-1"/>
        </w:rPr>
        <w:t>2,535</w:t>
      </w:r>
      <w:r>
        <w:rPr>
          <w:spacing w:val="-1"/>
        </w:rPr>
        <w:t>万股，公司股本增加至</w:t>
      </w:r>
      <w:r>
        <w:rPr>
          <w:rFonts w:ascii="Times New Roman" w:hAnsi="Times New Roman" w:cs="Times New Roman" w:eastAsia="Times New Roman" w:hint="default"/>
          <w:spacing w:val="-1"/>
        </w:rPr>
        <w:t>15,210</w:t>
      </w:r>
      <w:r>
        <w:rPr>
          <w:spacing w:val="-1"/>
        </w:rPr>
        <w:t>万</w:t>
      </w:r>
      <w:r>
        <w:rPr>
          <w:spacing w:val="-52"/>
        </w:rPr>
        <w:t> </w:t>
      </w:r>
      <w:r>
        <w:rPr/>
        <w:t>元。</w:t>
      </w:r>
    </w:p>
    <w:p>
      <w:pPr>
        <w:spacing w:line="240" w:lineRule="auto" w:before="8"/>
        <w:rPr>
          <w:rFonts w:ascii="宋体" w:hAnsi="宋体" w:cs="宋体" w:eastAsia="宋体" w:hint="default"/>
          <w:sz w:val="14"/>
          <w:szCs w:val="14"/>
        </w:rPr>
      </w:pPr>
    </w:p>
    <w:p>
      <w:pPr>
        <w:pStyle w:val="Heading6"/>
        <w:spacing w:line="297" w:lineRule="auto"/>
        <w:ind w:left="120" w:right="225" w:firstLine="419"/>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日，公司</w:t>
      </w:r>
      <w:r>
        <w:rPr>
          <w:rFonts w:ascii="Times New Roman" w:hAnsi="Times New Roman" w:cs="Times New Roman" w:eastAsia="Times New Roman" w:hint="default"/>
          <w:spacing w:val="-2"/>
        </w:rPr>
        <w:t>2013</w:t>
      </w:r>
      <w:r>
        <w:rPr>
          <w:spacing w:val="-2"/>
        </w:rPr>
        <w:t>年度股东大会决议，以</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15,210</w:t>
      </w:r>
      <w:r>
        <w:rPr>
          <w:spacing w:val="-2"/>
        </w:rPr>
        <w:t>万股为</w:t>
      </w:r>
      <w:r>
        <w:rPr>
          <w:w w:val="100"/>
        </w:rPr>
        <w:t> </w:t>
      </w:r>
      <w:r>
        <w:rPr>
          <w:spacing w:val="-2"/>
        </w:rPr>
        <w:t>基数，按每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股的比例，以资本公积转增股份</w:t>
      </w:r>
      <w:r>
        <w:rPr>
          <w:rFonts w:ascii="Times New Roman" w:hAnsi="Times New Roman" w:cs="Times New Roman" w:eastAsia="Times New Roman" w:hint="default"/>
          <w:spacing w:val="-2"/>
        </w:rPr>
        <w:t>7,605</w:t>
      </w:r>
      <w:r>
        <w:rPr>
          <w:spacing w:val="-2"/>
        </w:rPr>
        <w:t>万股，公司股本增加至</w:t>
      </w:r>
      <w:r>
        <w:rPr>
          <w:rFonts w:ascii="Times New Roman" w:hAnsi="Times New Roman" w:cs="Times New Roman" w:eastAsia="Times New Roman" w:hint="default"/>
          <w:spacing w:val="-2"/>
        </w:rPr>
        <w:t>22,815</w:t>
      </w:r>
      <w:r>
        <w:rPr>
          <w:spacing w:val="-2"/>
        </w:rPr>
        <w:t>万</w:t>
      </w:r>
      <w:r>
        <w:rPr>
          <w:spacing w:val="-22"/>
        </w:rPr>
        <w:t> </w:t>
      </w:r>
      <w:r>
        <w:rPr/>
        <w:t>元。</w:t>
      </w:r>
    </w:p>
    <w:p>
      <w:pPr>
        <w:spacing w:line="240" w:lineRule="auto" w:before="8"/>
        <w:rPr>
          <w:rFonts w:ascii="宋体" w:hAnsi="宋体" w:cs="宋体" w:eastAsia="宋体" w:hint="default"/>
          <w:sz w:val="14"/>
          <w:szCs w:val="14"/>
        </w:rPr>
      </w:pPr>
    </w:p>
    <w:p>
      <w:pPr>
        <w:pStyle w:val="Heading6"/>
        <w:spacing w:line="297" w:lineRule="auto"/>
        <w:ind w:left="120" w:right="210" w:firstLine="419"/>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日，经中国证券监督管理委员会《关于核准天舟文化股份有限公司向李桂</w:t>
      </w:r>
      <w:r>
        <w:rPr>
          <w:w w:val="100"/>
        </w:rPr>
        <w:t> </w:t>
      </w:r>
      <w:r>
        <w:rPr>
          <w:spacing w:val="-5"/>
          <w:w w:val="100"/>
        </w:rPr>
        <w:t>华等发行股份购买资产并募集配套资金的批复》（证监许可字</w:t>
      </w:r>
      <w:r>
        <w:rPr>
          <w:rFonts w:ascii="Times New Roman" w:hAnsi="Times New Roman" w:cs="Times New Roman" w:eastAsia="Times New Roman" w:hint="default"/>
          <w:spacing w:val="-5"/>
          <w:w w:val="100"/>
        </w:rPr>
        <w:t>[2014]416</w:t>
      </w:r>
      <w:r>
        <w:rPr>
          <w:spacing w:val="-5"/>
          <w:w w:val="100"/>
        </w:rPr>
        <w:t>号文件）核准，公司</w:t>
      </w:r>
      <w:r>
        <w:rPr>
          <w:spacing w:val="-70"/>
          <w:w w:val="100"/>
        </w:rPr>
        <w:t> </w:t>
      </w:r>
      <w:r>
        <w:rPr>
          <w:spacing w:val="-70"/>
          <w:w w:val="100"/>
        </w:rPr>
      </w:r>
      <w:r>
        <w:rPr>
          <w:spacing w:val="-5"/>
        </w:rPr>
        <w:t>以支付现金及发行股份的方式购买北京神奇时代网络有限公司（以下简称</w:t>
      </w:r>
      <w:r>
        <w:rPr>
          <w:rFonts w:ascii="Times New Roman" w:hAnsi="Times New Roman" w:cs="Times New Roman" w:eastAsia="Times New Roman" w:hint="default"/>
          <w:spacing w:val="-5"/>
        </w:rPr>
        <w:t>“</w:t>
      </w:r>
      <w:r>
        <w:rPr>
          <w:spacing w:val="-5"/>
        </w:rPr>
        <w:t>神奇时代</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100%</w:t>
      </w:r>
      <w:r>
        <w:rPr>
          <w:rFonts w:ascii="Times New Roman" w:hAnsi="Times New Roman" w:cs="Times New Roman" w:eastAsia="Times New Roman" w:hint="default"/>
          <w:spacing w:val="19"/>
        </w:rPr>
        <w:t> </w:t>
      </w:r>
      <w:r>
        <w:rPr>
          <w:spacing w:val="-7"/>
          <w:w w:val="100"/>
        </w:rPr>
        <w:t>股权，并募集配套资金，增加股本人民币</w:t>
      </w:r>
      <w:r>
        <w:rPr>
          <w:rFonts w:ascii="Times New Roman" w:hAnsi="Times New Roman" w:cs="Times New Roman" w:eastAsia="Times New Roman" w:hint="default"/>
          <w:spacing w:val="-7"/>
          <w:w w:val="100"/>
        </w:rPr>
        <w:t>12,380.9591</w:t>
      </w:r>
      <w:r>
        <w:rPr>
          <w:spacing w:val="-7"/>
          <w:w w:val="100"/>
        </w:rPr>
        <w:t>万元，变更后的股本为人民币</w:t>
      </w:r>
      <w:r>
        <w:rPr>
          <w:rFonts w:ascii="Times New Roman" w:hAnsi="Times New Roman" w:cs="Times New Roman" w:eastAsia="Times New Roman" w:hint="default"/>
          <w:spacing w:val="-7"/>
          <w:w w:val="100"/>
        </w:rPr>
        <w:t>35,195.9591</w:t>
      </w:r>
      <w:r>
        <w:rPr>
          <w:rFonts w:ascii="Times New Roman" w:hAnsi="Times New Roman" w:cs="Times New Roman" w:eastAsia="Times New Roman" w:hint="default"/>
          <w:spacing w:val="-43"/>
          <w:w w:val="100"/>
        </w:rPr>
        <w:t> </w:t>
      </w:r>
      <w:r>
        <w:rPr>
          <w:rFonts w:ascii="Times New Roman" w:hAnsi="Times New Roman" w:cs="Times New Roman" w:eastAsia="Times New Roman" w:hint="default"/>
          <w:spacing w:val="-43"/>
          <w:w w:val="100"/>
        </w:rPr>
      </w:r>
      <w:r>
        <w:rPr/>
        <w:t>万元。</w:t>
      </w:r>
    </w:p>
    <w:p>
      <w:pPr>
        <w:spacing w:line="240" w:lineRule="auto" w:before="8"/>
        <w:rPr>
          <w:rFonts w:ascii="宋体" w:hAnsi="宋体" w:cs="宋体" w:eastAsia="宋体" w:hint="default"/>
          <w:sz w:val="14"/>
          <w:szCs w:val="14"/>
        </w:rPr>
      </w:pPr>
    </w:p>
    <w:p>
      <w:pPr>
        <w:pStyle w:val="Heading6"/>
        <w:spacing w:line="297" w:lineRule="auto"/>
        <w:ind w:left="120" w:right="216" w:firstLine="419"/>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6</w:t>
      </w:r>
      <w:r>
        <w:rPr>
          <w:spacing w:val="-3"/>
        </w:rPr>
        <w:t>日，公司</w:t>
      </w:r>
      <w:r>
        <w:rPr>
          <w:rFonts w:ascii="Times New Roman" w:hAnsi="Times New Roman" w:cs="Times New Roman" w:eastAsia="Times New Roman" w:hint="default"/>
          <w:spacing w:val="-3"/>
        </w:rPr>
        <w:t>2014</w:t>
      </w:r>
      <w:r>
        <w:rPr>
          <w:spacing w:val="-3"/>
        </w:rPr>
        <w:t>年度股东大会决议，以</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35,195.9591</w:t>
      </w:r>
      <w:r>
        <w:rPr>
          <w:spacing w:val="-3"/>
        </w:rPr>
        <w:t>万股</w:t>
      </w:r>
      <w:r>
        <w:rPr>
          <w:spacing w:val="-3"/>
          <w:w w:val="100"/>
        </w:rPr>
        <w:t> </w:t>
      </w:r>
      <w:r>
        <w:rPr/>
        <w:t>为基数，按每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股的比例，以资本公积转增股份</w:t>
      </w:r>
      <w:r>
        <w:rPr>
          <w:rFonts w:ascii="Times New Roman" w:hAnsi="Times New Roman" w:cs="Times New Roman" w:eastAsia="Times New Roman" w:hint="default"/>
        </w:rPr>
        <w:t>7,039.1918</w:t>
      </w:r>
      <w:r>
        <w:rPr/>
        <w:t>万股，公司股本增加至</w:t>
      </w:r>
    </w:p>
    <w:p>
      <w:pPr>
        <w:spacing w:after="0" w:line="297" w:lineRule="auto"/>
        <w:jc w:val="both"/>
        <w:sectPr>
          <w:pgSz w:w="11910" w:h="16840"/>
          <w:pgMar w:header="0" w:footer="959" w:top="1380" w:bottom="1140" w:left="1680" w:right="1580"/>
        </w:sectPr>
      </w:pPr>
    </w:p>
    <w:p>
      <w:pPr>
        <w:pStyle w:val="Heading6"/>
        <w:spacing w:line="240" w:lineRule="auto" w:before="24"/>
        <w:ind w:left="120" w:right="0"/>
        <w:jc w:val="both"/>
      </w:pPr>
      <w:r>
        <w:rPr>
          <w:rFonts w:ascii="Times New Roman" w:hAnsi="Times New Roman" w:cs="Times New Roman" w:eastAsia="Times New Roman" w:hint="default"/>
        </w:rPr>
        <w:t>42,235.1509</w:t>
      </w:r>
      <w:r>
        <w:rPr/>
        <w:t>万元。</w:t>
      </w:r>
    </w:p>
    <w:p>
      <w:pPr>
        <w:spacing w:line="240" w:lineRule="auto" w:before="1"/>
        <w:rPr>
          <w:rFonts w:ascii="宋体" w:hAnsi="宋体" w:cs="宋体" w:eastAsia="宋体" w:hint="default"/>
          <w:sz w:val="22"/>
          <w:szCs w:val="22"/>
        </w:rPr>
      </w:pPr>
    </w:p>
    <w:p>
      <w:pPr>
        <w:pStyle w:val="Heading3"/>
        <w:spacing w:line="240" w:lineRule="auto"/>
        <w:ind w:left="480" w:right="0"/>
        <w:jc w:val="left"/>
        <w:rPr>
          <w:b w:val="0"/>
          <w:bCs w:val="0"/>
        </w:rPr>
      </w:pPr>
      <w:r>
        <w:rPr>
          <w:rFonts w:ascii="Times New Roman" w:hAnsi="Times New Roman" w:cs="Times New Roman" w:eastAsia="Times New Roman" w:hint="default"/>
        </w:rPr>
        <w:t>2</w:t>
      </w:r>
      <w:r>
        <w:rPr/>
        <w:t>、公司住所及经营范围</w:t>
      </w:r>
      <w:r>
        <w:rPr>
          <w:b w:val="0"/>
          <w:bCs w:val="0"/>
        </w:rPr>
      </w:r>
    </w:p>
    <w:p>
      <w:pPr>
        <w:pStyle w:val="BodyText"/>
        <w:spacing w:line="516" w:lineRule="exact" w:before="15"/>
        <w:ind w:left="480" w:right="0"/>
        <w:jc w:val="left"/>
      </w:pPr>
      <w:r>
        <w:rPr/>
        <w:t>公司住所：长沙县星沙镇茶叶大市场办公楼</w:t>
      </w:r>
      <w:r>
        <w:rPr>
          <w:spacing w:val="-44"/>
        </w:rPr>
        <w:t> </w:t>
      </w:r>
      <w:r>
        <w:rPr>
          <w:rFonts w:ascii="Times New Roman" w:hAnsi="Times New Roman" w:cs="Times New Roman" w:eastAsia="Times New Roman" w:hint="default"/>
        </w:rPr>
        <w:t>502</w:t>
      </w:r>
      <w:r>
        <w:rPr/>
        <w:t>、</w:t>
      </w:r>
      <w:r>
        <w:rPr>
          <w:rFonts w:ascii="Times New Roman" w:hAnsi="Times New Roman" w:cs="Times New Roman" w:eastAsia="Times New Roman" w:hint="default"/>
        </w:rPr>
        <w:t>602</w:t>
      </w:r>
      <w:r>
        <w:rPr>
          <w:rFonts w:ascii="Times New Roman" w:hAnsi="Times New Roman" w:cs="Times New Roman" w:eastAsia="Times New Roman" w:hint="default"/>
          <w:spacing w:val="1"/>
        </w:rPr>
        <w:t> </w:t>
      </w:r>
      <w:r>
        <w:rPr/>
        <w:t>号。 公司经营范围：中国内地已正式出版的图书内容的网络（含手机网络）传播；其他文化娱乐用品、电</w:t>
      </w:r>
    </w:p>
    <w:p>
      <w:pPr>
        <w:pStyle w:val="BodyText"/>
        <w:spacing w:line="367" w:lineRule="auto" w:before="46"/>
        <w:ind w:right="121"/>
        <w:jc w:val="both"/>
      </w:pPr>
      <w:r>
        <w:rPr/>
        <w:t>子产品、办公用品、书报刊、音像制品及电子出版物的批发；图书互联网销售；文具用品、工艺品、多媒</w:t>
      </w:r>
      <w:r>
        <w:rPr>
          <w:spacing w:val="-73"/>
        </w:rPr>
        <w:t> </w:t>
      </w:r>
      <w:r>
        <w:rPr>
          <w:spacing w:val="-73"/>
        </w:rPr>
      </w:r>
      <w:r>
        <w:rPr/>
        <w:t>体系统、学生公寓床、学生铁床、文件柜、黑板、教学仪器、电控教学实训设备、塑料跑道、触摸屏、液</w:t>
      </w:r>
      <w:r>
        <w:rPr>
          <w:spacing w:val="-73"/>
        </w:rPr>
        <w:t> </w:t>
      </w:r>
      <w:r>
        <w:rPr>
          <w:spacing w:val="-73"/>
        </w:rPr>
      </w:r>
      <w:r>
        <w:rPr/>
        <w:t>晶显示屏、文化用品、办公用品、家具、体育用品及器材、纸制品、玩具、乐器、钢木课桌椅、玻璃钢餐</w:t>
      </w:r>
      <w:r>
        <w:rPr>
          <w:spacing w:val="-73"/>
        </w:rPr>
        <w:t> </w:t>
      </w:r>
      <w:r>
        <w:rPr>
          <w:spacing w:val="-73"/>
        </w:rPr>
      </w:r>
      <w:r>
        <w:rPr/>
        <w:t>桌椅、塑料课桌椅、办公桌椅、餐桌椅的销售；游艺娱乐用品、望远镜的零售；书刊项目的设计、策划；</w:t>
      </w:r>
      <w:r>
        <w:rPr>
          <w:spacing w:val="-73"/>
        </w:rPr>
        <w:t> </w:t>
      </w:r>
      <w:r>
        <w:rPr>
          <w:spacing w:val="-73"/>
        </w:rPr>
      </w:r>
      <w:r>
        <w:rPr/>
        <w:t>版权服务；著作权代理；商标服务；信息系统集成服务；软件服务；软件开发；软件技术转让；软件技术</w:t>
      </w:r>
      <w:r>
        <w:rPr>
          <w:spacing w:val="-71"/>
        </w:rPr>
        <w:t> </w:t>
      </w:r>
      <w:r>
        <w:rPr>
          <w:spacing w:val="-71"/>
        </w:rPr>
      </w:r>
      <w:r>
        <w:rPr/>
        <w:t>服务；数据处理和存储服务；数字内容服务；移动互联网研发和维护；电子商务平台的开发建设；果蔬仓</w:t>
      </w:r>
      <w:r>
        <w:rPr>
          <w:spacing w:val="-73"/>
        </w:rPr>
        <w:t> </w:t>
      </w:r>
      <w:r>
        <w:rPr>
          <w:spacing w:val="-73"/>
        </w:rPr>
      </w:r>
      <w:r>
        <w:rPr/>
        <w:t>储管理信息系统集成；心理咨询服务（不含医疗门诊）；教育咨询服务；信息技术咨询服务；互联网信息</w:t>
      </w:r>
      <w:r>
        <w:rPr>
          <w:spacing w:val="-73"/>
        </w:rPr>
        <w:t> </w:t>
      </w:r>
      <w:r>
        <w:rPr>
          <w:spacing w:val="-73"/>
        </w:rPr>
      </w:r>
      <w:r>
        <w:rPr/>
        <w:t>服务、金融信息咨询（不得从事金融业务）；以自有资产进行教育投资，教育投资管理（不得从事吸收存</w:t>
      </w:r>
      <w:r>
        <w:rPr>
          <w:spacing w:val="-73"/>
        </w:rPr>
        <w:t> </w:t>
      </w:r>
      <w:r>
        <w:rPr>
          <w:spacing w:val="-73"/>
        </w:rPr>
      </w:r>
      <w:r>
        <w:rPr/>
        <w:t>款、集资收款、受托贷款、发放贷款等国家金融监管及财政信用业务）；商业活动的策划；文化活动的组</w:t>
      </w:r>
      <w:r>
        <w:rPr>
          <w:spacing w:val="-73"/>
        </w:rPr>
        <w:t> </w:t>
      </w:r>
      <w:r>
        <w:rPr>
          <w:spacing w:val="-73"/>
        </w:rPr>
      </w:r>
      <w:r>
        <w:rPr/>
        <w:t>织与策划；体育活动的组织与策划；学术交流活动的组织；培训活动的组织；商业活动的组织；导向标识</w:t>
      </w:r>
      <w:r>
        <w:rPr>
          <w:spacing w:val="-73"/>
        </w:rPr>
        <w:t> </w:t>
      </w:r>
      <w:r>
        <w:rPr>
          <w:spacing w:val="-73"/>
        </w:rPr>
      </w:r>
      <w:r>
        <w:rPr/>
        <w:t>设计；导向标识制作；广告设计；广告制作服务、发布服务。（依法须经批准的项目，经相关部门批准后</w:t>
      </w:r>
      <w:r>
        <w:rPr>
          <w:spacing w:val="-72"/>
        </w:rPr>
        <w:t> </w:t>
      </w:r>
      <w:r>
        <w:rPr>
          <w:spacing w:val="-72"/>
        </w:rPr>
      </w:r>
      <w:r>
        <w:rPr/>
        <w:t>方可开展经营活动）。</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t>公司主营业务：图书出版发行业务；移动互联网游戏业务。</w:t>
      </w:r>
    </w:p>
    <w:p>
      <w:pPr>
        <w:spacing w:line="240" w:lineRule="auto" w:before="6"/>
        <w:rPr>
          <w:rFonts w:ascii="宋体" w:hAnsi="宋体" w:cs="宋体" w:eastAsia="宋体" w:hint="default"/>
          <w:sz w:val="21"/>
          <w:szCs w:val="21"/>
        </w:rPr>
      </w:pPr>
    </w:p>
    <w:p>
      <w:pPr>
        <w:pStyle w:val="BodyText"/>
        <w:spacing w:line="240" w:lineRule="auto"/>
        <w:ind w:left="480" w:right="0"/>
        <w:jc w:val="left"/>
      </w:pPr>
      <w:r>
        <w:rPr>
          <w:rFonts w:ascii="Times New Roman" w:hAnsi="Times New Roman" w:cs="Times New Roman" w:eastAsia="Times New Roman" w:hint="default"/>
        </w:rPr>
        <w:t>3</w:t>
      </w:r>
      <w:r>
        <w:rPr/>
        <w:t>、公司现任法定代表人：肖志鸿。</w:t>
      </w:r>
    </w:p>
    <w:p>
      <w:pPr>
        <w:spacing w:line="240" w:lineRule="auto" w:before="5"/>
        <w:rPr>
          <w:rFonts w:ascii="宋体" w:hAnsi="宋体" w:cs="宋体" w:eastAsia="宋体" w:hint="default"/>
          <w:sz w:val="20"/>
          <w:szCs w:val="20"/>
        </w:rPr>
      </w:pPr>
    </w:p>
    <w:p>
      <w:pPr>
        <w:pStyle w:val="BodyText"/>
        <w:spacing w:line="240" w:lineRule="auto"/>
        <w:ind w:left="480" w:right="0"/>
        <w:jc w:val="left"/>
      </w:pPr>
      <w:r>
        <w:rPr>
          <w:rFonts w:ascii="Times New Roman" w:hAnsi="Times New Roman" w:cs="Times New Roman" w:eastAsia="Times New Roman" w:hint="default"/>
        </w:rPr>
        <w:t>4</w:t>
      </w:r>
      <w:r>
        <w:rPr/>
        <w:t>、公司母公司及集团最终母公司：湖南天鸿投资集团有限公司。</w:t>
      </w:r>
    </w:p>
    <w:p>
      <w:pPr>
        <w:spacing w:line="240" w:lineRule="auto" w:before="5"/>
        <w:rPr>
          <w:rFonts w:ascii="宋体" w:hAnsi="宋体" w:cs="宋体" w:eastAsia="宋体" w:hint="default"/>
          <w:sz w:val="20"/>
          <w:szCs w:val="20"/>
        </w:rPr>
      </w:pPr>
    </w:p>
    <w:p>
      <w:pPr>
        <w:pStyle w:val="BodyText"/>
        <w:spacing w:line="511" w:lineRule="auto"/>
        <w:ind w:left="480" w:right="4582"/>
        <w:jc w:val="left"/>
      </w:pPr>
      <w:r>
        <w:rPr>
          <w:rFonts w:ascii="Times New Roman" w:hAnsi="Times New Roman" w:cs="Times New Roman" w:eastAsia="Times New Roman" w:hint="default"/>
        </w:rPr>
        <w:t>5</w:t>
      </w:r>
      <w:r>
        <w:rPr/>
        <w:t>、财务报表报出 本公司财务报表经公司董事会批准后报出。 本财务报表批准报出日：</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w:t>
      </w:r>
    </w:p>
    <w:p>
      <w:pPr>
        <w:pStyle w:val="Heading3"/>
        <w:spacing w:line="240" w:lineRule="auto" w:before="7"/>
        <w:ind w:left="120" w:right="0"/>
        <w:jc w:val="both"/>
        <w:rPr>
          <w:b w:val="0"/>
          <w:bCs w:val="0"/>
        </w:rPr>
      </w:pPr>
      <w:r>
        <w:rPr/>
        <w:t>二、财务报表的编制基础</w:t>
      </w:r>
      <w:r>
        <w:rPr>
          <w:b w:val="0"/>
          <w:bCs w:val="0"/>
        </w:rPr>
      </w:r>
    </w:p>
    <w:p>
      <w:pPr>
        <w:pStyle w:val="BodyText"/>
        <w:spacing w:line="510" w:lineRule="atLeast" w:before="79"/>
        <w:ind w:left="480" w:right="0"/>
        <w:jc w:val="left"/>
      </w:pPr>
      <w:r>
        <w:rPr/>
        <w:t>（一）编制基础 本财务报表以公司持续经营假设为基础，根据实际发生的交易事项，按照企业会计准则的有关规定，</w:t>
      </w:r>
    </w:p>
    <w:p>
      <w:pPr>
        <w:pStyle w:val="BodyText"/>
        <w:spacing w:line="240" w:lineRule="auto" w:before="124"/>
        <w:ind w:right="0"/>
        <w:jc w:val="both"/>
      </w:pPr>
      <w:r>
        <w:rPr/>
        <w:t>并基于以下所述重要会计政策、会计估计进行编制。</w:t>
      </w:r>
    </w:p>
    <w:p>
      <w:pPr>
        <w:spacing w:line="240" w:lineRule="auto" w:before="6"/>
        <w:rPr>
          <w:rFonts w:ascii="宋体" w:hAnsi="宋体" w:cs="宋体" w:eastAsia="宋体" w:hint="default"/>
          <w:sz w:val="21"/>
          <w:szCs w:val="21"/>
        </w:rPr>
      </w:pPr>
    </w:p>
    <w:p>
      <w:pPr>
        <w:pStyle w:val="BodyText"/>
        <w:spacing w:line="240" w:lineRule="auto"/>
        <w:ind w:left="480" w:right="0"/>
        <w:jc w:val="left"/>
      </w:pPr>
      <w:r>
        <w:rPr/>
        <w:t>（二）持续经营</w:t>
      </w:r>
    </w:p>
    <w:p>
      <w:pPr>
        <w:spacing w:line="240" w:lineRule="auto" w:before="6"/>
        <w:rPr>
          <w:rFonts w:ascii="宋体" w:hAnsi="宋体" w:cs="宋体" w:eastAsia="宋体" w:hint="default"/>
          <w:sz w:val="21"/>
          <w:szCs w:val="21"/>
        </w:rPr>
      </w:pPr>
    </w:p>
    <w:p>
      <w:pPr>
        <w:pStyle w:val="BodyText"/>
        <w:spacing w:line="240" w:lineRule="auto"/>
        <w:ind w:left="480" w:right="0"/>
        <w:jc w:val="left"/>
      </w:pPr>
      <w:r>
        <w:rPr/>
        <w:t>本公司自本报告期末至少</w:t>
      </w:r>
      <w:r>
        <w:rPr>
          <w:spacing w:val="-45"/>
        </w:rPr>
        <w:t> </w:t>
      </w:r>
      <w:r>
        <w:rPr>
          <w:rFonts w:ascii="Times New Roman" w:hAnsi="Times New Roman" w:cs="Times New Roman" w:eastAsia="Times New Roman" w:hint="default"/>
        </w:rPr>
        <w:t>12 </w:t>
      </w:r>
      <w:r>
        <w:rPr/>
        <w:t>个月内具有持续经营能力，无影响持续经营能力的重大事项。</w:t>
      </w:r>
    </w:p>
    <w:p>
      <w:pPr>
        <w:spacing w:line="240" w:lineRule="auto" w:before="4"/>
        <w:rPr>
          <w:rFonts w:ascii="宋体" w:hAnsi="宋体" w:cs="宋体" w:eastAsia="宋体" w:hint="default"/>
          <w:sz w:val="23"/>
          <w:szCs w:val="23"/>
        </w:rPr>
      </w:pPr>
    </w:p>
    <w:p>
      <w:pPr>
        <w:pStyle w:val="Heading3"/>
        <w:spacing w:line="240" w:lineRule="auto"/>
        <w:ind w:left="120" w:right="0"/>
        <w:jc w:val="both"/>
        <w:rPr>
          <w:b w:val="0"/>
          <w:bCs w:val="0"/>
        </w:rPr>
      </w:pPr>
      <w:r>
        <w:rPr/>
        <w:t>三、重要会计政策及会计估计</w:t>
      </w:r>
      <w:r>
        <w:rPr>
          <w:b w:val="0"/>
          <w:bCs w:val="0"/>
        </w:rPr>
      </w:r>
    </w:p>
    <w:p>
      <w:pPr>
        <w:spacing w:line="240" w:lineRule="auto" w:before="10"/>
        <w:rPr>
          <w:rFonts w:ascii="宋体" w:hAnsi="宋体" w:cs="宋体" w:eastAsia="宋体" w:hint="default"/>
          <w:b/>
          <w:bCs/>
          <w:sz w:val="32"/>
          <w:szCs w:val="32"/>
        </w:rPr>
      </w:pPr>
    </w:p>
    <w:p>
      <w:pPr>
        <w:pStyle w:val="BodyText"/>
        <w:spacing w:line="240" w:lineRule="auto"/>
        <w:ind w:left="391" w:right="0"/>
        <w:jc w:val="left"/>
      </w:pPr>
      <w:r>
        <w:rPr/>
        <w:t>（一）遵循企业会计准则的声明</w:t>
      </w:r>
    </w:p>
    <w:p>
      <w:pPr>
        <w:spacing w:after="0" w:line="240" w:lineRule="auto"/>
        <w:jc w:val="left"/>
        <w:sectPr>
          <w:pgSz w:w="11910" w:h="16840"/>
          <w:pgMar w:header="0" w:footer="959" w:top="1440" w:bottom="1140" w:left="1680" w:right="1680"/>
        </w:sectPr>
      </w:pPr>
    </w:p>
    <w:p>
      <w:pPr>
        <w:pStyle w:val="BodyText"/>
        <w:spacing w:line="357" w:lineRule="auto" w:before="19"/>
        <w:ind w:right="198" w:firstLine="359"/>
        <w:jc w:val="both"/>
      </w:pPr>
      <w:r>
        <w:rPr/>
        <w:t>本公司基于下述编制基础编制的财务报表符合财政部已颁布的最新企业会计准则及其应用指南、解释 </w:t>
      </w:r>
      <w:r>
        <w:rPr>
          <w:spacing w:val="-2"/>
        </w:rPr>
        <w:t>以及其他相关规定</w:t>
      </w:r>
      <w:r>
        <w:rPr>
          <w:rFonts w:ascii="Times New Roman" w:hAnsi="Times New Roman" w:cs="Times New Roman" w:eastAsia="Times New Roman" w:hint="default"/>
          <w:spacing w:val="-2"/>
        </w:rPr>
        <w:t>(</w:t>
      </w:r>
      <w:r>
        <w:rPr>
          <w:spacing w:val="-2"/>
        </w:rPr>
        <w:t>统称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的要求，真实完整地反映了公司的财务状况、经营成果和现金流量</w:t>
      </w:r>
      <w:r>
        <w:rPr>
          <w:spacing w:val="-67"/>
        </w:rPr>
        <w:t> </w:t>
      </w:r>
      <w:r>
        <w:rPr>
          <w:spacing w:val="-67"/>
        </w:rPr>
      </w:r>
      <w:r>
        <w:rPr/>
        <w:t>等有关信息。</w:t>
      </w:r>
    </w:p>
    <w:p>
      <w:pPr>
        <w:spacing w:line="240" w:lineRule="auto" w:before="9"/>
        <w:rPr>
          <w:rFonts w:ascii="宋体" w:hAnsi="宋体" w:cs="宋体" w:eastAsia="宋体" w:hint="default"/>
          <w:sz w:val="14"/>
          <w:szCs w:val="14"/>
        </w:rPr>
      </w:pPr>
    </w:p>
    <w:p>
      <w:pPr>
        <w:pStyle w:val="BodyText"/>
        <w:spacing w:line="240" w:lineRule="auto"/>
        <w:ind w:left="480" w:right="0"/>
        <w:jc w:val="left"/>
      </w:pPr>
      <w:r>
        <w:rPr>
          <w:spacing w:val="2"/>
        </w:rPr>
        <w:t>此外，本财务报表参照了《公开发行证券的公司信息披露编报规则第 </w:t>
      </w:r>
      <w:r>
        <w:rPr>
          <w:rFonts w:ascii="Times New Roman" w:hAnsi="Times New Roman" w:cs="Times New Roman" w:eastAsia="Times New Roman" w:hint="default"/>
        </w:rPr>
        <w:t>15 </w:t>
      </w:r>
      <w:r>
        <w:rPr>
          <w:rFonts w:ascii="Times New Roman" w:hAnsi="Times New Roman" w:cs="Times New Roman" w:eastAsia="Times New Roman" w:hint="default"/>
          <w:spacing w:val="38"/>
        </w:rPr>
        <w:t> </w:t>
      </w:r>
      <w:r>
        <w:rPr>
          <w:spacing w:val="2"/>
        </w:rPr>
        <w:t>号</w:t>
      </w:r>
      <w:r>
        <w:rPr>
          <w:rFonts w:ascii="Times New Roman" w:hAnsi="Times New Roman" w:cs="Times New Roman" w:eastAsia="Times New Roman" w:hint="default"/>
          <w:spacing w:val="2"/>
        </w:rPr>
        <w:t>-</w:t>
      </w:r>
      <w:r>
        <w:rPr>
          <w:spacing w:val="2"/>
        </w:rPr>
        <w:t>财务报告的一般规定》</w:t>
      </w:r>
    </w:p>
    <w:p>
      <w:pPr>
        <w:pStyle w:val="BodyText"/>
        <w:spacing w:line="240" w:lineRule="auto" w:before="111"/>
        <w:ind w:right="0"/>
        <w:jc w:val="left"/>
      </w:pPr>
      <w:r>
        <w:rPr>
          <w:rFonts w:ascii="Times New Roman" w:hAnsi="Times New Roman" w:cs="Times New Roman" w:eastAsia="Times New Roman" w:hint="default"/>
        </w:rPr>
        <w:t>(2014  </w:t>
      </w:r>
      <w:r>
        <w:rPr/>
        <w:t>年修订</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第 </w:t>
      </w:r>
      <w:r>
        <w:rPr>
          <w:rFonts w:ascii="Times New Roman" w:hAnsi="Times New Roman" w:cs="Times New Roman" w:eastAsia="Times New Roman" w:hint="default"/>
        </w:rPr>
        <w:t>15  </w:t>
      </w:r>
      <w:r>
        <w:rPr/>
        <w:t>号文</w:t>
      </w:r>
      <w:r>
        <w:rPr>
          <w:rFonts w:ascii="Times New Roman" w:hAnsi="Times New Roman" w:cs="Times New Roman" w:eastAsia="Times New Roman" w:hint="default"/>
        </w:rPr>
        <w:t>(2014</w:t>
      </w:r>
      <w:r>
        <w:rPr>
          <w:rFonts w:ascii="Times New Roman" w:hAnsi="Times New Roman" w:cs="Times New Roman" w:eastAsia="Times New Roman" w:hint="default"/>
          <w:spacing w:val="39"/>
        </w:rPr>
        <w:t> </w:t>
      </w:r>
      <w:r>
        <w:rPr/>
        <w:t>年修订</w:t>
      </w:r>
      <w:r>
        <w:rPr>
          <w:rFonts w:ascii="Times New Roman" w:hAnsi="Times New Roman" w:cs="Times New Roman" w:eastAsia="Times New Roman" w:hint="default"/>
        </w:rPr>
        <w:t>)”)</w:t>
      </w:r>
      <w:r>
        <w:rPr/>
        <w:t>的列报和披露要求。</w:t>
      </w:r>
    </w:p>
    <w:p>
      <w:pPr>
        <w:spacing w:line="240" w:lineRule="auto" w:before="5"/>
        <w:rPr>
          <w:rFonts w:ascii="宋体" w:hAnsi="宋体" w:cs="宋体" w:eastAsia="宋体" w:hint="default"/>
          <w:sz w:val="20"/>
          <w:szCs w:val="20"/>
        </w:rPr>
      </w:pPr>
    </w:p>
    <w:p>
      <w:pPr>
        <w:pStyle w:val="BodyText"/>
        <w:spacing w:line="240" w:lineRule="auto"/>
        <w:ind w:left="480" w:right="0"/>
        <w:jc w:val="left"/>
      </w:pPr>
      <w:r>
        <w:rPr/>
        <w:t>（二）会计期间和经营周期</w:t>
      </w:r>
    </w:p>
    <w:p>
      <w:pPr>
        <w:spacing w:line="240" w:lineRule="auto" w:before="6"/>
        <w:rPr>
          <w:rFonts w:ascii="宋体" w:hAnsi="宋体" w:cs="宋体" w:eastAsia="宋体" w:hint="default"/>
          <w:sz w:val="21"/>
          <w:szCs w:val="21"/>
        </w:rPr>
      </w:pPr>
    </w:p>
    <w:p>
      <w:pPr>
        <w:pStyle w:val="BodyText"/>
        <w:spacing w:line="240" w:lineRule="auto"/>
        <w:ind w:left="480" w:right="0"/>
        <w:jc w:val="left"/>
      </w:pPr>
      <w:r>
        <w:rPr/>
        <w:t>本公司的会计年度从公历</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日至</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日止。本公司正常经营周期是指从购买资产起至实现现</w:t>
      </w:r>
    </w:p>
    <w:p>
      <w:pPr>
        <w:pStyle w:val="BodyText"/>
        <w:spacing w:line="240" w:lineRule="auto" w:before="111"/>
        <w:ind w:right="0"/>
        <w:jc w:val="left"/>
      </w:pPr>
      <w:r>
        <w:rPr/>
        <w:t>金或现金等价物的期间。本公司以</w:t>
      </w:r>
      <w:r>
        <w:rPr>
          <w:spacing w:val="-45"/>
        </w:rPr>
        <w:t> </w:t>
      </w:r>
      <w:r>
        <w:rPr>
          <w:rFonts w:ascii="Times New Roman" w:hAnsi="Times New Roman" w:cs="Times New Roman" w:eastAsia="Times New Roman" w:hint="default"/>
        </w:rPr>
        <w:t>12 </w:t>
      </w:r>
      <w:r>
        <w:rPr/>
        <w:t>个月作为一个营业周期，并以其作为资产和负债的流动性划分标准。</w:t>
      </w:r>
    </w:p>
    <w:p>
      <w:pPr>
        <w:spacing w:line="240" w:lineRule="auto" w:before="9"/>
        <w:rPr>
          <w:rFonts w:ascii="宋体" w:hAnsi="宋体" w:cs="宋体" w:eastAsia="宋体" w:hint="default"/>
          <w:sz w:val="18"/>
          <w:szCs w:val="18"/>
        </w:rPr>
      </w:pPr>
    </w:p>
    <w:p>
      <w:pPr>
        <w:pStyle w:val="Heading7"/>
        <w:spacing w:line="240" w:lineRule="auto"/>
        <w:ind w:right="0"/>
        <w:jc w:val="left"/>
      </w:pPr>
      <w:r>
        <w:rPr/>
        <w:t>（三）记账本位币</w:t>
      </w:r>
    </w:p>
    <w:p>
      <w:pPr>
        <w:spacing w:line="240" w:lineRule="auto" w:before="3"/>
        <w:rPr>
          <w:rFonts w:ascii="宋体" w:hAnsi="宋体" w:cs="宋体" w:eastAsia="宋体" w:hint="default"/>
          <w:sz w:val="21"/>
          <w:szCs w:val="21"/>
        </w:rPr>
      </w:pPr>
    </w:p>
    <w:p>
      <w:pPr>
        <w:pStyle w:val="BodyText"/>
        <w:spacing w:line="240" w:lineRule="auto"/>
        <w:ind w:left="480" w:right="0"/>
        <w:jc w:val="left"/>
      </w:pPr>
      <w:r>
        <w:rPr/>
        <w:t>本公司采用人民币作为记账本位币。</w:t>
      </w:r>
    </w:p>
    <w:p>
      <w:pPr>
        <w:spacing w:line="240" w:lineRule="auto" w:before="6"/>
        <w:rPr>
          <w:rFonts w:ascii="宋体" w:hAnsi="宋体" w:cs="宋体" w:eastAsia="宋体" w:hint="default"/>
          <w:sz w:val="21"/>
          <w:szCs w:val="21"/>
        </w:rPr>
      </w:pPr>
    </w:p>
    <w:p>
      <w:pPr>
        <w:pStyle w:val="BodyText"/>
        <w:spacing w:line="525" w:lineRule="auto"/>
        <w:ind w:left="480" w:right="1646" w:hanging="89"/>
        <w:jc w:val="left"/>
      </w:pPr>
      <w:r>
        <w:rPr/>
        <w:t>（四）计量属性在本期发生变化的报表项目及其本期采用的计量属性 本公司采用的计量属性包括历史成本、重置成本、可变现净值、现值和公允价值。</w:t>
      </w:r>
    </w:p>
    <w:p>
      <w:pPr>
        <w:pStyle w:val="BodyText"/>
        <w:spacing w:line="240" w:lineRule="auto" w:before="66"/>
        <w:ind w:left="480" w:right="0"/>
        <w:jc w:val="left"/>
      </w:pPr>
      <w:r>
        <w:rPr/>
        <w:t>（五）企业合并</w:t>
      </w:r>
    </w:p>
    <w:p>
      <w:pPr>
        <w:spacing w:line="240" w:lineRule="auto" w:before="6"/>
        <w:rPr>
          <w:rFonts w:ascii="宋体" w:hAnsi="宋体" w:cs="宋体" w:eastAsia="宋体" w:hint="default"/>
          <w:sz w:val="21"/>
          <w:szCs w:val="21"/>
        </w:rPr>
      </w:pPr>
    </w:p>
    <w:p>
      <w:pPr>
        <w:pStyle w:val="BodyText"/>
        <w:spacing w:line="367" w:lineRule="auto"/>
        <w:ind w:right="0" w:firstLine="359"/>
        <w:jc w:val="left"/>
      </w:pPr>
      <w:r>
        <w:rPr/>
        <w:t>企业合并，是指将两个或两个以上单独的企业合并形成一个报告主体的交易或事项。企业合并分为同 一控制下企业合并和非同一控制下企业合并。</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rFonts w:ascii="Times New Roman" w:hAnsi="Times New Roman" w:cs="Times New Roman" w:eastAsia="Times New Roman" w:hint="default"/>
        </w:rPr>
        <w:t>1.</w:t>
      </w:r>
      <w:r>
        <w:rPr/>
        <w:t>同一控制下企业合并</w:t>
      </w:r>
    </w:p>
    <w:p>
      <w:pPr>
        <w:spacing w:line="240" w:lineRule="auto" w:before="5"/>
        <w:rPr>
          <w:rFonts w:ascii="宋体" w:hAnsi="宋体" w:cs="宋体" w:eastAsia="宋体" w:hint="default"/>
          <w:sz w:val="20"/>
          <w:szCs w:val="20"/>
        </w:rPr>
      </w:pPr>
    </w:p>
    <w:p>
      <w:pPr>
        <w:pStyle w:val="BodyText"/>
        <w:spacing w:line="367" w:lineRule="auto"/>
        <w:ind w:right="204" w:firstLine="359"/>
        <w:jc w:val="both"/>
      </w:pPr>
      <w:r>
        <w:rPr/>
        <w:t>参与合并的企业在合并前后均受同一方或相同的多方最终控制，且该控制并非暂时性的，为同一控制 下的企业合并。同一控制下的企业合并，在合并日取得对其他参与合并企业控制权的一方为合并方，参与</w:t>
      </w:r>
      <w:r>
        <w:rPr>
          <w:spacing w:val="-73"/>
        </w:rPr>
        <w:t> </w:t>
      </w:r>
      <w:r>
        <w:rPr>
          <w:spacing w:val="-73"/>
        </w:rPr>
      </w:r>
      <w:r>
        <w:rPr/>
        <w:t>合并的其他企业为被合并方。合并日，是指合并方实际取得对被合并方控制权的日期。</w:t>
      </w:r>
    </w:p>
    <w:p>
      <w:pPr>
        <w:spacing w:line="240" w:lineRule="auto" w:before="2"/>
        <w:rPr>
          <w:rFonts w:ascii="宋体" w:hAnsi="宋体" w:cs="宋体" w:eastAsia="宋体" w:hint="default"/>
          <w:sz w:val="14"/>
          <w:szCs w:val="14"/>
        </w:rPr>
      </w:pPr>
    </w:p>
    <w:p>
      <w:pPr>
        <w:pStyle w:val="BodyText"/>
        <w:spacing w:line="367" w:lineRule="auto"/>
        <w:ind w:right="0" w:firstLine="359"/>
        <w:jc w:val="left"/>
      </w:pPr>
      <w:r>
        <w:rPr/>
        <w:t>合并方取得的资产和负债均按合并日在被合并方的账面价值计量。合并方取得的净资产账面价值与支 </w:t>
      </w:r>
      <w:r>
        <w:rPr>
          <w:spacing w:val="-6"/>
        </w:rPr>
        <w:t>付的合并对价账面价值（或发行股份面值总额）的差额，调整资本公积（股本溢价）；资本公积（股本溢价）</w:t>
      </w:r>
      <w:r>
        <w:rPr>
          <w:spacing w:val="-50"/>
        </w:rPr>
        <w:t> </w:t>
      </w:r>
      <w:r>
        <w:rPr>
          <w:spacing w:val="-50"/>
        </w:rPr>
      </w:r>
      <w:r>
        <w:rPr/>
        <w:t>不足以冲减的，调整留存收益。</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t>合并方为进行企业合并发生的各项直接费用，于发生时计入当期损益。</w:t>
      </w:r>
    </w:p>
    <w:p>
      <w:pPr>
        <w:pStyle w:val="BodyText"/>
        <w:spacing w:line="500" w:lineRule="atLeast" w:before="29"/>
        <w:ind w:left="480" w:right="0"/>
        <w:jc w:val="left"/>
      </w:pP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参与合并的企业在合并前后不受同一方或相同的多方最终控制的，为非同一控制下的企业合并。非同</w:t>
      </w:r>
    </w:p>
    <w:p>
      <w:pPr>
        <w:pStyle w:val="BodyText"/>
        <w:spacing w:line="367" w:lineRule="auto" w:before="124"/>
        <w:ind w:right="0"/>
        <w:jc w:val="left"/>
      </w:pPr>
      <w:r>
        <w:rPr/>
        <w:t>一控制下的企业合并，在购买日取得对其他参与合并企业控制权的一方为购买方，参与合并的其他企业为</w:t>
      </w:r>
      <w:r>
        <w:rPr>
          <w:spacing w:val="-73"/>
        </w:rPr>
        <w:t> </w:t>
      </w:r>
      <w:r>
        <w:rPr>
          <w:spacing w:val="-73"/>
        </w:rPr>
      </w:r>
      <w:r>
        <w:rPr/>
        <w:t>被购买方。购买日，是指为购买方实际取得对被购买方控制权的日期。</w:t>
      </w:r>
    </w:p>
    <w:p>
      <w:pPr>
        <w:spacing w:line="240" w:lineRule="auto" w:before="2"/>
        <w:rPr>
          <w:rFonts w:ascii="宋体" w:hAnsi="宋体" w:cs="宋体" w:eastAsia="宋体" w:hint="default"/>
          <w:sz w:val="14"/>
          <w:szCs w:val="14"/>
        </w:rPr>
      </w:pPr>
    </w:p>
    <w:p>
      <w:pPr>
        <w:pStyle w:val="BodyText"/>
        <w:spacing w:line="367" w:lineRule="auto"/>
        <w:ind w:right="0" w:firstLine="359"/>
        <w:jc w:val="left"/>
      </w:pPr>
      <w:r>
        <w:rPr>
          <w:spacing w:val="-2"/>
        </w:rPr>
        <w:t>对于非同一控制下的企业合并，合并成本包含购买日购买方为取得对被购买方的控制权而付出的资产、</w:t>
      </w:r>
      <w:r>
        <w:rPr/>
        <w:t> 发生或承担的负债以及发行的权益性证券的公允价值，为企业合并发生的审计、法律服务、评估咨询等中</w:t>
      </w:r>
      <w:r>
        <w:rPr>
          <w:spacing w:val="-72"/>
        </w:rPr>
        <w:t> </w:t>
      </w:r>
      <w:r>
        <w:rPr>
          <w:spacing w:val="-72"/>
        </w:rPr>
      </w:r>
      <w:r>
        <w:rPr/>
        <w:t>介费用以及其他管理费用于发生时计入当期损益。购买方作为合并对价发行的权益性证券或债务性证券的</w:t>
      </w:r>
      <w:r>
        <w:rPr>
          <w:spacing w:val="-73"/>
        </w:rPr>
        <w:t> </w:t>
      </w:r>
      <w:r>
        <w:rPr>
          <w:spacing w:val="-73"/>
        </w:rPr>
      </w:r>
      <w:r>
        <w:rPr/>
        <w:t>交易费用，计入权益性证券或债务性证券的初始确认金额。所涉及的或有对价按其在购买日的公允价值计</w:t>
      </w:r>
    </w:p>
    <w:p>
      <w:pPr>
        <w:spacing w:after="0" w:line="367" w:lineRule="auto"/>
        <w:jc w:val="left"/>
        <w:sectPr>
          <w:pgSz w:w="11910" w:h="16840"/>
          <w:pgMar w:header="0" w:footer="959" w:top="1480" w:bottom="1140" w:left="1680" w:right="1600"/>
        </w:sectPr>
      </w:pPr>
    </w:p>
    <w:p>
      <w:pPr>
        <w:pStyle w:val="BodyText"/>
        <w:spacing w:line="362" w:lineRule="auto" w:before="19"/>
        <w:ind w:right="196"/>
        <w:jc w:val="both"/>
      </w:pPr>
      <w:r>
        <w:rPr>
          <w:spacing w:val="-4"/>
        </w:rPr>
        <w:t>入合并成本，购买日后</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个月内出现对购买日已存在情况的新的或进一步证据而需要调整或有对价的，相 应调整合并商誉。购买方发生的合并成本及在合并中取得的可辨认净资产按购买日的公允价值计量。合并</w:t>
      </w:r>
      <w:r>
        <w:rPr>
          <w:spacing w:val="-73"/>
        </w:rPr>
        <w:t> </w:t>
      </w:r>
      <w:r>
        <w:rPr>
          <w:spacing w:val="-73"/>
        </w:rPr>
      </w:r>
      <w:r>
        <w:rPr/>
        <w:t>成本大于合并中取得的被购买方于购买日可辨认净资产公允价值份额的差额，确认为商誉。合并成本小于</w:t>
      </w:r>
      <w:r>
        <w:rPr>
          <w:spacing w:val="-73"/>
        </w:rPr>
        <w:t> </w:t>
      </w:r>
      <w:r>
        <w:rPr>
          <w:spacing w:val="-73"/>
        </w:rPr>
      </w:r>
      <w:r>
        <w:rPr/>
        <w:t>合并中取得的被购买方可辨认净资产公允价值份额的，首先对取得的被购买方各项可辨认资产、负债及或</w:t>
      </w:r>
      <w:r>
        <w:rPr>
          <w:spacing w:val="-73"/>
        </w:rPr>
        <w:t> </w:t>
      </w:r>
      <w:r>
        <w:rPr>
          <w:spacing w:val="-73"/>
        </w:rPr>
      </w:r>
      <w:r>
        <w:rPr/>
        <w:t>有负债的公允价值以及合并成本的计量进行复核，复核后合并成本仍小于合并中取得的被购买方可辨认净</w:t>
      </w:r>
      <w:r>
        <w:rPr>
          <w:spacing w:val="-73"/>
        </w:rPr>
        <w:t> </w:t>
      </w:r>
      <w:r>
        <w:rPr>
          <w:spacing w:val="-73"/>
        </w:rPr>
      </w:r>
      <w:r>
        <w:rPr/>
        <w:t>资产公允价值份额的，其差额计入当期损益。</w:t>
      </w:r>
    </w:p>
    <w:p>
      <w:pPr>
        <w:spacing w:line="240" w:lineRule="auto" w:before="5"/>
        <w:rPr>
          <w:rFonts w:ascii="宋体" w:hAnsi="宋体" w:cs="宋体" w:eastAsia="宋体" w:hint="default"/>
          <w:sz w:val="14"/>
          <w:szCs w:val="14"/>
        </w:rPr>
      </w:pPr>
    </w:p>
    <w:p>
      <w:pPr>
        <w:pStyle w:val="BodyText"/>
        <w:spacing w:line="362" w:lineRule="auto"/>
        <w:ind w:right="0" w:firstLine="359"/>
        <w:jc w:val="left"/>
      </w:pPr>
      <w:r>
        <w:rPr>
          <w:spacing w:val="-2"/>
        </w:rPr>
        <w:t>购买方取得被购买方的可抵扣暂时性差异，在购买日因不符合递延所得税资产确认条件而未予确认的，</w:t>
      </w:r>
      <w:r>
        <w:rPr/>
        <w:t> 在购买日后</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个月内，如取得新的或进一步的信息表明购买日的相关情况已经存在，预期被购买方在购买 日可抵扣暂时性差异带来的经济利益能够实现的，则确认相关的递延所得税资产，同时减少商誉，商誉不</w:t>
      </w:r>
      <w:r>
        <w:rPr>
          <w:spacing w:val="-73"/>
        </w:rPr>
        <w:t> </w:t>
      </w:r>
      <w:r>
        <w:rPr>
          <w:spacing w:val="-73"/>
        </w:rPr>
      </w:r>
      <w:r>
        <w:rPr/>
        <w:t>足冲减的，差额部分确认为当期损益；除上述情况以外，确认与企业合并相关的递延所得税资产的，计入</w:t>
      </w:r>
      <w:r>
        <w:rPr>
          <w:spacing w:val="-73"/>
        </w:rPr>
        <w:t> </w:t>
      </w:r>
      <w:r>
        <w:rPr>
          <w:spacing w:val="-73"/>
        </w:rPr>
      </w:r>
      <w:r>
        <w:rPr/>
        <w:t>当期损益。通过多次交易分步实现的非同一控制下企业合并，根据《财政部关于印发企业会计准则解释第</w:t>
      </w:r>
    </w:p>
    <w:p>
      <w:pPr>
        <w:pStyle w:val="BodyText"/>
        <w:spacing w:line="345" w:lineRule="auto" w:before="32"/>
        <w:ind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8"/>
        </w:rPr>
        <w:t>号的通知》（财会〔</w:t>
      </w:r>
      <w:r>
        <w:rPr>
          <w:rFonts w:ascii="Times New Roman" w:hAnsi="Times New Roman" w:cs="Times New Roman" w:eastAsia="Times New Roman" w:hint="default"/>
          <w:spacing w:val="-8"/>
        </w:rPr>
        <w:t>2012</w:t>
      </w:r>
      <w:r>
        <w:rPr>
          <w:spacing w:val="-8"/>
        </w:rPr>
        <w:t>〕</w:t>
      </w:r>
      <w:r>
        <w:rPr>
          <w:rFonts w:ascii="Times New Roman" w:hAnsi="Times New Roman" w:cs="Times New Roman" w:eastAsia="Times New Roman" w:hint="default"/>
          <w:spacing w:val="-8"/>
        </w:rPr>
        <w:t>19</w:t>
      </w:r>
      <w:r>
        <w:rPr>
          <w:rFonts w:ascii="Times New Roman" w:hAnsi="Times New Roman" w:cs="Times New Roman" w:eastAsia="Times New Roman" w:hint="default"/>
          <w:spacing w:val="1"/>
        </w:rPr>
        <w:t> </w:t>
      </w:r>
      <w:r>
        <w:rPr>
          <w:spacing w:val="-2"/>
        </w:rPr>
        <w:t>号）和《企业会计准则第</w:t>
      </w:r>
      <w:r>
        <w:rPr>
          <w:spacing w:val="-43"/>
        </w:rPr>
        <w:t> </w:t>
      </w:r>
      <w:r>
        <w:rPr>
          <w:rFonts w:ascii="Times New Roman" w:hAnsi="Times New Roman" w:cs="Times New Roman" w:eastAsia="Times New Roman" w:hint="default"/>
        </w:rPr>
        <w:t>33</w:t>
      </w:r>
      <w:r>
        <w:rPr>
          <w:rFonts w:ascii="Times New Roman" w:hAnsi="Times New Roman" w:cs="Times New Roman" w:eastAsia="Times New Roman" w:hint="default"/>
          <w:spacing w:val="4"/>
        </w:rPr>
        <w:t> </w:t>
      </w:r>
      <w:r>
        <w:rPr>
          <w:spacing w:val="-1"/>
          <w:w w:val="100"/>
        </w:rPr>
        <w:t>号</w:t>
      </w:r>
      <w:r>
        <w:rPr>
          <w:rFonts w:ascii="Times New Roman" w:hAnsi="Times New Roman" w:cs="Times New Roman" w:eastAsia="Times New Roman" w:hint="default"/>
          <w:spacing w:val="-1"/>
          <w:w w:val="100"/>
        </w:rPr>
        <w:t>——</w:t>
      </w:r>
      <w:r>
        <w:rPr>
          <w:spacing w:val="-1"/>
          <w:w w:val="100"/>
        </w:rPr>
        <w:t>合并财务报表》第五十一条关于</w:t>
      </w:r>
      <w:r>
        <w:rPr>
          <w:rFonts w:ascii="Times New Roman" w:hAnsi="Times New Roman" w:cs="Times New Roman" w:eastAsia="Times New Roman" w:hint="default"/>
          <w:spacing w:val="-1"/>
          <w:w w:val="100"/>
        </w:rPr>
        <w:t>“</w:t>
      </w:r>
      <w:r>
        <w:rPr>
          <w:spacing w:val="-1"/>
          <w:w w:val="100"/>
        </w:rPr>
        <w:t>一揽子</w:t>
      </w:r>
      <w:r>
        <w:rPr>
          <w:spacing w:val="-85"/>
          <w:w w:val="100"/>
        </w:rPr>
        <w:t> </w:t>
      </w:r>
      <w:r>
        <w:rPr>
          <w:spacing w:val="-6"/>
          <w:w w:val="100"/>
        </w:rPr>
        <w:t>交易</w:t>
      </w:r>
      <w:r>
        <w:rPr>
          <w:rFonts w:ascii="Times New Roman" w:hAnsi="Times New Roman" w:cs="Times New Roman" w:eastAsia="Times New Roman" w:hint="default"/>
          <w:spacing w:val="-6"/>
          <w:w w:val="100"/>
        </w:rPr>
        <w:t>”</w:t>
      </w:r>
      <w:r>
        <w:rPr>
          <w:spacing w:val="-6"/>
          <w:w w:val="100"/>
        </w:rPr>
        <w:t>的判断标准（参见本附注三、（五）、</w:t>
      </w:r>
      <w:r>
        <w:rPr>
          <w:rFonts w:ascii="Times New Roman" w:hAnsi="Times New Roman" w:cs="Times New Roman" w:eastAsia="Times New Roman" w:hint="default"/>
          <w:spacing w:val="-6"/>
          <w:w w:val="100"/>
        </w:rPr>
        <w:t>2</w:t>
      </w:r>
      <w:r>
        <w:rPr>
          <w:spacing w:val="-6"/>
          <w:w w:val="100"/>
        </w:rPr>
        <w:t>），判断该多次交易是否属于</w:t>
      </w:r>
      <w:r>
        <w:rPr>
          <w:rFonts w:ascii="Times New Roman" w:hAnsi="Times New Roman" w:cs="Times New Roman" w:eastAsia="Times New Roman" w:hint="default"/>
          <w:spacing w:val="-6"/>
          <w:w w:val="100"/>
        </w:rPr>
        <w:t>“</w:t>
      </w:r>
      <w:r>
        <w:rPr>
          <w:spacing w:val="-6"/>
          <w:w w:val="100"/>
        </w:rPr>
        <w:t>一揽子交易</w:t>
      </w:r>
      <w:r>
        <w:rPr>
          <w:rFonts w:ascii="Times New Roman" w:hAnsi="Times New Roman" w:cs="Times New Roman" w:eastAsia="Times New Roman" w:hint="default"/>
          <w:spacing w:val="-6"/>
          <w:w w:val="100"/>
        </w:rPr>
        <w:t>”</w:t>
      </w:r>
      <w:r>
        <w:rPr>
          <w:spacing w:val="-6"/>
          <w:w w:val="100"/>
        </w:rPr>
        <w:t>。属于</w:t>
      </w:r>
      <w:r>
        <w:rPr>
          <w:rFonts w:ascii="Times New Roman" w:hAnsi="Times New Roman" w:cs="Times New Roman" w:eastAsia="Times New Roman" w:hint="default"/>
          <w:spacing w:val="-6"/>
          <w:w w:val="100"/>
        </w:rPr>
        <w:t>“</w:t>
      </w:r>
      <w:r>
        <w:rPr>
          <w:spacing w:val="-6"/>
          <w:w w:val="100"/>
        </w:rPr>
        <w:t>一揽子交易</w:t>
      </w:r>
      <w:r>
        <w:rPr>
          <w:rFonts w:ascii="Times New Roman" w:hAnsi="Times New Roman" w:cs="Times New Roman" w:eastAsia="Times New Roman" w:hint="default"/>
          <w:spacing w:val="-6"/>
          <w:w w:val="100"/>
        </w:rPr>
        <w:t>”</w:t>
      </w:r>
      <w:r>
        <w:rPr>
          <w:rFonts w:ascii="Times New Roman" w:hAnsi="Times New Roman" w:cs="Times New Roman" w:eastAsia="Times New Roman" w:hint="default"/>
          <w:spacing w:val="-29"/>
          <w:w w:val="100"/>
        </w:rPr>
        <w:t> </w:t>
      </w:r>
      <w:r>
        <w:rPr>
          <w:spacing w:val="-5"/>
          <w:w w:val="100"/>
        </w:rPr>
        <w:t>的，参考本部分前面各段描述及本附注三、（十三）</w:t>
      </w:r>
      <w:r>
        <w:rPr>
          <w:rFonts w:ascii="Times New Roman" w:hAnsi="Times New Roman" w:cs="Times New Roman" w:eastAsia="Times New Roman" w:hint="default"/>
          <w:spacing w:val="-5"/>
          <w:w w:val="100"/>
        </w:rPr>
        <w:t>“</w:t>
      </w:r>
      <w:r>
        <w:rPr>
          <w:spacing w:val="-5"/>
          <w:w w:val="100"/>
        </w:rPr>
        <w:t>长期股权投资</w:t>
      </w:r>
      <w:r>
        <w:rPr>
          <w:rFonts w:ascii="Times New Roman" w:hAnsi="Times New Roman" w:cs="Times New Roman" w:eastAsia="Times New Roman" w:hint="default"/>
          <w:spacing w:val="-5"/>
          <w:w w:val="100"/>
        </w:rPr>
        <w:t>”</w:t>
      </w:r>
      <w:r>
        <w:rPr>
          <w:spacing w:val="-5"/>
          <w:w w:val="100"/>
        </w:rPr>
        <w:t>进行会计处理；不属于</w:t>
      </w:r>
      <w:r>
        <w:rPr>
          <w:rFonts w:ascii="Times New Roman" w:hAnsi="Times New Roman" w:cs="Times New Roman" w:eastAsia="Times New Roman" w:hint="default"/>
          <w:spacing w:val="-5"/>
          <w:w w:val="100"/>
        </w:rPr>
        <w:t>“</w:t>
      </w:r>
      <w:r>
        <w:rPr>
          <w:spacing w:val="-5"/>
          <w:w w:val="100"/>
        </w:rPr>
        <w:t>一揽子交易</w:t>
      </w:r>
      <w:r>
        <w:rPr>
          <w:rFonts w:ascii="Times New Roman" w:hAnsi="Times New Roman" w:cs="Times New Roman" w:eastAsia="Times New Roman" w:hint="default"/>
          <w:spacing w:val="-5"/>
          <w:w w:val="100"/>
        </w:rPr>
        <w:t>”</w:t>
      </w:r>
      <w:r>
        <w:rPr>
          <w:spacing w:val="-5"/>
          <w:w w:val="100"/>
        </w:rPr>
        <w:t>的，</w:t>
      </w:r>
      <w:r>
        <w:rPr>
          <w:spacing w:val="-49"/>
          <w:w w:val="100"/>
        </w:rPr>
        <w:t> </w:t>
      </w:r>
      <w:r>
        <w:rPr/>
        <w:t>区分个别财务报表和合并财务报表进行相关会计处理：</w:t>
      </w:r>
    </w:p>
    <w:p>
      <w:pPr>
        <w:spacing w:line="240" w:lineRule="auto" w:before="5"/>
        <w:rPr>
          <w:rFonts w:ascii="宋体" w:hAnsi="宋体" w:cs="宋体" w:eastAsia="宋体" w:hint="default"/>
          <w:sz w:val="15"/>
          <w:szCs w:val="15"/>
        </w:rPr>
      </w:pPr>
    </w:p>
    <w:p>
      <w:pPr>
        <w:pStyle w:val="BodyText"/>
        <w:spacing w:line="367" w:lineRule="auto"/>
        <w:ind w:right="204" w:firstLine="359"/>
        <w:jc w:val="both"/>
      </w:pPr>
      <w:r>
        <w:rPr/>
        <w:t>在个别财务报表中，以购买日之前所持被购买方的股权投资的账面价值与购买日新增投资成本之和， 作为该项投资的初始投资成本；购买日之前持有的被购买方的股权涉及其他综合收益的，在处置该项投资</w:t>
      </w:r>
      <w:r>
        <w:rPr>
          <w:spacing w:val="-73"/>
        </w:rPr>
        <w:t> </w:t>
      </w:r>
      <w:r>
        <w:rPr>
          <w:spacing w:val="-73"/>
        </w:rPr>
      </w:r>
      <w:r>
        <w:rPr/>
        <w:t>时将与其相关的其他综合收益采用与被购买方直接处置相关资产或负债相同的基础进行会计处理（即，除</w:t>
      </w:r>
      <w:r>
        <w:rPr>
          <w:spacing w:val="-73"/>
        </w:rPr>
        <w:t> </w:t>
      </w:r>
      <w:r>
        <w:rPr>
          <w:spacing w:val="-73"/>
        </w:rPr>
      </w:r>
      <w:r>
        <w:rPr/>
        <w:t>了按照权益法核算的在被购买方重新计量设定受益计划净负债或净资产导致的变动中的相应份额以外，其</w:t>
      </w:r>
      <w:r>
        <w:rPr>
          <w:spacing w:val="-73"/>
        </w:rPr>
        <w:t> </w:t>
      </w:r>
      <w:r>
        <w:rPr>
          <w:spacing w:val="-73"/>
        </w:rPr>
      </w:r>
      <w:r>
        <w:rPr>
          <w:spacing w:val="-9"/>
        </w:rPr>
        <w:t>余转入当期投资收益）。</w:t>
      </w:r>
    </w:p>
    <w:p>
      <w:pPr>
        <w:spacing w:line="240" w:lineRule="auto" w:before="2"/>
        <w:rPr>
          <w:rFonts w:ascii="宋体" w:hAnsi="宋体" w:cs="宋体" w:eastAsia="宋体" w:hint="default"/>
          <w:sz w:val="14"/>
          <w:szCs w:val="14"/>
        </w:rPr>
      </w:pPr>
    </w:p>
    <w:p>
      <w:pPr>
        <w:pStyle w:val="BodyText"/>
        <w:spacing w:line="367" w:lineRule="auto"/>
        <w:ind w:right="204" w:firstLine="359"/>
        <w:jc w:val="both"/>
      </w:pPr>
      <w:r>
        <w:rPr/>
        <w:t>在合并财务报表中，对于购买日之前持有的被购买方的股权，按照该股权在购买日的公允价值进行重 新计量，公允价值与其账面价值的差额计入当期投资收益；购买日之前持有的被购买方的股权涉及其他综</w:t>
      </w:r>
      <w:r>
        <w:rPr>
          <w:spacing w:val="-73"/>
        </w:rPr>
        <w:t> </w:t>
      </w:r>
      <w:r>
        <w:rPr>
          <w:spacing w:val="-73"/>
        </w:rPr>
      </w:r>
      <w:r>
        <w:rPr/>
        <w:t>合收益的，与其相关的其他综合收益应当采用与被购买方直接处置相关资产或负债相同的基础进行会计处</w:t>
      </w:r>
      <w:r>
        <w:rPr>
          <w:spacing w:val="-73"/>
        </w:rPr>
        <w:t> </w:t>
      </w:r>
      <w:r>
        <w:rPr>
          <w:spacing w:val="-73"/>
        </w:rPr>
      </w:r>
      <w:r>
        <w:rPr/>
        <w:t>理（即，除了按照权益法核算的在被购买方重新计量设定受益计划净负债或净资产导致的变动中的相应份</w:t>
      </w:r>
      <w:r>
        <w:rPr>
          <w:spacing w:val="-73"/>
        </w:rPr>
        <w:t> </w:t>
      </w:r>
      <w:r>
        <w:rPr>
          <w:spacing w:val="-73"/>
        </w:rPr>
      </w:r>
      <w:r>
        <w:rPr>
          <w:spacing w:val="-5"/>
        </w:rPr>
        <w:t>额以外，其余转为购买日所属当期投资收益）。</w:t>
      </w:r>
    </w:p>
    <w:p>
      <w:pPr>
        <w:spacing w:line="240" w:lineRule="auto" w:before="2"/>
        <w:rPr>
          <w:rFonts w:ascii="宋体" w:hAnsi="宋体" w:cs="宋体" w:eastAsia="宋体" w:hint="default"/>
          <w:sz w:val="14"/>
          <w:szCs w:val="14"/>
        </w:rPr>
      </w:pPr>
    </w:p>
    <w:p>
      <w:pPr>
        <w:pStyle w:val="BodyText"/>
        <w:spacing w:line="240" w:lineRule="auto"/>
        <w:ind w:right="0"/>
        <w:jc w:val="left"/>
      </w:pPr>
      <w:r>
        <w:rPr/>
        <w:t>（六）合并财务报表的编制方法</w:t>
      </w:r>
    </w:p>
    <w:p>
      <w:pPr>
        <w:pStyle w:val="BodyText"/>
        <w:spacing w:line="500" w:lineRule="atLeast" w:before="30"/>
        <w:ind w:left="480" w:right="0"/>
        <w:jc w:val="left"/>
      </w:pPr>
      <w:r>
        <w:rPr>
          <w:rFonts w:ascii="Times New Roman" w:hAnsi="Times New Roman" w:cs="Times New Roman" w:eastAsia="Times New Roman" w:hint="default"/>
        </w:rPr>
        <w:t>1.</w:t>
      </w:r>
      <w:r>
        <w:rPr/>
        <w:t>合并财务报表范围的确定原则 合并财务报表的合并范围以控制为基础予以确定。控制是指本公司拥有对被投资方的权力，通过参与</w:t>
      </w:r>
    </w:p>
    <w:p>
      <w:pPr>
        <w:pStyle w:val="BodyText"/>
        <w:spacing w:line="367" w:lineRule="auto" w:before="124"/>
        <w:ind w:right="0"/>
        <w:jc w:val="left"/>
      </w:pPr>
      <w:r>
        <w:rPr/>
        <w:t>被投资方的相关活动而享有可变回报，并且有能力运用对被投资方的权力影响该回报金额。合并范围包括</w:t>
      </w:r>
      <w:r>
        <w:rPr>
          <w:spacing w:val="-71"/>
        </w:rPr>
        <w:t> </w:t>
      </w:r>
      <w:r>
        <w:rPr>
          <w:spacing w:val="-71"/>
        </w:rPr>
      </w:r>
      <w:r>
        <w:rPr/>
        <w:t>本公司及全部子公司。子公司，是指被本公司控制的企业或主体。</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t>一旦相关事实和情况的变化导致上述控制定义涉及的相关要素发生了变化，本公司将进行重新评估。</w:t>
      </w:r>
    </w:p>
    <w:p>
      <w:pPr>
        <w:pStyle w:val="BodyText"/>
        <w:spacing w:line="500" w:lineRule="atLeast" w:before="29"/>
        <w:ind w:left="480" w:right="0"/>
        <w:jc w:val="left"/>
      </w:pPr>
      <w:r>
        <w:rPr>
          <w:rFonts w:ascii="Times New Roman" w:hAnsi="Times New Roman" w:cs="Times New Roman" w:eastAsia="Times New Roman" w:hint="default"/>
        </w:rPr>
        <w:t>2.</w:t>
      </w:r>
      <w:r>
        <w:rPr/>
        <w:t>合并财务报表编制的方法 从取得子公司的净资产和生产经营决策的实际控制权之日起，本公司开始将其纳入合并范围；从丧失</w:t>
      </w:r>
    </w:p>
    <w:p>
      <w:pPr>
        <w:pStyle w:val="BodyText"/>
        <w:spacing w:line="240" w:lineRule="auto" w:before="125"/>
        <w:ind w:right="0"/>
        <w:jc w:val="left"/>
      </w:pPr>
      <w:r>
        <w:rPr/>
        <w:t>实际控制权之日起停止纳入合并范围。对于处置的子公司，处置日前的经营成果和现金流量已经适当地包</w:t>
      </w:r>
    </w:p>
    <w:p>
      <w:pPr>
        <w:spacing w:after="0" w:line="240" w:lineRule="auto"/>
        <w:jc w:val="left"/>
        <w:sectPr>
          <w:pgSz w:w="11910" w:h="16840"/>
          <w:pgMar w:header="0" w:footer="959" w:top="1480" w:bottom="1140" w:left="1680" w:right="1600"/>
        </w:sectPr>
      </w:pPr>
    </w:p>
    <w:p>
      <w:pPr>
        <w:pStyle w:val="BodyText"/>
        <w:spacing w:line="367" w:lineRule="auto" w:before="19"/>
        <w:ind w:right="203"/>
        <w:jc w:val="both"/>
      </w:pPr>
      <w:r>
        <w:rPr/>
        <w:t>括在合并利润表和合并现金流量表中；当期处置的子公司，不调整合并资产负债表的期初数。非同一控制</w:t>
      </w:r>
      <w:r>
        <w:rPr>
          <w:spacing w:val="-73"/>
        </w:rPr>
        <w:t> </w:t>
      </w:r>
      <w:r>
        <w:rPr>
          <w:spacing w:val="-73"/>
        </w:rPr>
      </w:r>
      <w:r>
        <w:rPr/>
        <w:t>下企业合并增加的子公司，其购买日后的经营成果及现金流量已经适当地包括在合并利润表和合并现金流</w:t>
      </w:r>
      <w:r>
        <w:rPr>
          <w:spacing w:val="-72"/>
        </w:rPr>
        <w:t> </w:t>
      </w:r>
      <w:r>
        <w:rPr>
          <w:spacing w:val="-72"/>
        </w:rPr>
      </w:r>
      <w:r>
        <w:rPr/>
        <w:t>量表中，且不调整合并财务报表的期初数和对比数。同一控制下企业合并增加的子公司，其自合并当期期</w:t>
      </w:r>
      <w:r>
        <w:rPr>
          <w:spacing w:val="-73"/>
        </w:rPr>
        <w:t> </w:t>
      </w:r>
      <w:r>
        <w:rPr>
          <w:spacing w:val="-73"/>
        </w:rPr>
      </w:r>
      <w:r>
        <w:rPr/>
        <w:t>初至合并日的经营成果和现金流量已经适当地包括在合并利润表和合并现金流量表中，并且同时调整合并</w:t>
      </w:r>
      <w:r>
        <w:rPr>
          <w:spacing w:val="-73"/>
        </w:rPr>
        <w:t> </w:t>
      </w:r>
      <w:r>
        <w:rPr>
          <w:spacing w:val="-73"/>
        </w:rPr>
      </w:r>
      <w:r>
        <w:rPr/>
        <w:t>财务报表的对比数。</w:t>
      </w:r>
    </w:p>
    <w:p>
      <w:pPr>
        <w:spacing w:line="240" w:lineRule="auto" w:before="2"/>
        <w:rPr>
          <w:rFonts w:ascii="宋体" w:hAnsi="宋体" w:cs="宋体" w:eastAsia="宋体" w:hint="default"/>
          <w:sz w:val="14"/>
          <w:szCs w:val="14"/>
        </w:rPr>
      </w:pPr>
    </w:p>
    <w:p>
      <w:pPr>
        <w:pStyle w:val="BodyText"/>
        <w:spacing w:line="367" w:lineRule="auto"/>
        <w:ind w:right="204" w:firstLine="359"/>
        <w:jc w:val="both"/>
      </w:pPr>
      <w:r>
        <w:rPr/>
        <w:t>在编制合并财务报表时，子公司与本公司采用的会计政策或会计期间不一致的，按照本公司的会计政 策和会计期间对子公司财务报表进行必要的调整。对于非同一控制下企业合并取得的子公司，以购买日可</w:t>
      </w:r>
      <w:r>
        <w:rPr>
          <w:spacing w:val="-73"/>
        </w:rPr>
        <w:t> </w:t>
      </w:r>
      <w:r>
        <w:rPr>
          <w:spacing w:val="-73"/>
        </w:rPr>
      </w:r>
      <w:r>
        <w:rPr/>
        <w:t>辨认净资产公允价值为基础对其财务报表进行调整。</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t>公司内所有重大往来余额、交易及未实现利润在合并财务报表编制时予以抵销。</w:t>
      </w:r>
    </w:p>
    <w:p>
      <w:pPr>
        <w:spacing w:line="240" w:lineRule="auto" w:before="6"/>
        <w:rPr>
          <w:rFonts w:ascii="宋体" w:hAnsi="宋体" w:cs="宋体" w:eastAsia="宋体" w:hint="default"/>
          <w:sz w:val="21"/>
          <w:szCs w:val="21"/>
        </w:rPr>
      </w:pPr>
    </w:p>
    <w:p>
      <w:pPr>
        <w:pStyle w:val="BodyText"/>
        <w:spacing w:line="360" w:lineRule="auto"/>
        <w:ind w:right="202" w:firstLine="359"/>
        <w:jc w:val="both"/>
      </w:pPr>
      <w:r>
        <w:rPr/>
        <w:t>子公司的股东权益及当期净损益中不属于本公司所拥有的部分分别作为少数股东权益及少数股东损益 在合并财务报表中股东权益及净利润项下单独列示。子公司当期净损益中属于少数股东权益的份额，在合</w:t>
      </w:r>
      <w:r>
        <w:rPr>
          <w:spacing w:val="-73"/>
        </w:rPr>
        <w:t> </w:t>
      </w:r>
      <w:r>
        <w:rPr>
          <w:spacing w:val="-73"/>
        </w:rPr>
      </w:r>
      <w:r>
        <w:rPr/>
        <w:t>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项目列示。少数股东分担的子公司的亏损超过了少数股东在该</w:t>
      </w:r>
      <w:r>
        <w:rPr>
          <w:spacing w:val="-54"/>
        </w:rPr>
        <w:t> </w:t>
      </w:r>
      <w:r>
        <w:rPr>
          <w:spacing w:val="-54"/>
        </w:rPr>
      </w:r>
      <w:r>
        <w:rPr/>
        <w:t>子公司期初股东权益中所享有的份额，冲减少数股东权益。</w:t>
      </w:r>
    </w:p>
    <w:p>
      <w:pPr>
        <w:spacing w:line="240" w:lineRule="auto" w:before="7"/>
        <w:rPr>
          <w:rFonts w:ascii="宋体" w:hAnsi="宋体" w:cs="宋体" w:eastAsia="宋体" w:hint="default"/>
          <w:sz w:val="14"/>
          <w:szCs w:val="14"/>
        </w:rPr>
      </w:pPr>
    </w:p>
    <w:p>
      <w:pPr>
        <w:pStyle w:val="BodyText"/>
        <w:spacing w:line="367" w:lineRule="auto"/>
        <w:ind w:right="0" w:firstLine="359"/>
        <w:jc w:val="left"/>
      </w:pPr>
      <w:r>
        <w:rPr/>
        <w:t>当因处置部分股权投资或其他原因丧失了对原有子公司的控制权时，对于剩余股权，按照其在丧失控 制权日的公允价值进行重新计量。处置股权取得的对价与剩余股权公允价值之和，减去按原持股比例计算</w:t>
      </w:r>
      <w:r>
        <w:rPr>
          <w:spacing w:val="-72"/>
        </w:rPr>
        <w:t> </w:t>
      </w:r>
      <w:r>
        <w:rPr>
          <w:spacing w:val="-72"/>
        </w:rPr>
      </w:r>
      <w:r>
        <w:rPr/>
        <w:t>应享有原有子公司自购买日开始持续计算的净资产的份额之间的差额，计入丧失控制权当期的投资收益。</w:t>
      </w:r>
      <w:r>
        <w:rPr>
          <w:spacing w:val="-73"/>
        </w:rPr>
        <w:t> </w:t>
      </w:r>
      <w:r>
        <w:rPr>
          <w:spacing w:val="-73"/>
        </w:rPr>
      </w:r>
      <w:r>
        <w:rPr/>
        <w:t>与原有子公司股权投资相关的其他综合收益，在丧失控制权时采用与被购买方直接处置相关资产或负债相</w:t>
      </w:r>
      <w:r>
        <w:rPr>
          <w:spacing w:val="-73"/>
        </w:rPr>
        <w:t> </w:t>
      </w:r>
      <w:r>
        <w:rPr>
          <w:spacing w:val="-73"/>
        </w:rPr>
      </w:r>
      <w:r>
        <w:rPr>
          <w:spacing w:val="-2"/>
        </w:rPr>
        <w:t>同的基础进行会计处理（即，除了在该原有子公司重新计量设定受益计划净负债或净资产导致的变动以外，</w:t>
      </w:r>
      <w:r>
        <w:rPr>
          <w:spacing w:val="-63"/>
        </w:rPr>
        <w:t> </w:t>
      </w:r>
      <w:r>
        <w:rPr>
          <w:spacing w:val="-63"/>
        </w:rPr>
      </w:r>
      <w:r>
        <w:rPr>
          <w:spacing w:val="-5"/>
        </w:rPr>
        <w:t>其余一并转为当期投资收益）。其后，对该部分剩余股权按照《企业会计准则第</w:t>
      </w:r>
      <w:r>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spacing w:val="-2"/>
        </w:rPr>
        <w:t>号</w:t>
      </w:r>
      <w:r>
        <w:rPr>
          <w:rFonts w:ascii="Times New Roman" w:hAnsi="Times New Roman" w:cs="Times New Roman" w:eastAsia="Times New Roman" w:hint="default"/>
          <w:spacing w:val="-2"/>
        </w:rPr>
        <w:t>——</w:t>
      </w:r>
      <w:r>
        <w:rPr>
          <w:spacing w:val="-2"/>
        </w:rPr>
        <w:t>长期股权投资》或</w:t>
      </w:r>
    </w:p>
    <w:p>
      <w:pPr>
        <w:pStyle w:val="BodyText"/>
        <w:spacing w:line="345" w:lineRule="auto" w:before="5"/>
        <w:ind w:right="196"/>
        <w:jc w:val="both"/>
      </w:pPr>
      <w:r>
        <w:rPr/>
        <w:t>《企业会计准则第</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3"/>
        </w:rPr>
        <w:t>金</w:t>
      </w:r>
      <w:r>
        <w:rPr/>
        <w:t>融工具确认和计量</w:t>
      </w:r>
      <w:r>
        <w:rPr>
          <w:spacing w:val="-36"/>
        </w:rPr>
        <w:t>》</w:t>
      </w:r>
      <w:r>
        <w:rPr/>
        <w:t>等相关规定进行后续计量</w:t>
      </w:r>
      <w:r>
        <w:rPr>
          <w:spacing w:val="-36"/>
        </w:rPr>
        <w:t>，</w:t>
      </w:r>
      <w:r>
        <w:rPr/>
        <w:t>详见本附注三</w:t>
      </w:r>
      <w:r>
        <w:rPr>
          <w:spacing w:val="-128"/>
        </w:rPr>
        <w:t>、</w:t>
      </w:r>
      <w:r>
        <w:rPr/>
        <w:t>（十三）</w:t>
      </w:r>
      <w:r>
        <w:rPr>
          <w:spacing w:val="-34"/>
        </w:rPr>
        <w:t> </w:t>
      </w:r>
      <w:r>
        <w:rPr>
          <w:rFonts w:ascii="Times New Roman" w:hAnsi="Times New Roman" w:cs="Times New Roman" w:eastAsia="Times New Roman" w:hint="default"/>
          <w:spacing w:val="-1"/>
          <w:w w:val="100"/>
        </w:rPr>
        <w:t>“</w:t>
      </w:r>
      <w:r>
        <w:rPr/>
        <w:t>长 期股权投</w:t>
      </w:r>
      <w:r>
        <w:rPr>
          <w:spacing w:val="-1"/>
        </w:rPr>
        <w:t>资</w:t>
      </w:r>
      <w:r>
        <w:rPr>
          <w:rFonts w:ascii="Times New Roman" w:hAnsi="Times New Roman" w:cs="Times New Roman" w:eastAsia="Times New Roman" w:hint="default"/>
          <w:spacing w:val="-1"/>
          <w:w w:val="100"/>
        </w:rPr>
        <w:t>”</w:t>
      </w:r>
      <w:r>
        <w:rPr/>
        <w:t>或本附注三</w:t>
      </w:r>
      <w:r>
        <w:rPr>
          <w:spacing w:val="-92"/>
        </w:rPr>
        <w:t>、</w:t>
      </w:r>
      <w:r>
        <w:rPr/>
        <w:t>（</w:t>
      </w:r>
      <w:r>
        <w:rPr>
          <w:spacing w:val="2"/>
        </w:rPr>
        <w:t>九</w:t>
      </w:r>
      <w:r>
        <w:rPr/>
        <w:t>）</w:t>
      </w:r>
      <w:r>
        <w:rPr>
          <w:rFonts w:ascii="Times New Roman" w:hAnsi="Times New Roman" w:cs="Times New Roman" w:eastAsia="Times New Roman" w:hint="default"/>
          <w:spacing w:val="-1"/>
          <w:w w:val="100"/>
        </w:rPr>
        <w:t>“</w:t>
      </w:r>
      <w:r>
        <w:rPr/>
        <w:t>金融工具</w:t>
      </w:r>
      <w:r>
        <w:rPr>
          <w:rFonts w:ascii="Times New Roman" w:hAnsi="Times New Roman" w:cs="Times New Roman" w:eastAsia="Times New Roman" w:hint="default"/>
          <w:spacing w:val="-1"/>
          <w:w w:val="100"/>
        </w:rPr>
        <w:t>”</w:t>
      </w:r>
      <w:r>
        <w:rPr/>
        <w:t>。</w:t>
      </w:r>
    </w:p>
    <w:p>
      <w:pPr>
        <w:spacing w:line="240" w:lineRule="auto" w:before="9"/>
        <w:rPr>
          <w:rFonts w:ascii="宋体" w:hAnsi="宋体" w:cs="宋体" w:eastAsia="宋体" w:hint="default"/>
          <w:sz w:val="13"/>
          <w:szCs w:val="13"/>
        </w:rPr>
      </w:pPr>
    </w:p>
    <w:p>
      <w:pPr>
        <w:pStyle w:val="BodyText"/>
        <w:spacing w:line="355" w:lineRule="auto"/>
        <w:ind w:right="193" w:firstLine="359"/>
        <w:jc w:val="both"/>
      </w:pPr>
      <w:r>
        <w:rPr/>
        <w:t>本公司通过多次交易分步处置对子公司股权投资直至丧失控制权的，需区分处置对子公司股权投资直 至丧失控制权的各项交易是否属于一揽子交易。处置对子公司股权投资的各项交易的条款、条件以及经济</w:t>
      </w:r>
      <w:r>
        <w:rPr>
          <w:spacing w:val="-73"/>
        </w:rPr>
        <w:t> </w:t>
      </w:r>
      <w:r>
        <w:rPr>
          <w:spacing w:val="-73"/>
        </w:rPr>
      </w:r>
      <w:r>
        <w:rPr>
          <w:spacing w:val="-2"/>
        </w:rPr>
        <w:t>影响符合以下一种或多种情况，通常表明应将多次交易事项作为一揽子交易进行会计处理：（</w:t>
      </w:r>
      <w:r>
        <w:rPr>
          <w:rFonts w:ascii="Times New Roman" w:hAnsi="Times New Roman" w:cs="Times New Roman" w:eastAsia="Times New Roman" w:hint="default"/>
          <w:spacing w:val="-2"/>
        </w:rPr>
        <w:t>1</w:t>
      </w:r>
      <w:r>
        <w:rPr>
          <w:spacing w:val="-2"/>
        </w:rPr>
        <w:t>）这些交易</w:t>
      </w:r>
      <w:r>
        <w:rPr>
          <w:spacing w:val="-58"/>
        </w:rPr>
        <w:t> </w:t>
      </w:r>
      <w:r>
        <w:rPr>
          <w:spacing w:val="-58"/>
        </w:rPr>
      </w:r>
      <w:r>
        <w:rPr/>
        <w:t>是同时或者在考虑了彼此影响的情况下订立的；（</w:t>
      </w:r>
      <w:r>
        <w:rPr>
          <w:rFonts w:ascii="Times New Roman" w:hAnsi="Times New Roman" w:cs="Times New Roman" w:eastAsia="Times New Roman" w:hint="default"/>
        </w:rPr>
        <w:t>2</w:t>
      </w:r>
      <w:r>
        <w:rPr/>
        <w:t>）这些交易整体才能达成一项完整的商业结果；（</w:t>
      </w:r>
      <w:r>
        <w:rPr>
          <w:rFonts w:ascii="Times New Roman" w:hAnsi="Times New Roman" w:cs="Times New Roman" w:eastAsia="Times New Roman" w:hint="default"/>
        </w:rPr>
        <w:t>3</w:t>
      </w:r>
      <w:r>
        <w:rPr/>
        <w:t>）</w:t>
      </w:r>
      <w:r>
        <w:rPr>
          <w:spacing w:val="-68"/>
        </w:rPr>
        <w:t> </w:t>
      </w:r>
      <w:r>
        <w:rPr>
          <w:spacing w:val="-2"/>
        </w:rPr>
        <w:t>一项交易的发生取决于其他至少一项交易的发生；（</w:t>
      </w:r>
      <w:r>
        <w:rPr>
          <w:rFonts w:ascii="Times New Roman" w:hAnsi="Times New Roman" w:cs="Times New Roman" w:eastAsia="Times New Roman" w:hint="default"/>
          <w:spacing w:val="-2"/>
        </w:rPr>
        <w:t>4</w:t>
      </w:r>
      <w:r>
        <w:rPr>
          <w:spacing w:val="-2"/>
        </w:rPr>
        <w:t>）一项交易单独看是不经济的，但是和其他交易一并</w:t>
      </w:r>
      <w:r>
        <w:rPr>
          <w:spacing w:val="-62"/>
        </w:rPr>
        <w:t> </w:t>
      </w:r>
      <w:r>
        <w:rPr>
          <w:spacing w:val="-62"/>
        </w:rPr>
      </w:r>
      <w:r>
        <w:rPr>
          <w:spacing w:val="2"/>
        </w:rPr>
        <w:t>考虑时是经济的。不属于一揽子交易的，对其中的每一项交易视情况分别按照</w:t>
      </w:r>
      <w:r>
        <w:rPr>
          <w:rFonts w:ascii="Times New Roman" w:hAnsi="Times New Roman" w:cs="Times New Roman" w:eastAsia="Times New Roman" w:hint="default"/>
          <w:spacing w:val="2"/>
        </w:rPr>
        <w:t>“</w:t>
      </w:r>
      <w:r>
        <w:rPr>
          <w:spacing w:val="2"/>
        </w:rPr>
        <w:t>不丧失控制权的情况下部</w:t>
      </w:r>
      <w:r>
        <w:rPr>
          <w:spacing w:val="-78"/>
        </w:rPr>
        <w:t> </w:t>
      </w:r>
      <w:r>
        <w:rPr>
          <w:spacing w:val="-78"/>
        </w:rPr>
      </w:r>
      <w:r>
        <w:rPr>
          <w:spacing w:val="-1"/>
        </w:rPr>
        <w:t>分处置对子公司的长期股权投资</w:t>
      </w:r>
      <w:r>
        <w:rPr>
          <w:rFonts w:ascii="Times New Roman" w:hAnsi="Times New Roman" w:cs="Times New Roman" w:eastAsia="Times New Roman" w:hint="default"/>
          <w:spacing w:val="-1"/>
        </w:rPr>
        <w:t>”</w:t>
      </w:r>
      <w:r>
        <w:rPr>
          <w:spacing w:val="-1"/>
        </w:rPr>
        <w:t>（详见本附注三、（十三）、</w:t>
      </w:r>
      <w:r>
        <w:rPr>
          <w:rFonts w:ascii="Times New Roman" w:hAnsi="Times New Roman" w:cs="Times New Roman" w:eastAsia="Times New Roman" w:hint="default"/>
          <w:spacing w:val="-1"/>
        </w:rPr>
        <w:t>4</w:t>
      </w:r>
      <w:r>
        <w:rPr>
          <w:spacing w:val="-1"/>
        </w:rPr>
        <w:t>）和</w:t>
      </w:r>
      <w:r>
        <w:rPr>
          <w:rFonts w:ascii="Times New Roman" w:hAnsi="Times New Roman" w:cs="Times New Roman" w:eastAsia="Times New Roman" w:hint="default"/>
          <w:spacing w:val="-1"/>
        </w:rPr>
        <w:t>“</w:t>
      </w:r>
      <w:r>
        <w:rPr>
          <w:spacing w:val="-1"/>
        </w:rPr>
        <w:t>因处置部分股权投资或其他原因丧失</w:t>
      </w:r>
      <w:r>
        <w:rPr>
          <w:spacing w:val="-88"/>
        </w:rPr>
        <w:t> </w:t>
      </w:r>
      <w:r>
        <w:rPr>
          <w:spacing w:val="-2"/>
        </w:rPr>
        <w:t>了对原有子公司的控制权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w:t>
      </w:r>
      <w:r>
        <w:rPr>
          <w:spacing w:val="-51"/>
        </w:rPr>
        <w:t> </w:t>
      </w:r>
      <w:r>
        <w:rPr>
          <w:spacing w:val="-51"/>
        </w:rPr>
      </w:r>
      <w:r>
        <w:rPr>
          <w:spacing w:val="3"/>
        </w:rPr>
        <w:t>的各项交易属于一揽子交易的，将各项交易作为一项处置子公司并丧失控制权的交易进行会计处理；但</w:t>
      </w:r>
      <w:r>
        <w:rPr>
          <w:spacing w:val="-52"/>
        </w:rPr>
        <w:t> </w:t>
      </w:r>
      <w:r>
        <w:rPr>
          <w:spacing w:val="-52"/>
        </w:rPr>
      </w:r>
      <w:r>
        <w:rPr/>
        <w:t>是，在丧失控制权之前每一次处置价款与处置投资对应的享有该子公司净资产份额的差额，在合并财务报</w:t>
      </w:r>
      <w:r>
        <w:rPr>
          <w:spacing w:val="-73"/>
        </w:rPr>
        <w:t> </w:t>
      </w:r>
      <w:r>
        <w:rPr>
          <w:spacing w:val="-73"/>
        </w:rPr>
      </w:r>
      <w:r>
        <w:rPr/>
        <w:t>表中确认为其他综合收益，在丧失控制权时一并转入丧失控制权当期的损益。</w:t>
      </w:r>
    </w:p>
    <w:p>
      <w:pPr>
        <w:spacing w:line="240" w:lineRule="auto" w:before="11"/>
        <w:rPr>
          <w:rFonts w:ascii="宋体" w:hAnsi="宋体" w:cs="宋体" w:eastAsia="宋体" w:hint="default"/>
          <w:sz w:val="14"/>
          <w:szCs w:val="14"/>
        </w:rPr>
      </w:pPr>
    </w:p>
    <w:p>
      <w:pPr>
        <w:pStyle w:val="BodyText"/>
        <w:spacing w:line="240" w:lineRule="auto"/>
        <w:ind w:right="0"/>
        <w:jc w:val="both"/>
      </w:pPr>
      <w:r>
        <w:rPr/>
        <w:t>（七）现金流量表之现金及现金等价物的确定标准</w:t>
      </w:r>
    </w:p>
    <w:p>
      <w:pPr>
        <w:spacing w:line="240" w:lineRule="auto" w:before="6"/>
        <w:rPr>
          <w:rFonts w:ascii="宋体" w:hAnsi="宋体" w:cs="宋体" w:eastAsia="宋体" w:hint="default"/>
          <w:sz w:val="21"/>
          <w:szCs w:val="21"/>
        </w:rPr>
      </w:pPr>
    </w:p>
    <w:p>
      <w:pPr>
        <w:pStyle w:val="BodyText"/>
        <w:spacing w:line="367" w:lineRule="auto"/>
        <w:ind w:right="204" w:firstLine="359"/>
        <w:jc w:val="both"/>
      </w:pPr>
      <w:r>
        <w:rPr/>
        <w:t>现金流量表的现金指企业库存现金及可以随时用于支付的存款。现金等价物指持有的期限短（一般是 </w:t>
      </w:r>
      <w:r>
        <w:rPr>
          <w:spacing w:val="-3"/>
        </w:rPr>
        <w:t>指从购买日起三个月内到期）、流动性强、易于转换为已知金额现金、价值变动风险很小的投资。</w:t>
      </w:r>
    </w:p>
    <w:p>
      <w:pPr>
        <w:spacing w:after="0" w:line="367" w:lineRule="auto"/>
        <w:jc w:val="both"/>
        <w:sectPr>
          <w:pgSz w:w="11910" w:h="16840"/>
          <w:pgMar w:header="0" w:footer="959" w:top="1480" w:bottom="1140" w:left="1680" w:right="1600"/>
        </w:sectPr>
      </w:pPr>
    </w:p>
    <w:p>
      <w:pPr>
        <w:pStyle w:val="BodyText"/>
        <w:spacing w:line="240" w:lineRule="auto" w:before="19"/>
        <w:ind w:right="0"/>
        <w:jc w:val="both"/>
      </w:pPr>
      <w:r>
        <w:rPr/>
        <w:t>（八）外币业务和外币报表折算</w:t>
      </w:r>
    </w:p>
    <w:p>
      <w:pPr>
        <w:pStyle w:val="BodyText"/>
        <w:spacing w:line="500" w:lineRule="atLeast" w:before="29"/>
        <w:ind w:left="480" w:right="0"/>
        <w:jc w:val="left"/>
      </w:pPr>
      <w:r>
        <w:rPr>
          <w:rFonts w:ascii="Times New Roman" w:hAnsi="Times New Roman" w:cs="Times New Roman" w:eastAsia="Times New Roman" w:hint="default"/>
        </w:rPr>
        <w:t>1.</w:t>
      </w:r>
      <w:r>
        <w:rPr/>
        <w:t>外币业务折算 外币交易在初始确认时，采用交易发生日的即期汇率折算为人民币金额。资产负债表日，外币货币性</w:t>
      </w:r>
    </w:p>
    <w:p>
      <w:pPr>
        <w:pStyle w:val="BodyText"/>
        <w:spacing w:line="367" w:lineRule="auto" w:before="124"/>
        <w:ind w:right="204"/>
        <w:jc w:val="both"/>
      </w:pPr>
      <w:r>
        <w:rPr/>
        <w:t>项目采用资产负债表日即期汇率折算，因汇率不同而产生的汇兑差额，除与购建符合资本化条件资产有关</w:t>
      </w:r>
      <w:r>
        <w:rPr>
          <w:spacing w:val="-73"/>
        </w:rPr>
        <w:t> </w:t>
      </w:r>
      <w:r>
        <w:rPr>
          <w:spacing w:val="-73"/>
        </w:rPr>
      </w:r>
      <w:r>
        <w:rPr/>
        <w:t>的外币专门借款本金及利息的汇兑差额外，计入当期损益；以历史成本计量的外币非货币性项目仍采用交</w:t>
      </w:r>
      <w:r>
        <w:rPr>
          <w:spacing w:val="-72"/>
        </w:rPr>
        <w:t> </w:t>
      </w:r>
      <w:r>
        <w:rPr>
          <w:spacing w:val="-72"/>
        </w:rPr>
      </w:r>
      <w:r>
        <w:rPr/>
        <w:t>易发生日的即期汇率折算，不改变其人民币金额；以公允价值计量的外币非货币性项目，采用公允价值确</w:t>
      </w:r>
      <w:r>
        <w:rPr>
          <w:spacing w:val="-73"/>
        </w:rPr>
        <w:t> </w:t>
      </w:r>
      <w:r>
        <w:rPr>
          <w:spacing w:val="-73"/>
        </w:rPr>
      </w:r>
      <w:r>
        <w:rPr/>
        <w:t>定日的即期汇率折算，差额计入当期损益或其他综合收益。</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rFonts w:ascii="Times New Roman" w:hAnsi="Times New Roman" w:cs="Times New Roman" w:eastAsia="Times New Roman" w:hint="default"/>
        </w:rPr>
        <w:t>2.</w:t>
      </w:r>
      <w:r>
        <w:rPr/>
        <w:t>外币财务报表折算</w:t>
      </w:r>
    </w:p>
    <w:p>
      <w:pPr>
        <w:spacing w:line="240" w:lineRule="auto" w:before="6"/>
        <w:rPr>
          <w:rFonts w:ascii="宋体" w:hAnsi="宋体" w:cs="宋体" w:eastAsia="宋体" w:hint="default"/>
          <w:sz w:val="20"/>
          <w:szCs w:val="20"/>
        </w:rPr>
      </w:pPr>
    </w:p>
    <w:p>
      <w:pPr>
        <w:pStyle w:val="BodyText"/>
        <w:spacing w:line="357" w:lineRule="auto"/>
        <w:ind w:right="197" w:firstLine="359"/>
        <w:jc w:val="both"/>
      </w:pPr>
      <w:r>
        <w:rPr>
          <w:spacing w:val="-3"/>
        </w:rPr>
        <w:t>资产负债表中的资产和负债项目，采用资产负债表日的即期汇率折算；所有者权益项目除</w:t>
      </w:r>
      <w:r>
        <w:rPr>
          <w:rFonts w:ascii="Times New Roman" w:hAnsi="Times New Roman" w:cs="Times New Roman" w:eastAsia="Times New Roman" w:hint="default"/>
          <w:spacing w:val="-3"/>
        </w:rPr>
        <w:t>“</w:t>
      </w:r>
      <w:r>
        <w:rPr>
          <w:spacing w:val="-3"/>
        </w:rPr>
        <w:t>未分配利润</w:t>
      </w:r>
      <w:r>
        <w:rPr>
          <w:rFonts w:ascii="Times New Roman" w:hAnsi="Times New Roman" w:cs="Times New Roman" w:eastAsia="Times New Roman" w:hint="default"/>
          <w:spacing w:val="-3"/>
        </w:rPr>
        <w:t>”</w:t>
      </w:r>
      <w:r>
        <w:rPr>
          <w:rFonts w:ascii="Times New Roman" w:hAnsi="Times New Roman" w:cs="Times New Roman" w:eastAsia="Times New Roman" w:hint="default"/>
          <w:w w:val="100"/>
        </w:rPr>
        <w:t> </w:t>
      </w:r>
      <w:r>
        <w:rPr/>
        <w:t>项目外，其他项目采用交易发生日的即期汇率折算；利润表中的收入和费用项目，采用交易发生日的即期</w:t>
      </w:r>
      <w:r>
        <w:rPr>
          <w:spacing w:val="-73"/>
        </w:rPr>
        <w:t> </w:t>
      </w:r>
      <w:r>
        <w:rPr>
          <w:spacing w:val="-73"/>
        </w:rPr>
      </w:r>
      <w:r>
        <w:rPr/>
        <w:t>汇率折算。按照上述折算产生的外币财务报表折算差额，确认为其他综合收益。</w:t>
      </w:r>
    </w:p>
    <w:p>
      <w:pPr>
        <w:spacing w:line="240" w:lineRule="auto" w:before="9"/>
        <w:rPr>
          <w:rFonts w:ascii="宋体" w:hAnsi="宋体" w:cs="宋体" w:eastAsia="宋体" w:hint="default"/>
          <w:sz w:val="14"/>
          <w:szCs w:val="14"/>
        </w:rPr>
      </w:pPr>
    </w:p>
    <w:p>
      <w:pPr>
        <w:pStyle w:val="BodyText"/>
        <w:spacing w:line="240" w:lineRule="auto"/>
        <w:ind w:right="0"/>
        <w:jc w:val="both"/>
      </w:pPr>
      <w:r>
        <w:rPr/>
        <w:t>（九）金融工具</w:t>
      </w:r>
    </w:p>
    <w:p>
      <w:pPr>
        <w:pStyle w:val="BodyText"/>
        <w:spacing w:line="500" w:lineRule="atLeast" w:before="29"/>
        <w:ind w:left="480" w:right="0"/>
        <w:jc w:val="left"/>
      </w:pPr>
      <w:r>
        <w:rPr>
          <w:rFonts w:ascii="Times New Roman" w:hAnsi="Times New Roman" w:cs="Times New Roman" w:eastAsia="Times New Roman" w:hint="default"/>
        </w:rPr>
        <w:t>1.</w:t>
      </w:r>
      <w:r>
        <w:rPr/>
        <w:t>金融资产和金融负债的分类 金融资产在初始确认时划分为以下四类：以公允价值计量且其变动计入当期损益的金融资产（包括交</w:t>
      </w:r>
    </w:p>
    <w:p>
      <w:pPr>
        <w:pStyle w:val="BodyText"/>
        <w:spacing w:line="367" w:lineRule="auto" w:before="124"/>
        <w:ind w:right="204"/>
        <w:jc w:val="both"/>
      </w:pPr>
      <w:r>
        <w:rPr/>
        <w:t>易性金融资产和指定为以公允价值计量且其变动计入当期损益的金融资产）、持有至到期投资、贷款和应</w:t>
      </w:r>
      <w:r>
        <w:rPr>
          <w:spacing w:val="-73"/>
        </w:rPr>
        <w:t> </w:t>
      </w:r>
      <w:r>
        <w:rPr>
          <w:spacing w:val="-73"/>
        </w:rPr>
      </w:r>
      <w:r>
        <w:rPr/>
        <w:t>收款项、可供出售金融资产。</w:t>
      </w:r>
    </w:p>
    <w:p>
      <w:pPr>
        <w:spacing w:line="240" w:lineRule="auto" w:before="2"/>
        <w:rPr>
          <w:rFonts w:ascii="宋体" w:hAnsi="宋体" w:cs="宋体" w:eastAsia="宋体" w:hint="default"/>
          <w:sz w:val="14"/>
          <w:szCs w:val="14"/>
        </w:rPr>
      </w:pPr>
    </w:p>
    <w:p>
      <w:pPr>
        <w:pStyle w:val="BodyText"/>
        <w:spacing w:line="367" w:lineRule="auto"/>
        <w:ind w:right="204" w:firstLine="359"/>
        <w:jc w:val="both"/>
      </w:pPr>
      <w:r>
        <w:rPr/>
        <w:t>金融负债在初始确认时划分为以下两类：以公允价值计量且其变动计入当期损益的金融负债（包括交 易性金融负债和指定为以公允价值计量且其变动计入当期损益的金融负债）、其他金融负债。</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rFonts w:ascii="Times New Roman" w:hAnsi="Times New Roman" w:cs="Times New Roman" w:eastAsia="Times New Roman" w:hint="default"/>
        </w:rPr>
        <w:t>2.</w:t>
      </w:r>
      <w:r>
        <w:rPr/>
        <w:t>金融资产和金融负债的确认依据、计量方法和终止确认条件</w:t>
      </w:r>
    </w:p>
    <w:p>
      <w:pPr>
        <w:spacing w:line="240" w:lineRule="auto" w:before="5"/>
        <w:rPr>
          <w:rFonts w:ascii="宋体" w:hAnsi="宋体" w:cs="宋体" w:eastAsia="宋体" w:hint="default"/>
          <w:sz w:val="20"/>
          <w:szCs w:val="20"/>
        </w:rPr>
      </w:pPr>
    </w:p>
    <w:p>
      <w:pPr>
        <w:pStyle w:val="BodyText"/>
        <w:spacing w:line="367" w:lineRule="auto"/>
        <w:ind w:right="195" w:firstLine="359"/>
        <w:jc w:val="both"/>
      </w:pPr>
      <w:r>
        <w:rPr>
          <w:spacing w:val="4"/>
        </w:rPr>
        <w:t>本公司成为金融工具合同的一方时，确认一项金融资产或金融负债。初始确认金融资产或金融负债</w:t>
      </w:r>
      <w:r>
        <w:rPr/>
        <w:t> 时，按照公允价值计量；对于以公允价值计量且其变动计入当期损益的金融资产和金融负债，相关交易费</w:t>
      </w:r>
      <w:r>
        <w:rPr>
          <w:spacing w:val="-73"/>
        </w:rPr>
        <w:t> </w:t>
      </w:r>
      <w:r>
        <w:rPr>
          <w:spacing w:val="-73"/>
        </w:rPr>
      </w:r>
      <w:r>
        <w:rPr/>
        <w:t>用直接计入当期损益；对于其他类别的金融资产或金融负债，相关交易费用计入初始确认金额。</w:t>
      </w:r>
    </w:p>
    <w:p>
      <w:pPr>
        <w:spacing w:line="240" w:lineRule="auto" w:before="2"/>
        <w:rPr>
          <w:rFonts w:ascii="宋体" w:hAnsi="宋体" w:cs="宋体" w:eastAsia="宋体" w:hint="default"/>
          <w:sz w:val="14"/>
          <w:szCs w:val="14"/>
        </w:rPr>
      </w:pPr>
    </w:p>
    <w:p>
      <w:pPr>
        <w:pStyle w:val="BodyText"/>
        <w:spacing w:line="360" w:lineRule="auto"/>
        <w:ind w:right="0" w:firstLine="359"/>
        <w:jc w:val="left"/>
      </w:pPr>
      <w:r>
        <w:rPr>
          <w:spacing w:val="4"/>
        </w:rPr>
        <w:t>本公司按照公允价值对金融资产进行后续计量，且不扣除将来处置该金融资产时可能发生的交易费 </w:t>
      </w:r>
      <w:r>
        <w:rPr>
          <w:spacing w:val="-2"/>
        </w:rPr>
        <w:t>用，但下列情况除外：（</w:t>
      </w:r>
      <w:r>
        <w:rPr>
          <w:rFonts w:ascii="Times New Roman" w:hAnsi="Times New Roman" w:cs="Times New Roman" w:eastAsia="Times New Roman" w:hint="default"/>
          <w:spacing w:val="-2"/>
        </w:rPr>
        <w:t>1</w:t>
      </w:r>
      <w:r>
        <w:rPr>
          <w:spacing w:val="-2"/>
        </w:rPr>
        <w:t>）持有至到期投资以及贷款和应收款项采用实际利率法，按摊余成本计量；（</w:t>
      </w:r>
      <w:r>
        <w:rPr>
          <w:rFonts w:ascii="Times New Roman" w:hAnsi="Times New Roman" w:cs="Times New Roman" w:eastAsia="Times New Roman" w:hint="default"/>
          <w:spacing w:val="-2"/>
        </w:rPr>
        <w:t>2</w:t>
      </w:r>
      <w:r>
        <w:rPr>
          <w:spacing w:val="-2"/>
        </w:rPr>
        <w:t>）</w:t>
      </w:r>
      <w:r>
        <w:rPr>
          <w:spacing w:val="-58"/>
        </w:rPr>
        <w:t> </w:t>
      </w:r>
      <w:r>
        <w:rPr/>
        <w:t>在活跃市场中没有报价且其公允价值不能可靠计量的权益工具投资，以及与该权益工具挂钩并须通过交付</w:t>
      </w:r>
      <w:r>
        <w:rPr>
          <w:spacing w:val="-73"/>
        </w:rPr>
        <w:t> </w:t>
      </w:r>
      <w:r>
        <w:rPr>
          <w:spacing w:val="-73"/>
        </w:rPr>
      </w:r>
      <w:r>
        <w:rPr/>
        <w:t>该权益工具结算的衍生金融资产，按照成本计量。</w:t>
      </w:r>
    </w:p>
    <w:p>
      <w:pPr>
        <w:spacing w:line="240" w:lineRule="auto" w:before="7"/>
        <w:rPr>
          <w:rFonts w:ascii="宋体" w:hAnsi="宋体" w:cs="宋体" w:eastAsia="宋体" w:hint="default"/>
          <w:sz w:val="14"/>
          <w:szCs w:val="14"/>
        </w:rPr>
      </w:pPr>
    </w:p>
    <w:p>
      <w:pPr>
        <w:pStyle w:val="BodyText"/>
        <w:spacing w:line="355" w:lineRule="auto"/>
        <w:ind w:right="193" w:firstLine="359"/>
        <w:jc w:val="both"/>
      </w:pPr>
      <w:r>
        <w:rPr>
          <w:spacing w:val="-2"/>
        </w:rPr>
        <w:t>公司采用实际利率法，按摊余成本对金融负债进行后续计量，但下列情况除外：（</w:t>
      </w:r>
      <w:r>
        <w:rPr>
          <w:rFonts w:ascii="Times New Roman" w:hAnsi="Times New Roman" w:cs="Times New Roman" w:eastAsia="Times New Roman" w:hint="default"/>
          <w:spacing w:val="-2"/>
        </w:rPr>
        <w:t>1</w:t>
      </w:r>
      <w:r>
        <w:rPr>
          <w:spacing w:val="-2"/>
        </w:rPr>
        <w:t>）以公允价值计量</w:t>
      </w:r>
      <w:r>
        <w:rPr/>
        <w:t> 且其变动计入当期损益的金融负债，按照公允价值计量，且不扣除将来结清金融负债时可能发生的交易费</w:t>
      </w:r>
      <w:r>
        <w:rPr>
          <w:spacing w:val="-73"/>
        </w:rPr>
        <w:t> </w:t>
      </w:r>
      <w:r>
        <w:rPr>
          <w:spacing w:val="-73"/>
        </w:rPr>
      </w:r>
      <w:r>
        <w:rPr>
          <w:spacing w:val="-2"/>
        </w:rPr>
        <w:t>用；（</w:t>
      </w:r>
      <w:r>
        <w:rPr>
          <w:rFonts w:ascii="Times New Roman" w:hAnsi="Times New Roman" w:cs="Times New Roman" w:eastAsia="Times New Roman" w:hint="default"/>
          <w:spacing w:val="-2"/>
        </w:rPr>
        <w:t>2</w:t>
      </w:r>
      <w:r>
        <w:rPr>
          <w:spacing w:val="-2"/>
        </w:rPr>
        <w:t>）与在活跃市场中没有报价、公允价值不能可靠计量的权益工具挂钩并须通过交付该权益工具结算</w:t>
      </w:r>
      <w:r>
        <w:rPr>
          <w:spacing w:val="-63"/>
        </w:rPr>
        <w:t> </w:t>
      </w:r>
      <w:r>
        <w:rPr>
          <w:spacing w:val="-63"/>
        </w:rPr>
      </w:r>
      <w:r>
        <w:rPr>
          <w:spacing w:val="-2"/>
        </w:rPr>
        <w:t>的衍生金融负债，按照成本计量；（</w:t>
      </w:r>
      <w:r>
        <w:rPr>
          <w:rFonts w:ascii="Times New Roman" w:hAnsi="Times New Roman" w:cs="Times New Roman" w:eastAsia="Times New Roman" w:hint="default"/>
          <w:spacing w:val="-2"/>
        </w:rPr>
        <w:t>3</w:t>
      </w:r>
      <w:r>
        <w:rPr>
          <w:spacing w:val="-2"/>
        </w:rPr>
        <w:t>）不属于指定为以公允价值计量且其变动计入当期损益的金融负债的</w:t>
      </w:r>
      <w:r>
        <w:rPr>
          <w:spacing w:val="-62"/>
        </w:rPr>
        <w:t> </w:t>
      </w:r>
      <w:r>
        <w:rPr>
          <w:spacing w:val="-62"/>
        </w:rPr>
      </w:r>
      <w:r>
        <w:rPr>
          <w:spacing w:val="3"/>
        </w:rPr>
        <w:t>财务担保合同，或没有指定为以公允价值计量且其变动计入当期损益并将以低于市场利率贷款的贷款承</w:t>
      </w:r>
      <w:r>
        <w:rPr>
          <w:spacing w:val="-52"/>
        </w:rPr>
        <w:t> </w:t>
      </w:r>
      <w:r>
        <w:rPr>
          <w:spacing w:val="-52"/>
        </w:rPr>
      </w:r>
      <w:r>
        <w:rPr/>
        <w:t>诺，在初始确认后按照下列两项金额之中的较高者进行后续计量：</w:t>
      </w:r>
      <w:r>
        <w:rPr>
          <w:rFonts w:ascii="Times New Roman" w:hAnsi="Times New Roman" w:cs="Times New Roman" w:eastAsia="Times New Roman" w:hint="default"/>
        </w:rPr>
        <w:t>1</w:t>
      </w:r>
      <w:r>
        <w:rPr/>
        <w:t>）按照《企业会计准则第 </w:t>
      </w:r>
      <w:r>
        <w:rPr>
          <w:rFonts w:ascii="Times New Roman" w:hAnsi="Times New Roman" w:cs="Times New Roman" w:eastAsia="Times New Roman" w:hint="default"/>
        </w:rPr>
        <w:t>13</w:t>
      </w:r>
      <w:r>
        <w:rPr>
          <w:rFonts w:ascii="Times New Roman" w:hAnsi="Times New Roman" w:cs="Times New Roman" w:eastAsia="Times New Roman" w:hint="default"/>
          <w:spacing w:val="-17"/>
        </w:rPr>
        <w:t> </w:t>
      </w:r>
      <w:r>
        <w:rPr/>
        <w:t>号</w:t>
      </w:r>
      <w:r>
        <w:rPr>
          <w:rFonts w:ascii="Times New Roman" w:hAnsi="Times New Roman" w:cs="Times New Roman" w:eastAsia="Times New Roman" w:hint="default"/>
        </w:rPr>
        <w:t>——</w:t>
      </w:r>
      <w:r>
        <w:rPr/>
        <w:t>或</w:t>
      </w:r>
    </w:p>
    <w:p>
      <w:pPr>
        <w:pStyle w:val="BodyText"/>
        <w:spacing w:line="240" w:lineRule="auto" w:before="15"/>
        <w:ind w:right="0"/>
        <w:jc w:val="both"/>
      </w:pPr>
      <w:r>
        <w:rPr/>
        <w:t>有事项》确定的金额；</w:t>
      </w:r>
      <w:r>
        <w:rPr>
          <w:rFonts w:ascii="Times New Roman" w:hAnsi="Times New Roman" w:cs="Times New Roman" w:eastAsia="Times New Roman" w:hint="default"/>
        </w:rPr>
        <w:t>2</w:t>
      </w:r>
      <w:r>
        <w:rPr/>
        <w:t>）初始确认金额扣除按照《企业会计准则第 </w:t>
      </w:r>
      <w:r>
        <w:rPr>
          <w:rFonts w:ascii="Times New Roman" w:hAnsi="Times New Roman" w:cs="Times New Roman" w:eastAsia="Times New Roman" w:hint="default"/>
        </w:rPr>
        <w:t>14</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收入》的原则确定的累积摊</w:t>
      </w:r>
    </w:p>
    <w:p>
      <w:pPr>
        <w:spacing w:after="0" w:line="240" w:lineRule="auto"/>
        <w:jc w:val="both"/>
        <w:sectPr>
          <w:pgSz w:w="11910" w:h="16840"/>
          <w:pgMar w:header="0" w:footer="959" w:top="1480" w:bottom="1140" w:left="1680" w:right="1600"/>
        </w:sectPr>
      </w:pPr>
    </w:p>
    <w:p>
      <w:pPr>
        <w:pStyle w:val="BodyText"/>
        <w:spacing w:line="240" w:lineRule="auto" w:before="19"/>
        <w:ind w:right="0"/>
        <w:jc w:val="both"/>
      </w:pPr>
      <w:r>
        <w:rPr/>
        <w:t>销额后的余额。</w:t>
      </w:r>
    </w:p>
    <w:p>
      <w:pPr>
        <w:spacing w:line="240" w:lineRule="auto" w:before="6"/>
        <w:rPr>
          <w:rFonts w:ascii="宋体" w:hAnsi="宋体" w:cs="宋体" w:eastAsia="宋体" w:hint="default"/>
          <w:sz w:val="21"/>
          <w:szCs w:val="21"/>
        </w:rPr>
      </w:pPr>
    </w:p>
    <w:p>
      <w:pPr>
        <w:pStyle w:val="BodyText"/>
        <w:spacing w:line="240" w:lineRule="auto"/>
        <w:ind w:left="480" w:right="0"/>
        <w:jc w:val="left"/>
      </w:pPr>
      <w:r>
        <w:rPr>
          <w:spacing w:val="4"/>
        </w:rPr>
        <w:t>金融资产或金融负债公允价值变动形成的利得或损失，除与套期保值有关外，按照如下方法处理：</w:t>
      </w:r>
      <w:r>
        <w:rPr/>
      </w:r>
    </w:p>
    <w:p>
      <w:pPr>
        <w:pStyle w:val="BodyText"/>
        <w:spacing w:line="357" w:lineRule="auto" w:before="124"/>
        <w:ind w:right="116"/>
        <w:jc w:val="both"/>
      </w:pPr>
      <w:r>
        <w:rPr>
          <w:spacing w:val="-2"/>
        </w:rPr>
        <w:t>（</w:t>
      </w:r>
      <w:r>
        <w:rPr>
          <w:rFonts w:ascii="Times New Roman" w:hAnsi="Times New Roman" w:cs="Times New Roman" w:eastAsia="Times New Roman" w:hint="default"/>
          <w:spacing w:val="-2"/>
        </w:rPr>
        <w:t>1</w:t>
      </w:r>
      <w:r>
        <w:rPr>
          <w:spacing w:val="-2"/>
        </w:rPr>
        <w:t>）以公允价值计量且其变动计入当期损益的金融资产或金融负债公允价值变动形成的利得或损失，计入</w:t>
      </w:r>
      <w:r>
        <w:rPr>
          <w:spacing w:val="-60"/>
        </w:rPr>
        <w:t> </w:t>
      </w:r>
      <w:r>
        <w:rPr>
          <w:spacing w:val="-60"/>
        </w:rPr>
      </w:r>
      <w:r>
        <w:rPr/>
        <w:t>公允价值变动损益；在资产持有期间所取得的利息或现金股利，确认为投资收益；处置时，将实际收到的</w:t>
      </w:r>
      <w:r>
        <w:rPr>
          <w:spacing w:val="-73"/>
        </w:rPr>
        <w:t> </w:t>
      </w:r>
      <w:r>
        <w:rPr>
          <w:spacing w:val="-73"/>
        </w:rPr>
      </w:r>
      <w:r>
        <w:rPr>
          <w:spacing w:val="-2"/>
        </w:rPr>
        <w:t>金额与初始入账金额之间的差额确认为投资收益，同时调整公允价值变动损益。（</w:t>
      </w:r>
      <w:r>
        <w:rPr>
          <w:rFonts w:ascii="Times New Roman" w:hAnsi="Times New Roman" w:cs="Times New Roman" w:eastAsia="Times New Roman" w:hint="default"/>
          <w:spacing w:val="-2"/>
        </w:rPr>
        <w:t>2</w:t>
      </w:r>
      <w:r>
        <w:rPr>
          <w:spacing w:val="-2"/>
        </w:rPr>
        <w:t>）可供出售金融资产的</w:t>
      </w:r>
      <w:r>
        <w:rPr>
          <w:spacing w:val="-62"/>
        </w:rPr>
        <w:t> </w:t>
      </w:r>
      <w:r>
        <w:rPr>
          <w:spacing w:val="-62"/>
        </w:rPr>
      </w:r>
      <w:r>
        <w:rPr/>
        <w:t>公允价值变动计入其他综合收益；持有期间按实际利率法计算的利息，计入投资收益；可供出售权益工具</w:t>
      </w:r>
      <w:r>
        <w:rPr>
          <w:spacing w:val="-73"/>
        </w:rPr>
        <w:t> </w:t>
      </w:r>
      <w:r>
        <w:rPr>
          <w:spacing w:val="-73"/>
        </w:rPr>
      </w:r>
      <w:r>
        <w:rPr/>
        <w:t>投资的现金股利，于被投资单位宣告发放股利时计入投资收益；处置时，将实际收到的金额与账面价值扣</w:t>
      </w:r>
      <w:r>
        <w:rPr>
          <w:spacing w:val="-73"/>
        </w:rPr>
        <w:t> </w:t>
      </w:r>
      <w:r>
        <w:rPr>
          <w:spacing w:val="-73"/>
        </w:rPr>
      </w:r>
      <w:r>
        <w:rPr/>
        <w:t>除原直接计入其他综合收益的公允价值变动累计额之后的差额确认为投资收益。</w:t>
      </w:r>
    </w:p>
    <w:p>
      <w:pPr>
        <w:spacing w:line="240" w:lineRule="auto" w:before="10"/>
        <w:rPr>
          <w:rFonts w:ascii="宋体" w:hAnsi="宋体" w:cs="宋体" w:eastAsia="宋体" w:hint="default"/>
          <w:sz w:val="14"/>
          <w:szCs w:val="14"/>
        </w:rPr>
      </w:pPr>
    </w:p>
    <w:p>
      <w:pPr>
        <w:pStyle w:val="BodyText"/>
        <w:spacing w:line="367" w:lineRule="auto"/>
        <w:ind w:right="124" w:firstLine="359"/>
        <w:jc w:val="both"/>
      </w:pPr>
      <w:r>
        <w:rPr/>
        <w:t>当收取某项金融资产现金流量的合同权利已终止或该金融资产所有权上几乎所有的风险和报酬已转移 时，终止确认该金融资产；当金融负债的现时义务全部或部分解除时，相应终止确认该金融负债或其一部</w:t>
      </w:r>
      <w:r>
        <w:rPr>
          <w:spacing w:val="-73"/>
        </w:rPr>
        <w:t> </w:t>
      </w:r>
      <w:r>
        <w:rPr>
          <w:spacing w:val="-73"/>
        </w:rPr>
      </w:r>
      <w:r>
        <w:rPr/>
        <w:t>分。</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rFonts w:ascii="Times New Roman" w:hAnsi="Times New Roman" w:cs="Times New Roman" w:eastAsia="Times New Roman" w:hint="default"/>
        </w:rPr>
        <w:t>3.</w:t>
      </w:r>
      <w:r>
        <w:rPr/>
        <w:t>金融资产转移的确认依据和计量方法</w:t>
      </w:r>
    </w:p>
    <w:p>
      <w:pPr>
        <w:spacing w:line="240" w:lineRule="auto" w:before="5"/>
        <w:rPr>
          <w:rFonts w:ascii="宋体" w:hAnsi="宋体" w:cs="宋体" w:eastAsia="宋体" w:hint="default"/>
          <w:sz w:val="20"/>
          <w:szCs w:val="20"/>
        </w:rPr>
      </w:pPr>
    </w:p>
    <w:p>
      <w:pPr>
        <w:pStyle w:val="BodyText"/>
        <w:spacing w:line="367" w:lineRule="auto"/>
        <w:ind w:right="114" w:firstLine="359"/>
        <w:jc w:val="both"/>
      </w:pPr>
      <w:r>
        <w:rPr/>
        <w:t>公司已将金融资产所有权上几乎所有的风险和报酬转移给了转入方的，终止确认该金融资产；保留了 金融资产所有权上几乎所有的风险和报酬的，继续确认所转移的金融资产，并将收到的对价确认为一项金</w:t>
      </w:r>
      <w:r>
        <w:rPr>
          <w:spacing w:val="-73"/>
        </w:rPr>
        <w:t> </w:t>
      </w:r>
      <w:r>
        <w:rPr>
          <w:spacing w:val="-73"/>
        </w:rPr>
      </w:r>
      <w:r>
        <w:rPr>
          <w:spacing w:val="3"/>
        </w:rPr>
        <w:t>融负债。公司既没有转移也没有保留金融资产所有权上几乎所有的风险和报酬的，分别下列情况处理：</w:t>
      </w:r>
      <w:r>
        <w:rPr/>
      </w:r>
    </w:p>
    <w:p>
      <w:pPr>
        <w:pStyle w:val="BodyText"/>
        <w:spacing w:line="345" w:lineRule="auto" w:before="29"/>
        <w:ind w:right="119"/>
        <w:jc w:val="both"/>
      </w:pPr>
      <w:r>
        <w:rPr/>
        <w:t>（</w:t>
      </w:r>
      <w:r>
        <w:rPr>
          <w:rFonts w:ascii="Times New Roman" w:hAnsi="Times New Roman" w:cs="Times New Roman" w:eastAsia="Times New Roman" w:hint="default"/>
        </w:rPr>
        <w:t>1</w:t>
      </w:r>
      <w:r>
        <w:rPr/>
        <w:t>）放弃了对该金融资产控制的，终止确认该金融资产；（</w:t>
      </w:r>
      <w:r>
        <w:rPr>
          <w:rFonts w:ascii="Times New Roman" w:hAnsi="Times New Roman" w:cs="Times New Roman" w:eastAsia="Times New Roman" w:hint="default"/>
        </w:rPr>
        <w:t>2</w:t>
      </w:r>
      <w:r>
        <w:rPr/>
        <w:t>）未放弃对该金融资产控制的，按照继续涉</w:t>
      </w:r>
      <w:r>
        <w:rPr>
          <w:spacing w:val="-69"/>
        </w:rPr>
        <w:t> </w:t>
      </w:r>
      <w:r>
        <w:rPr>
          <w:spacing w:val="-69"/>
        </w:rPr>
      </w:r>
      <w:r>
        <w:rPr/>
        <w:t>入所转移金融资产的程度确认有关金融资产，并相应确认有关负债。</w:t>
      </w:r>
    </w:p>
    <w:p>
      <w:pPr>
        <w:spacing w:line="240" w:lineRule="auto" w:before="5"/>
        <w:rPr>
          <w:rFonts w:ascii="宋体" w:hAnsi="宋体" w:cs="宋体" w:eastAsia="宋体" w:hint="default"/>
          <w:sz w:val="15"/>
          <w:szCs w:val="15"/>
        </w:rPr>
      </w:pPr>
    </w:p>
    <w:p>
      <w:pPr>
        <w:pStyle w:val="BodyText"/>
        <w:spacing w:line="350" w:lineRule="auto"/>
        <w:ind w:right="116" w:firstLine="359"/>
        <w:jc w:val="both"/>
      </w:pPr>
      <w:r>
        <w:rPr>
          <w:spacing w:val="-2"/>
        </w:rPr>
        <w:t>金融资产整体转移满足终止确认条件的，将下列两项金额的差额计入当期损益：（</w:t>
      </w:r>
      <w:r>
        <w:rPr>
          <w:rFonts w:ascii="Times New Roman" w:hAnsi="Times New Roman" w:cs="Times New Roman" w:eastAsia="Times New Roman" w:hint="default"/>
          <w:spacing w:val="-2"/>
        </w:rPr>
        <w:t>1</w:t>
      </w:r>
      <w:r>
        <w:rPr>
          <w:spacing w:val="-2"/>
        </w:rPr>
        <w:t>）所转移金融资产</w:t>
      </w:r>
      <w:r>
        <w:rPr/>
        <w:t> </w:t>
      </w:r>
      <w:r>
        <w:rPr>
          <w:spacing w:val="-2"/>
        </w:rPr>
        <w:t>的账面价值；（</w:t>
      </w:r>
      <w:r>
        <w:rPr>
          <w:rFonts w:ascii="Times New Roman" w:hAnsi="Times New Roman" w:cs="Times New Roman" w:eastAsia="Times New Roman" w:hint="default"/>
          <w:spacing w:val="-2"/>
        </w:rPr>
        <w:t>2</w:t>
      </w:r>
      <w:r>
        <w:rPr>
          <w:spacing w:val="-2"/>
        </w:rPr>
        <w:t>）因转移而收到的对价，与原直接计入所有者权益的公允价值变动累计额之和。金融资产</w:t>
      </w:r>
      <w:r>
        <w:rPr>
          <w:spacing w:val="-63"/>
        </w:rPr>
        <w:t> </w:t>
      </w:r>
      <w:r>
        <w:rPr>
          <w:spacing w:val="-63"/>
        </w:rPr>
      </w:r>
      <w:r>
        <w:rPr/>
        <w:t>部分转移满足终止确认条件的，将所转移金融资产整体的账面价值，在终止确认部分和未终止确认部分之</w:t>
      </w:r>
      <w:r>
        <w:rPr>
          <w:spacing w:val="-73"/>
        </w:rPr>
        <w:t> </w:t>
      </w:r>
      <w:r>
        <w:rPr>
          <w:spacing w:val="-73"/>
        </w:rPr>
      </w:r>
      <w:r>
        <w:rPr>
          <w:spacing w:val="-2"/>
        </w:rPr>
        <w:t>间，按照各自的相对公允价值进行分摊，并将下列两项金额的差额计入当期损益：（</w:t>
      </w:r>
      <w:r>
        <w:rPr>
          <w:rFonts w:ascii="Times New Roman" w:hAnsi="Times New Roman" w:cs="Times New Roman" w:eastAsia="Times New Roman" w:hint="default"/>
          <w:spacing w:val="-2"/>
        </w:rPr>
        <w:t>1</w:t>
      </w:r>
      <w:r>
        <w:rPr>
          <w:spacing w:val="-2"/>
        </w:rPr>
        <w:t>）终止确认部分的账</w:t>
      </w:r>
      <w:r>
        <w:rPr>
          <w:spacing w:val="-62"/>
        </w:rPr>
        <w:t> </w:t>
      </w:r>
      <w:r>
        <w:rPr>
          <w:spacing w:val="-62"/>
        </w:rPr>
      </w:r>
      <w:r>
        <w:rPr>
          <w:spacing w:val="-2"/>
        </w:rPr>
        <w:t>面价值；（</w:t>
      </w:r>
      <w:r>
        <w:rPr>
          <w:rFonts w:ascii="Times New Roman" w:hAnsi="Times New Roman" w:cs="Times New Roman" w:eastAsia="Times New Roman" w:hint="default"/>
          <w:spacing w:val="-2"/>
        </w:rPr>
        <w:t>2</w:t>
      </w:r>
      <w:r>
        <w:rPr>
          <w:spacing w:val="-2"/>
        </w:rPr>
        <w:t>）终止确认部分的对价，与原直接计入所有者权益的公允价值变动累计额中对应终止确认部分</w:t>
      </w:r>
      <w:r>
        <w:rPr>
          <w:spacing w:val="-63"/>
        </w:rPr>
        <w:t> </w:t>
      </w:r>
      <w:r>
        <w:rPr>
          <w:spacing w:val="-63"/>
        </w:rPr>
      </w:r>
      <w:r>
        <w:rPr/>
        <w:t>的金额之和。</w:t>
      </w:r>
    </w:p>
    <w:p>
      <w:pPr>
        <w:spacing w:line="240" w:lineRule="auto" w:before="1"/>
        <w:rPr>
          <w:rFonts w:ascii="宋体" w:hAnsi="宋体" w:cs="宋体" w:eastAsia="宋体" w:hint="default"/>
          <w:sz w:val="15"/>
          <w:szCs w:val="15"/>
        </w:rPr>
      </w:pPr>
    </w:p>
    <w:p>
      <w:pPr>
        <w:pStyle w:val="BodyText"/>
        <w:spacing w:line="240" w:lineRule="auto"/>
        <w:ind w:left="480" w:right="0"/>
        <w:jc w:val="left"/>
      </w:pPr>
      <w:r>
        <w:rPr>
          <w:rFonts w:ascii="Times New Roman" w:hAnsi="Times New Roman" w:cs="Times New Roman" w:eastAsia="Times New Roman" w:hint="default"/>
        </w:rPr>
        <w:t>4.</w:t>
      </w:r>
      <w:r>
        <w:rPr/>
        <w:t>主要金融资产和金融负债的公允价值确定方法</w:t>
      </w:r>
    </w:p>
    <w:p>
      <w:pPr>
        <w:spacing w:line="240" w:lineRule="auto" w:before="6"/>
        <w:rPr>
          <w:rFonts w:ascii="宋体" w:hAnsi="宋体" w:cs="宋体" w:eastAsia="宋体" w:hint="default"/>
          <w:sz w:val="20"/>
          <w:szCs w:val="20"/>
        </w:rPr>
      </w:pPr>
    </w:p>
    <w:p>
      <w:pPr>
        <w:pStyle w:val="BodyText"/>
        <w:spacing w:line="367" w:lineRule="auto"/>
        <w:ind w:right="124" w:firstLine="359"/>
        <w:jc w:val="both"/>
      </w:pPr>
      <w:r>
        <w:rPr/>
        <w:t>存在活跃市场的金融资产或金融负债，以活跃市场的报价确定其公允价值；不存在活跃市场的金融资 产或金融负债，采用估值技术（包括参考熟悉情况并自愿交易的各方最近进行的市场交易中使用的价格、</w:t>
      </w:r>
      <w:r>
        <w:rPr>
          <w:spacing w:val="-74"/>
        </w:rPr>
        <w:t> </w:t>
      </w:r>
      <w:r>
        <w:rPr>
          <w:spacing w:val="-74"/>
        </w:rPr>
      </w:r>
      <w:r>
        <w:rPr/>
        <w:t>参照实质上相同的其他金融工具的当前公允价值、现金流量折现法和期权定价模型等）确定其公允价值；</w:t>
      </w:r>
      <w:r>
        <w:rPr>
          <w:spacing w:val="-73"/>
        </w:rPr>
        <w:t> </w:t>
      </w:r>
      <w:r>
        <w:rPr>
          <w:spacing w:val="-73"/>
        </w:rPr>
      </w:r>
      <w:r>
        <w:rPr/>
        <w:t>初始取得或源生的金融资产或承担的金融负债，以市场交易价格作为确定其公允价值的基础。</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rFonts w:ascii="Times New Roman" w:hAnsi="Times New Roman" w:cs="Times New Roman" w:eastAsia="Times New Roman" w:hint="default"/>
        </w:rPr>
        <w:t>5.</w:t>
      </w:r>
      <w:r>
        <w:rPr/>
        <w:t>金融资产的减值测试和减值准备计提方法</w:t>
      </w:r>
    </w:p>
    <w:p>
      <w:pPr>
        <w:spacing w:line="240" w:lineRule="auto" w:before="5"/>
        <w:rPr>
          <w:rFonts w:ascii="宋体" w:hAnsi="宋体" w:cs="宋体" w:eastAsia="宋体" w:hint="default"/>
          <w:sz w:val="20"/>
          <w:szCs w:val="20"/>
        </w:rPr>
      </w:pPr>
    </w:p>
    <w:p>
      <w:pPr>
        <w:pStyle w:val="BodyText"/>
        <w:spacing w:line="367" w:lineRule="auto"/>
        <w:ind w:right="145" w:firstLine="359"/>
        <w:jc w:val="both"/>
      </w:pPr>
      <w:r>
        <w:rPr/>
        <w:t>资产负债表日对以公允价值计量且其变动计入当期损益的金融资产以外的金融资产的账面价值进行检 查，如有客观证据表明该金融资产发生减值的，计提减值准备。</w:t>
      </w:r>
    </w:p>
    <w:p>
      <w:pPr>
        <w:spacing w:line="240" w:lineRule="auto" w:before="2"/>
        <w:rPr>
          <w:rFonts w:ascii="宋体" w:hAnsi="宋体" w:cs="宋体" w:eastAsia="宋体" w:hint="default"/>
          <w:sz w:val="14"/>
          <w:szCs w:val="14"/>
        </w:rPr>
      </w:pPr>
    </w:p>
    <w:p>
      <w:pPr>
        <w:pStyle w:val="BodyText"/>
        <w:spacing w:line="367" w:lineRule="auto"/>
        <w:ind w:right="143" w:firstLine="359"/>
        <w:jc w:val="both"/>
      </w:pPr>
      <w:r>
        <w:rPr/>
        <w:t>对单项金额重大的金融资产单独进行减值测试；对单项金额不重大的金融资产，可以单独进行减值测 试，或包括在具有类似信用风险特征的金融资产组合中进行减值测试；单独测试未发生减值的金融资产</w:t>
      </w:r>
    </w:p>
    <w:p>
      <w:pPr>
        <w:pStyle w:val="BodyText"/>
        <w:spacing w:line="240" w:lineRule="auto" w:before="29"/>
        <w:ind w:right="0"/>
        <w:jc w:val="both"/>
      </w:pPr>
      <w:r>
        <w:rPr/>
        <w:t>（包括单项金额重大和不重大的金融资产），包括在具有类似信用风险特征的金融资产组合中再进行减值</w:t>
      </w:r>
    </w:p>
    <w:p>
      <w:pPr>
        <w:spacing w:after="0" w:line="240" w:lineRule="auto"/>
        <w:jc w:val="both"/>
        <w:sectPr>
          <w:pgSz w:w="11910" w:h="16840"/>
          <w:pgMar w:header="0" w:footer="959" w:top="1480" w:bottom="1140" w:left="1680" w:right="1680"/>
        </w:sectPr>
      </w:pPr>
    </w:p>
    <w:p>
      <w:pPr>
        <w:pStyle w:val="BodyText"/>
        <w:spacing w:line="240" w:lineRule="auto" w:before="19"/>
        <w:ind w:left="440" w:right="546"/>
        <w:jc w:val="left"/>
      </w:pPr>
      <w:r>
        <w:rPr/>
        <w:t>测试。</w:t>
      </w:r>
    </w:p>
    <w:p>
      <w:pPr>
        <w:pStyle w:val="BodyText"/>
        <w:spacing w:line="500" w:lineRule="atLeast" w:before="29"/>
        <w:ind w:left="800" w:right="546"/>
        <w:jc w:val="left"/>
      </w:pPr>
      <w:r>
        <w:rPr/>
        <w:t>（</w:t>
      </w:r>
      <w:r>
        <w:rPr>
          <w:rFonts w:ascii="Times New Roman" w:hAnsi="Times New Roman" w:cs="Times New Roman" w:eastAsia="Times New Roman" w:hint="default"/>
        </w:rPr>
        <w:t>1</w:t>
      </w:r>
      <w:r>
        <w:rPr/>
        <w:t>）持有至到期投资、贷款和应收款项减值 以成本或摊余成本计量的金融资产将其账面价值减记至预计未来现金流量现值，减记金额确认为减值</w:t>
      </w:r>
    </w:p>
    <w:p>
      <w:pPr>
        <w:pStyle w:val="BodyText"/>
        <w:spacing w:line="367" w:lineRule="auto" w:before="124"/>
        <w:ind w:left="440" w:right="563"/>
        <w:jc w:val="both"/>
      </w:pPr>
      <w:r>
        <w:rPr/>
        <w:t>损失，计入当期损益。金融资产在确认减值损失后，如有客观证据表明该金融资产价值已恢复，且客观上 与确认该损失后发生的事项有关，原确认的减值损失予以转回，金融资产转回减值损失后的账面价值不超 过假定不计提减值准备情况下该金融资产在转回日的摊余成本。</w:t>
      </w:r>
    </w:p>
    <w:p>
      <w:pPr>
        <w:spacing w:line="240" w:lineRule="auto" w:before="2"/>
        <w:rPr>
          <w:rFonts w:ascii="宋体" w:hAnsi="宋体" w:cs="宋体" w:eastAsia="宋体" w:hint="default"/>
          <w:sz w:val="14"/>
          <w:szCs w:val="14"/>
        </w:rPr>
      </w:pPr>
    </w:p>
    <w:p>
      <w:pPr>
        <w:pStyle w:val="BodyText"/>
        <w:spacing w:line="240" w:lineRule="auto"/>
        <w:ind w:left="800" w:right="546"/>
        <w:jc w:val="left"/>
      </w:pPr>
      <w:r>
        <w:rPr/>
        <w:t>（</w:t>
      </w:r>
      <w:r>
        <w:rPr>
          <w:rFonts w:ascii="Times New Roman" w:hAnsi="Times New Roman" w:cs="Times New Roman" w:eastAsia="Times New Roman" w:hint="default"/>
        </w:rPr>
        <w:t>2</w:t>
      </w:r>
      <w:r>
        <w:rPr/>
        <w:t>）可供出售金融资产减值</w:t>
      </w:r>
    </w:p>
    <w:p>
      <w:pPr>
        <w:spacing w:line="240" w:lineRule="auto" w:before="5"/>
        <w:rPr>
          <w:rFonts w:ascii="宋体" w:hAnsi="宋体" w:cs="宋体" w:eastAsia="宋体" w:hint="default"/>
          <w:sz w:val="20"/>
          <w:szCs w:val="20"/>
        </w:rPr>
      </w:pPr>
    </w:p>
    <w:p>
      <w:pPr>
        <w:pStyle w:val="BodyText"/>
        <w:spacing w:line="357" w:lineRule="auto"/>
        <w:ind w:left="440" w:right="565" w:firstLine="359"/>
        <w:jc w:val="both"/>
      </w:pPr>
      <w:r>
        <w:rPr/>
        <w:t>当综合相关因素判断可供出售权益工具投资公允价值下跌是严重或非暂时性下跌时，表明该可供出售 权益工具投资发生减值。其中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spacing w:val="-47"/>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 价值连续下跌时间超过</w:t>
      </w:r>
      <w:r>
        <w:rPr>
          <w:spacing w:val="-46"/>
        </w:rPr>
        <w:t> </w:t>
      </w:r>
      <w:r>
        <w:rPr>
          <w:rFonts w:ascii="Times New Roman" w:hAnsi="Times New Roman" w:cs="Times New Roman" w:eastAsia="Times New Roman" w:hint="default"/>
        </w:rPr>
        <w:t>12 </w:t>
      </w:r>
      <w:r>
        <w:rPr/>
        <w:t>个月。</w:t>
      </w:r>
    </w:p>
    <w:p>
      <w:pPr>
        <w:spacing w:line="240" w:lineRule="auto" w:before="12"/>
        <w:rPr>
          <w:rFonts w:ascii="宋体" w:hAnsi="宋体" w:cs="宋体" w:eastAsia="宋体" w:hint="default"/>
          <w:sz w:val="12"/>
          <w:szCs w:val="12"/>
        </w:rPr>
      </w:pPr>
    </w:p>
    <w:p>
      <w:pPr>
        <w:pStyle w:val="BodyText"/>
        <w:spacing w:line="367" w:lineRule="auto"/>
        <w:ind w:left="440" w:right="563" w:firstLine="359"/>
        <w:jc w:val="both"/>
      </w:pPr>
      <w:r>
        <w:rPr/>
        <w:t>可供出售金融资产发生减值时，将原计入其他综合收益的因公允价值下降形成的累计损失予以转出并 计入当期损益，该转出的累计损失为该资产初始取得成本扣除已收回本金和已摊销金额、当前公允价值和 原已计入损益的减值损失后的余额。</w:t>
      </w:r>
    </w:p>
    <w:p>
      <w:pPr>
        <w:spacing w:line="240" w:lineRule="auto" w:before="2"/>
        <w:rPr>
          <w:rFonts w:ascii="宋体" w:hAnsi="宋体" w:cs="宋体" w:eastAsia="宋体" w:hint="default"/>
          <w:sz w:val="14"/>
          <w:szCs w:val="14"/>
        </w:rPr>
      </w:pPr>
    </w:p>
    <w:p>
      <w:pPr>
        <w:pStyle w:val="BodyText"/>
        <w:spacing w:line="367" w:lineRule="auto"/>
        <w:ind w:left="440" w:right="563" w:firstLine="359"/>
        <w:jc w:val="both"/>
      </w:pPr>
      <w:r>
        <w:rPr/>
        <w:t>在确认减值损失后，期后如有客观证据表明该金融资产价值已恢复，且客观上与确认该损失后发生的 事项有关，原确认的减值损失予以转回，可供出售权益工具投资的减值损失转回确认为其他综合收益，可 供出售债务工具的减值损失转回计入当期损益。</w:t>
      </w:r>
    </w:p>
    <w:p>
      <w:pPr>
        <w:spacing w:line="240" w:lineRule="auto" w:before="2"/>
        <w:rPr>
          <w:rFonts w:ascii="宋体" w:hAnsi="宋体" w:cs="宋体" w:eastAsia="宋体" w:hint="default"/>
          <w:sz w:val="14"/>
          <w:szCs w:val="14"/>
        </w:rPr>
      </w:pPr>
    </w:p>
    <w:p>
      <w:pPr>
        <w:pStyle w:val="BodyText"/>
        <w:spacing w:line="367" w:lineRule="auto"/>
        <w:ind w:left="440" w:right="565" w:firstLine="359"/>
        <w:jc w:val="both"/>
      </w:pPr>
      <w:r>
        <w:rPr/>
        <w:t>在活跃市场中没有报价且其公允价值不能可靠计量的权益工具投资，或与该权益工具挂钩并须通过交 付该权益工具结算的衍生金融资产的减值损失，不予转回。</w:t>
      </w:r>
    </w:p>
    <w:p>
      <w:pPr>
        <w:spacing w:line="240" w:lineRule="auto" w:before="2"/>
        <w:rPr>
          <w:rFonts w:ascii="宋体" w:hAnsi="宋体" w:cs="宋体" w:eastAsia="宋体" w:hint="default"/>
          <w:sz w:val="14"/>
          <w:szCs w:val="14"/>
        </w:rPr>
      </w:pPr>
    </w:p>
    <w:p>
      <w:pPr>
        <w:pStyle w:val="BodyText"/>
        <w:spacing w:line="525" w:lineRule="auto"/>
        <w:ind w:left="800" w:right="1626" w:hanging="360"/>
        <w:jc w:val="left"/>
      </w:pPr>
      <w:r>
        <w:rPr/>
        <w:t>（十）应收款项 应收款项坏账的确认标准、坏账损失的核算方法以及坏账准备的计提方法和计提比例： </w:t>
      </w:r>
      <w:r>
        <w:rPr>
          <w:rFonts w:ascii="Times New Roman" w:hAnsi="Times New Roman" w:cs="Times New Roman" w:eastAsia="Times New Roman" w:hint="default"/>
        </w:rPr>
        <w:t>A</w:t>
      </w:r>
      <w:r>
        <w:rPr/>
        <w:t>、坏账的确认标准</w:t>
      </w:r>
    </w:p>
    <w:p>
      <w:pPr>
        <w:pStyle w:val="BodyText"/>
        <w:spacing w:line="367" w:lineRule="auto" w:before="29"/>
        <w:ind w:left="440" w:right="544" w:firstLine="359"/>
        <w:jc w:val="both"/>
      </w:pPr>
      <w:r>
        <w:rPr/>
        <w:t>对有确凿证据表明确实无法收回的应收款项，如债务单位已撤销、破产、资不抵债、现金流量严重不 足、发生严重的自然灾害等，根据公司的管理权限，经股东大会或董事会批准后列作坏账损失，冲销提取</w:t>
      </w:r>
      <w:r>
        <w:rPr>
          <w:spacing w:val="-73"/>
        </w:rPr>
        <w:t> </w:t>
      </w:r>
      <w:r>
        <w:rPr>
          <w:spacing w:val="-73"/>
        </w:rPr>
      </w:r>
      <w:r>
        <w:rPr/>
        <w:t>的坏账准备。</w:t>
      </w:r>
    </w:p>
    <w:p>
      <w:pPr>
        <w:spacing w:line="240" w:lineRule="auto" w:before="13"/>
        <w:rPr>
          <w:rFonts w:ascii="宋体" w:hAnsi="宋体" w:cs="宋体" w:eastAsia="宋体" w:hint="default"/>
          <w:sz w:val="13"/>
          <w:szCs w:val="13"/>
        </w:rPr>
      </w:pPr>
    </w:p>
    <w:p>
      <w:pPr>
        <w:pStyle w:val="BodyText"/>
        <w:spacing w:line="408" w:lineRule="auto"/>
        <w:ind w:left="800" w:right="4731"/>
        <w:jc w:val="left"/>
      </w:pPr>
      <w:r>
        <w:rPr>
          <w:rFonts w:ascii="Times New Roman" w:hAnsi="Times New Roman" w:cs="Times New Roman" w:eastAsia="Times New Roman" w:hint="default"/>
        </w:rPr>
        <w:t>B</w:t>
      </w:r>
      <w:r>
        <w:rPr>
          <w:rFonts w:ascii="宋体" w:hAnsi="宋体" w:cs="宋体" w:eastAsia="宋体" w:hint="default"/>
        </w:rPr>
        <w:t>、</w:t>
      </w:r>
      <w:r>
        <w:rPr/>
        <w:t>坏账损失核算办法 对公司的坏账损失，采用备抵法核算。 </w:t>
      </w:r>
      <w:r>
        <w:rPr>
          <w:rFonts w:ascii="Times New Roman" w:hAnsi="Times New Roman" w:cs="Times New Roman" w:eastAsia="Times New Roman" w:hint="default"/>
        </w:rPr>
        <w:t>1.</w:t>
      </w:r>
      <w:r>
        <w:rPr/>
        <w:t>单项金额重大并单项计提坏账准备的应收款项</w:t>
      </w:r>
    </w:p>
    <w:p>
      <w:pPr>
        <w:spacing w:line="240" w:lineRule="auto" w:before="10"/>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3296"/>
        <w:gridCol w:w="5776"/>
      </w:tblGrid>
      <w:tr>
        <w:trPr>
          <w:trHeight w:val="295"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单项金额重大的判断依据或金额标准</w:t>
            </w:r>
            <w:r>
              <w:rPr>
                <w:rFonts w:ascii="宋体" w:hAnsi="宋体" w:cs="宋体" w:eastAsia="宋体" w:hint="default"/>
                <w:sz w:val="18"/>
                <w:szCs w:val="18"/>
              </w:rPr>
            </w:r>
          </w:p>
        </w:tc>
        <w:tc>
          <w:tcPr>
            <w:tcW w:w="5776" w:type="dxa"/>
            <w:tcBorders>
              <w:top w:val="nil" w:sz="6" w:space="0" w:color="auto"/>
              <w:left w:val="nil" w:sz="6" w:space="0" w:color="auto"/>
              <w:bottom w:val="nil" w:sz="6" w:space="0" w:color="auto"/>
              <w:right w:val="nil" w:sz="6" w:space="0" w:color="auto"/>
            </w:tcBorders>
          </w:tcPr>
          <w:p>
            <w:pPr>
              <w:pStyle w:val="TableParagraph"/>
              <w:spacing w:line="194" w:lineRule="exact"/>
              <w:ind w:left="204" w:right="0"/>
              <w:jc w:val="left"/>
              <w:rPr>
                <w:rFonts w:ascii="宋体" w:hAnsi="宋体" w:cs="宋体" w:eastAsia="宋体" w:hint="default"/>
                <w:sz w:val="18"/>
                <w:szCs w:val="18"/>
              </w:rPr>
            </w:pPr>
            <w:r>
              <w:rPr>
                <w:rFonts w:ascii="宋体" w:hAnsi="宋体" w:cs="宋体" w:eastAsia="宋体" w:hint="default"/>
                <w:sz w:val="18"/>
                <w:szCs w:val="18"/>
              </w:rPr>
              <w:t>期末金额为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万元）应收款项</w:t>
            </w:r>
          </w:p>
        </w:tc>
      </w:tr>
      <w:tr>
        <w:trPr>
          <w:trHeight w:val="1005"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67" w:lineRule="auto"/>
              <w:ind w:left="200" w:right="202"/>
              <w:jc w:val="left"/>
              <w:rPr>
                <w:rFonts w:ascii="宋体" w:hAnsi="宋体" w:cs="宋体" w:eastAsia="宋体" w:hint="default"/>
                <w:sz w:val="18"/>
                <w:szCs w:val="18"/>
              </w:rPr>
            </w:pPr>
            <w:r>
              <w:rPr>
                <w:rFonts w:ascii="宋体" w:hAnsi="宋体" w:cs="宋体" w:eastAsia="宋体" w:hint="default"/>
                <w:b/>
                <w:bCs/>
                <w:sz w:val="18"/>
                <w:szCs w:val="18"/>
              </w:rPr>
              <w:t>单项金额重大并单项计提坏账准备的</w:t>
            </w:r>
            <w:r>
              <w:rPr>
                <w:rFonts w:ascii="宋体" w:hAnsi="宋体" w:cs="宋体" w:eastAsia="宋体" w:hint="default"/>
                <w:b/>
                <w:bCs/>
                <w:w w:val="99"/>
                <w:sz w:val="18"/>
                <w:szCs w:val="18"/>
              </w:rPr>
              <w:t> </w:t>
            </w:r>
            <w:r>
              <w:rPr>
                <w:rFonts w:ascii="宋体" w:hAnsi="宋体" w:cs="宋体" w:eastAsia="宋体" w:hint="default"/>
                <w:b/>
                <w:bCs/>
                <w:sz w:val="18"/>
                <w:szCs w:val="18"/>
              </w:rPr>
              <w:t>计提方法</w:t>
            </w:r>
            <w:r>
              <w:rPr>
                <w:rFonts w:ascii="宋体" w:hAnsi="宋体" w:cs="宋体" w:eastAsia="宋体" w:hint="default"/>
                <w:sz w:val="18"/>
                <w:szCs w:val="18"/>
              </w:rPr>
            </w:r>
          </w:p>
        </w:tc>
        <w:tc>
          <w:tcPr>
            <w:tcW w:w="5776" w:type="dxa"/>
            <w:tcBorders>
              <w:top w:val="nil" w:sz="6" w:space="0" w:color="auto"/>
              <w:left w:val="nil" w:sz="6" w:space="0" w:color="auto"/>
              <w:bottom w:val="nil" w:sz="6" w:space="0" w:color="auto"/>
              <w:right w:val="nil" w:sz="6" w:space="0" w:color="auto"/>
            </w:tcBorders>
          </w:tcPr>
          <w:p>
            <w:pPr>
              <w:pStyle w:val="TableParagraph"/>
              <w:spacing w:line="367" w:lineRule="auto" w:before="50"/>
              <w:ind w:left="204" w:right="198"/>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单独进行减值测试，按预计未来现金流量现值低于其账面价值的差</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
                <w:sz w:val="18"/>
                <w:szCs w:val="18"/>
              </w:rPr>
              <w:t>额计提坏账准备，计入当期损益。单独测试未发生减值的应收款项，</w:t>
            </w:r>
          </w:p>
          <w:p>
            <w:pPr>
              <w:pStyle w:val="TableParagraph"/>
              <w:spacing w:line="240" w:lineRule="auto" w:before="29"/>
              <w:ind w:left="204" w:right="0"/>
              <w:jc w:val="left"/>
              <w:rPr>
                <w:rFonts w:ascii="宋体" w:hAnsi="宋体" w:cs="宋体" w:eastAsia="宋体" w:hint="default"/>
                <w:sz w:val="18"/>
                <w:szCs w:val="18"/>
              </w:rPr>
            </w:pPr>
            <w:r>
              <w:rPr>
                <w:rFonts w:ascii="宋体" w:hAnsi="宋体" w:cs="宋体" w:eastAsia="宋体" w:hint="default"/>
                <w:sz w:val="18"/>
                <w:szCs w:val="18"/>
              </w:rPr>
              <w:t>包括在具有类似信用风险特征的应收款项组合中再进行减值测试。</w:t>
            </w:r>
          </w:p>
        </w:tc>
      </w:tr>
    </w:tbl>
    <w:p>
      <w:pPr>
        <w:spacing w:after="0" w:line="240" w:lineRule="auto"/>
        <w:jc w:val="left"/>
        <w:rPr>
          <w:rFonts w:ascii="宋体" w:hAnsi="宋体" w:cs="宋体" w:eastAsia="宋体" w:hint="default"/>
          <w:sz w:val="18"/>
          <w:szCs w:val="18"/>
        </w:rPr>
        <w:sectPr>
          <w:footerReference w:type="default" r:id="rId25"/>
          <w:pgSz w:w="11910" w:h="16840"/>
          <w:pgMar w:footer="979" w:header="0" w:top="1480" w:bottom="1160" w:left="1360" w:right="1260"/>
        </w:sectPr>
      </w:pPr>
    </w:p>
    <w:p>
      <w:pPr>
        <w:pStyle w:val="BodyText"/>
        <w:spacing w:line="240" w:lineRule="auto" w:before="17"/>
        <w:ind w:left="800" w:right="0"/>
        <w:jc w:val="left"/>
      </w:pPr>
      <w:r>
        <w:rPr>
          <w:rFonts w:ascii="Times New Roman" w:hAnsi="Times New Roman" w:cs="Times New Roman" w:eastAsia="Times New Roman" w:hint="default"/>
        </w:rPr>
        <w:t>2.</w:t>
      </w:r>
      <w:r>
        <w:rPr/>
        <w:t>按组合计提坏账准备的应收款项</w:t>
      </w:r>
    </w:p>
    <w:p>
      <w:pPr>
        <w:spacing w:line="240" w:lineRule="auto" w:before="8"/>
        <w:rPr>
          <w:rFonts w:ascii="宋体" w:hAnsi="宋体" w:cs="宋体" w:eastAsia="宋体" w:hint="default"/>
          <w:sz w:val="20"/>
          <w:szCs w:val="20"/>
        </w:rPr>
      </w:pPr>
    </w:p>
    <w:p>
      <w:pPr>
        <w:pStyle w:val="BodyText"/>
        <w:spacing w:line="240" w:lineRule="auto"/>
        <w:ind w:left="800" w:right="0"/>
        <w:jc w:val="left"/>
      </w:pPr>
      <w:r>
        <w:rPr/>
        <w:t>（</w:t>
      </w:r>
      <w:r>
        <w:rPr>
          <w:rFonts w:ascii="Times New Roman" w:hAnsi="Times New Roman" w:cs="Times New Roman" w:eastAsia="Times New Roman" w:hint="default"/>
        </w:rPr>
        <w:t>1</w:t>
      </w:r>
      <w:r>
        <w:rPr/>
        <w:t>）确定组合的依据及坏账准备的计提方法</w:t>
      </w:r>
    </w:p>
    <w:p>
      <w:pPr>
        <w:spacing w:line="240" w:lineRule="auto" w:before="1"/>
        <w:rPr>
          <w:rFonts w:ascii="宋体" w:hAnsi="宋体" w:cs="宋体" w:eastAsia="宋体" w:hint="default"/>
          <w:sz w:val="26"/>
          <w:szCs w:val="26"/>
        </w:rPr>
      </w:pPr>
    </w:p>
    <w:tbl>
      <w:tblPr>
        <w:tblW w:w="0" w:type="auto"/>
        <w:jc w:val="left"/>
        <w:tblInd w:w="240" w:type="dxa"/>
        <w:tblLayout w:type="fixed"/>
        <w:tblCellMar>
          <w:top w:w="0" w:type="dxa"/>
          <w:left w:w="0" w:type="dxa"/>
          <w:bottom w:w="0" w:type="dxa"/>
          <w:right w:w="0" w:type="dxa"/>
        </w:tblCellMar>
        <w:tblLook w:val="01E0"/>
      </w:tblPr>
      <w:tblGrid>
        <w:gridCol w:w="1187"/>
        <w:gridCol w:w="7520"/>
      </w:tblGrid>
      <w:tr>
        <w:trPr>
          <w:trHeight w:val="278" w:hRule="exact"/>
        </w:trPr>
        <w:tc>
          <w:tcPr>
            <w:tcW w:w="8707"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r>
      <w:tr>
        <w:trPr>
          <w:trHeight w:val="1088" w:hRule="exact"/>
        </w:trPr>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7520" w:type="dxa"/>
            <w:tcBorders>
              <w:top w:val="nil" w:sz="6" w:space="0" w:color="auto"/>
              <w:left w:val="nil" w:sz="6" w:space="0" w:color="auto"/>
              <w:bottom w:val="nil" w:sz="6" w:space="0" w:color="auto"/>
              <w:right w:val="nil" w:sz="6" w:space="0" w:color="auto"/>
            </w:tcBorders>
          </w:tcPr>
          <w:p>
            <w:pPr>
              <w:pStyle w:val="TableParagraph"/>
              <w:spacing w:line="367" w:lineRule="auto" w:before="43"/>
              <w:ind w:left="491" w:right="198"/>
              <w:jc w:val="both"/>
              <w:rPr>
                <w:rFonts w:ascii="宋体" w:hAnsi="宋体" w:cs="宋体" w:eastAsia="宋体" w:hint="default"/>
                <w:sz w:val="18"/>
                <w:szCs w:val="18"/>
              </w:rPr>
            </w:pPr>
            <w:r>
              <w:rPr>
                <w:rFonts w:ascii="宋体" w:hAnsi="宋体" w:cs="宋体" w:eastAsia="宋体" w:hint="default"/>
                <w:spacing w:val="-1"/>
                <w:sz w:val="18"/>
                <w:szCs w:val="18"/>
              </w:rPr>
              <w:t>公司除网络游戏领域外的其他业务领域产生的应收款项、已单独计提减值准备的外，根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据以前年度与之相同或相类似的、按账龄段划分的具有类似信用风险特征的应收款项组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合的实际损失率为基础，结合现时情况采用账龄分析法确定坏账准备计提的比例。</w:t>
            </w:r>
          </w:p>
        </w:tc>
      </w:tr>
      <w:tr>
        <w:trPr>
          <w:trHeight w:val="1090" w:hRule="exact"/>
        </w:trPr>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7520" w:type="dxa"/>
            <w:tcBorders>
              <w:top w:val="nil" w:sz="6" w:space="0" w:color="auto"/>
              <w:left w:val="nil" w:sz="6" w:space="0" w:color="auto"/>
              <w:bottom w:val="nil" w:sz="6" w:space="0" w:color="auto"/>
              <w:right w:val="nil" w:sz="6" w:space="0" w:color="auto"/>
            </w:tcBorders>
          </w:tcPr>
          <w:p>
            <w:pPr>
              <w:pStyle w:val="TableParagraph"/>
              <w:spacing w:line="367" w:lineRule="auto" w:before="34"/>
              <w:ind w:left="491" w:right="198"/>
              <w:jc w:val="both"/>
              <w:rPr>
                <w:rFonts w:ascii="宋体" w:hAnsi="宋体" w:cs="宋体" w:eastAsia="宋体" w:hint="default"/>
                <w:sz w:val="18"/>
                <w:szCs w:val="18"/>
              </w:rPr>
            </w:pPr>
            <w:r>
              <w:rPr>
                <w:rFonts w:ascii="宋体" w:hAnsi="宋体" w:cs="宋体" w:eastAsia="宋体" w:hint="default"/>
                <w:spacing w:val="-1"/>
                <w:sz w:val="18"/>
                <w:szCs w:val="18"/>
              </w:rPr>
              <w:t>公司网络游戏领域产生的应收款项，已单独计提减值准备的除外，根据以前年度与之相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同或相类似的、按账龄段划分的具有类似信用风险特征的应收款项组合的实际损失率为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基础，结合现时情况采用账龄分析法确定坏账准备计提的比例。</w:t>
            </w:r>
          </w:p>
        </w:tc>
      </w:tr>
      <w:tr>
        <w:trPr>
          <w:trHeight w:val="389" w:hRule="exact"/>
        </w:trPr>
        <w:tc>
          <w:tcPr>
            <w:tcW w:w="87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200" w:right="0"/>
              <w:jc w:val="left"/>
              <w:rPr>
                <w:rFonts w:ascii="宋体" w:hAnsi="宋体" w:cs="宋体" w:eastAsia="宋体" w:hint="default"/>
                <w:sz w:val="18"/>
                <w:szCs w:val="18"/>
              </w:rPr>
            </w:pPr>
            <w:r>
              <w:rPr>
                <w:rFonts w:ascii="宋体" w:hAnsi="宋体" w:cs="宋体" w:eastAsia="宋体" w:hint="default"/>
                <w:b/>
                <w:bCs/>
                <w:sz w:val="18"/>
                <w:szCs w:val="18"/>
              </w:rPr>
              <w:t>按组合计提坏账准备的计提方法</w:t>
            </w:r>
            <w:r>
              <w:rPr>
                <w:rFonts w:ascii="宋体" w:hAnsi="宋体" w:cs="宋体" w:eastAsia="宋体" w:hint="default"/>
                <w:sz w:val="18"/>
                <w:szCs w:val="18"/>
              </w:rPr>
            </w:r>
          </w:p>
        </w:tc>
      </w:tr>
      <w:tr>
        <w:trPr>
          <w:trHeight w:val="402" w:hRule="exact"/>
        </w:trPr>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75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91"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293" w:hRule="exact"/>
        </w:trPr>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752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91"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11"/>
        <w:rPr>
          <w:rFonts w:ascii="宋体" w:hAnsi="宋体" w:cs="宋体" w:eastAsia="宋体" w:hint="default"/>
          <w:sz w:val="26"/>
          <w:szCs w:val="26"/>
        </w:rPr>
      </w:pPr>
    </w:p>
    <w:p>
      <w:pPr>
        <w:pStyle w:val="Heading7"/>
        <w:spacing w:line="240" w:lineRule="auto" w:before="37"/>
        <w:ind w:left="841" w:right="0"/>
        <w:jc w:val="left"/>
      </w:pPr>
      <w:r>
        <w:rPr/>
        <w:t>（</w:t>
      </w:r>
      <w:r>
        <w:rPr>
          <w:rFonts w:ascii="Times New Roman" w:hAnsi="Times New Roman" w:cs="Times New Roman" w:eastAsia="Times New Roman" w:hint="default"/>
        </w:rPr>
        <w:t>2</w:t>
      </w:r>
      <w:r>
        <w:rPr/>
        <w:t>）账龄分析法</w:t>
      </w:r>
    </w:p>
    <w:p>
      <w:pPr>
        <w:spacing w:line="240" w:lineRule="auto" w:before="6"/>
        <w:rPr>
          <w:rFonts w:ascii="宋体" w:hAnsi="宋体" w:cs="宋体" w:eastAsia="宋体" w:hint="default"/>
          <w:sz w:val="16"/>
          <w:szCs w:val="16"/>
        </w:rPr>
      </w:pPr>
    </w:p>
    <w:p>
      <w:pPr>
        <w:pStyle w:val="Heading8"/>
        <w:spacing w:line="225" w:lineRule="exact" w:before="44"/>
        <w:ind w:left="5692" w:right="0"/>
        <w:jc w:val="left"/>
        <w:rPr>
          <w:b w:val="0"/>
          <w:bCs w:val="0"/>
        </w:rPr>
      </w:pPr>
      <w:r>
        <w:rPr/>
        <w:t>计提比例（</w:t>
      </w:r>
      <w:r>
        <w:rPr>
          <w:rFonts w:ascii="Times New Roman" w:hAnsi="Times New Roman" w:cs="Times New Roman" w:eastAsia="Times New Roman" w:hint="default"/>
        </w:rPr>
        <w:t>%</w:t>
      </w:r>
      <w:r>
        <w:rPr/>
        <w:t>）</w:t>
      </w:r>
      <w:r>
        <w:rPr>
          <w:b w:val="0"/>
          <w:bCs w:val="0"/>
        </w:rPr>
      </w:r>
    </w:p>
    <w:p>
      <w:pPr>
        <w:pStyle w:val="Heading8"/>
        <w:spacing w:line="212" w:lineRule="exact"/>
        <w:ind w:left="1746" w:right="0"/>
        <w:jc w:val="left"/>
        <w:rPr>
          <w:b w:val="0"/>
          <w:bCs w:val="0"/>
        </w:rPr>
      </w:pPr>
      <w:r>
        <w:rPr/>
        <w:t>账龄</w:t>
      </w:r>
      <w:r>
        <w:rPr>
          <w:b w:val="0"/>
          <w:bCs w:val="0"/>
        </w:rPr>
      </w:r>
    </w:p>
    <w:tbl>
      <w:tblPr>
        <w:tblW w:w="0" w:type="auto"/>
        <w:jc w:val="left"/>
        <w:tblInd w:w="332" w:type="dxa"/>
        <w:tblLayout w:type="fixed"/>
        <w:tblCellMar>
          <w:top w:w="0" w:type="dxa"/>
          <w:left w:w="0" w:type="dxa"/>
          <w:bottom w:w="0" w:type="dxa"/>
          <w:right w:w="0" w:type="dxa"/>
        </w:tblCellMar>
        <w:tblLook w:val="01E0"/>
      </w:tblPr>
      <w:tblGrid>
        <w:gridCol w:w="3245"/>
        <w:gridCol w:w="2747"/>
        <w:gridCol w:w="2805"/>
      </w:tblGrid>
      <w:tr>
        <w:trPr>
          <w:trHeight w:val="275" w:hRule="exact"/>
        </w:trPr>
        <w:tc>
          <w:tcPr>
            <w:tcW w:w="3245" w:type="dxa"/>
            <w:tcBorders>
              <w:top w:val="nil" w:sz="6" w:space="0" w:color="auto"/>
              <w:left w:val="nil" w:sz="6" w:space="0" w:color="auto"/>
              <w:bottom w:val="single" w:sz="4" w:space="0" w:color="000000"/>
              <w:right w:val="nil" w:sz="6" w:space="0" w:color="auto"/>
            </w:tcBorders>
          </w:tcPr>
          <w:p>
            <w:pPr/>
          </w:p>
        </w:tc>
        <w:tc>
          <w:tcPr>
            <w:tcW w:w="2747" w:type="dxa"/>
            <w:tcBorders>
              <w:top w:val="nil" w:sz="6" w:space="0" w:color="auto"/>
              <w:left w:val="nil" w:sz="6" w:space="0" w:color="auto"/>
              <w:bottom w:val="single" w:sz="4" w:space="0" w:color="000000"/>
              <w:right w:val="nil" w:sz="6" w:space="0" w:color="auto"/>
            </w:tcBorders>
          </w:tcPr>
          <w:p>
            <w:pPr>
              <w:pStyle w:val="TableParagraph"/>
              <w:spacing w:line="194" w:lineRule="exact"/>
              <w:ind w:right="52"/>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组合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tc>
        <w:tc>
          <w:tcPr>
            <w:tcW w:w="2805" w:type="dxa"/>
            <w:tcBorders>
              <w:top w:val="nil" w:sz="6" w:space="0" w:color="auto"/>
              <w:left w:val="nil" w:sz="6" w:space="0" w:color="auto"/>
              <w:bottom w:val="single" w:sz="4" w:space="0" w:color="000000"/>
              <w:right w:val="nil" w:sz="6" w:space="0" w:color="auto"/>
            </w:tcBorders>
          </w:tcPr>
          <w:p>
            <w:pPr>
              <w:pStyle w:val="TableParagraph"/>
              <w:spacing w:line="194" w:lineRule="exact"/>
              <w:ind w:right="3"/>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组合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sz w:val="18"/>
                <w:szCs w:val="18"/>
              </w:rPr>
            </w:r>
          </w:p>
        </w:tc>
      </w:tr>
      <w:tr>
        <w:trPr>
          <w:trHeight w:val="431" w:hRule="exact"/>
        </w:trPr>
        <w:tc>
          <w:tcPr>
            <w:tcW w:w="324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4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52"/>
              <w:jc w:val="center"/>
              <w:rPr>
                <w:rFonts w:ascii="Times New Roman" w:hAnsi="Times New Roman" w:cs="Times New Roman" w:eastAsia="Times New Roman" w:hint="default"/>
                <w:sz w:val="18"/>
                <w:szCs w:val="18"/>
              </w:rPr>
            </w:pPr>
            <w:r>
              <w:rPr>
                <w:rFonts w:ascii="Times New Roman"/>
                <w:sz w:val="18"/>
              </w:rPr>
              <w:t>1</w:t>
            </w:r>
          </w:p>
        </w:tc>
        <w:tc>
          <w:tcPr>
            <w:tcW w:w="280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sz w:val="18"/>
              </w:rPr>
              <w:t>5</w:t>
            </w:r>
          </w:p>
        </w:tc>
      </w:tr>
      <w:tr>
        <w:trPr>
          <w:trHeight w:val="400" w:hRule="exact"/>
        </w:trPr>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2"/>
              <w:jc w:val="center"/>
              <w:rPr>
                <w:rFonts w:ascii="Times New Roman" w:hAnsi="Times New Roman" w:cs="Times New Roman" w:eastAsia="Times New Roman" w:hint="default"/>
                <w:sz w:val="18"/>
                <w:szCs w:val="18"/>
              </w:rPr>
            </w:pPr>
            <w:r>
              <w:rPr>
                <w:rFonts w:ascii="Times New Roman"/>
                <w:sz w:val="18"/>
              </w:rPr>
              <w:t>5</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w:t>
            </w:r>
          </w:p>
        </w:tc>
      </w:tr>
      <w:tr>
        <w:trPr>
          <w:trHeight w:val="400" w:hRule="exact"/>
        </w:trPr>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1"/>
              <w:jc w:val="center"/>
              <w:rPr>
                <w:rFonts w:ascii="Times New Roman" w:hAnsi="Times New Roman" w:cs="Times New Roman" w:eastAsia="Times New Roman" w:hint="default"/>
                <w:sz w:val="18"/>
                <w:szCs w:val="18"/>
              </w:rPr>
            </w:pPr>
            <w:r>
              <w:rPr>
                <w:rFonts w:ascii="Times New Roman"/>
                <w:sz w:val="18"/>
              </w:rPr>
              <w:t>30</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r>
      <w:tr>
        <w:trPr>
          <w:trHeight w:val="395" w:hRule="exact"/>
        </w:trPr>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1"/>
              <w:jc w:val="center"/>
              <w:rPr>
                <w:rFonts w:ascii="Times New Roman" w:hAnsi="Times New Roman" w:cs="Times New Roman" w:eastAsia="Times New Roman" w:hint="default"/>
                <w:sz w:val="18"/>
                <w:szCs w:val="18"/>
              </w:rPr>
            </w:pPr>
            <w:r>
              <w:rPr>
                <w:rFonts w:ascii="Times New Roman"/>
                <w:sz w:val="18"/>
              </w:rPr>
              <w:t>100</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0"/>
        <w:rPr>
          <w:rFonts w:ascii="宋体" w:hAnsi="宋体" w:cs="宋体" w:eastAsia="宋体" w:hint="default"/>
          <w:b/>
          <w:bCs/>
          <w:sz w:val="23"/>
          <w:szCs w:val="23"/>
        </w:rPr>
      </w:pPr>
    </w:p>
    <w:p>
      <w:pPr>
        <w:pStyle w:val="BodyText"/>
        <w:spacing w:line="240" w:lineRule="auto" w:before="44"/>
        <w:ind w:left="800" w:right="0"/>
        <w:jc w:val="left"/>
      </w:pPr>
      <w:r>
        <w:rPr>
          <w:rFonts w:ascii="Times New Roman" w:hAnsi="Times New Roman" w:cs="Times New Roman" w:eastAsia="Times New Roman" w:hint="default"/>
        </w:rPr>
        <w:t>3.</w:t>
      </w:r>
      <w:r>
        <w:rPr/>
        <w:t>单项金额虽不重大但单项计提坏账准备的应收款项</w:t>
      </w: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12"/>
        <w:gridCol w:w="5246"/>
      </w:tblGrid>
      <w:tr>
        <w:trPr>
          <w:trHeight w:val="289" w:hRule="exact"/>
        </w:trPr>
        <w:tc>
          <w:tcPr>
            <w:tcW w:w="2912"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单项计提坏账准备的理由</w:t>
            </w:r>
            <w:r>
              <w:rPr>
                <w:rFonts w:ascii="宋体" w:hAnsi="宋体" w:cs="宋体" w:eastAsia="宋体" w:hint="default"/>
                <w:sz w:val="18"/>
                <w:szCs w:val="18"/>
              </w:rPr>
            </w:r>
          </w:p>
        </w:tc>
        <w:tc>
          <w:tcPr>
            <w:tcW w:w="5246" w:type="dxa"/>
            <w:tcBorders>
              <w:top w:val="nil" w:sz="6" w:space="0" w:color="auto"/>
              <w:left w:val="nil" w:sz="6" w:space="0" w:color="auto"/>
              <w:bottom w:val="nil" w:sz="6" w:space="0" w:color="auto"/>
              <w:right w:val="nil" w:sz="6" w:space="0" w:color="auto"/>
            </w:tcBorders>
          </w:tcPr>
          <w:p>
            <w:pPr>
              <w:pStyle w:val="TableParagraph"/>
              <w:spacing w:line="180" w:lineRule="exact"/>
              <w:ind w:left="725" w:right="0"/>
              <w:jc w:val="left"/>
              <w:rPr>
                <w:rFonts w:ascii="宋体" w:hAnsi="宋体" w:cs="宋体" w:eastAsia="宋体" w:hint="default"/>
                <w:sz w:val="18"/>
                <w:szCs w:val="18"/>
              </w:rPr>
            </w:pPr>
            <w:r>
              <w:rPr>
                <w:rFonts w:ascii="宋体" w:hAnsi="宋体" w:cs="宋体" w:eastAsia="宋体" w:hint="default"/>
                <w:sz w:val="18"/>
                <w:szCs w:val="18"/>
              </w:rPr>
              <w:t>单项金额重大的应收款项以外回收风险较大的应收款项</w:t>
            </w:r>
          </w:p>
        </w:tc>
      </w:tr>
      <w:tr>
        <w:trPr>
          <w:trHeight w:val="306" w:hRule="exact"/>
        </w:trPr>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00" w:right="0"/>
              <w:jc w:val="left"/>
              <w:rPr>
                <w:rFonts w:ascii="宋体" w:hAnsi="宋体" w:cs="宋体" w:eastAsia="宋体" w:hint="default"/>
                <w:sz w:val="18"/>
                <w:szCs w:val="18"/>
              </w:rPr>
            </w:pPr>
            <w:r>
              <w:rPr>
                <w:rFonts w:ascii="宋体" w:hAnsi="宋体" w:cs="宋体" w:eastAsia="宋体" w:hint="default"/>
                <w:b/>
                <w:bCs/>
                <w:sz w:val="18"/>
                <w:szCs w:val="18"/>
              </w:rPr>
              <w:t>坏账准备的计提方法</w:t>
            </w:r>
            <w:r>
              <w:rPr>
                <w:rFonts w:ascii="宋体" w:hAnsi="宋体" w:cs="宋体" w:eastAsia="宋体" w:hint="default"/>
                <w:sz w:val="18"/>
                <w:szCs w:val="18"/>
              </w:rPr>
            </w:r>
          </w:p>
        </w:tc>
        <w:tc>
          <w:tcPr>
            <w:tcW w:w="52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25"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7"/>
        <w:rPr>
          <w:rFonts w:ascii="宋体" w:hAnsi="宋体" w:cs="宋体" w:eastAsia="宋体" w:hint="default"/>
          <w:sz w:val="19"/>
          <w:szCs w:val="19"/>
        </w:rPr>
      </w:pPr>
    </w:p>
    <w:p>
      <w:pPr>
        <w:pStyle w:val="BodyText"/>
        <w:spacing w:line="240" w:lineRule="auto" w:before="44"/>
        <w:ind w:left="800" w:right="0"/>
        <w:jc w:val="left"/>
      </w:pPr>
      <w:r>
        <w:rPr/>
        <w:t>（十一）存货</w:t>
      </w:r>
    </w:p>
    <w:p>
      <w:pPr>
        <w:spacing w:line="240" w:lineRule="auto" w:before="6"/>
        <w:rPr>
          <w:rFonts w:ascii="宋体" w:hAnsi="宋体" w:cs="宋体" w:eastAsia="宋体" w:hint="default"/>
          <w:sz w:val="21"/>
          <w:szCs w:val="21"/>
        </w:rPr>
      </w:pPr>
    </w:p>
    <w:p>
      <w:pPr>
        <w:pStyle w:val="BodyText"/>
        <w:spacing w:line="240" w:lineRule="auto"/>
        <w:ind w:left="800" w:right="0"/>
        <w:jc w:val="left"/>
      </w:pPr>
      <w:r>
        <w:rPr>
          <w:rFonts w:ascii="Times New Roman" w:hAnsi="Times New Roman" w:cs="Times New Roman" w:eastAsia="Times New Roman" w:hint="default"/>
        </w:rPr>
        <w:t>1.</w:t>
      </w:r>
      <w:r>
        <w:rPr/>
        <w:t>存货的分类</w:t>
      </w:r>
    </w:p>
    <w:p>
      <w:pPr>
        <w:spacing w:line="240" w:lineRule="auto" w:before="5"/>
        <w:rPr>
          <w:rFonts w:ascii="宋体" w:hAnsi="宋体" w:cs="宋体" w:eastAsia="宋体" w:hint="default"/>
          <w:sz w:val="20"/>
          <w:szCs w:val="20"/>
        </w:rPr>
      </w:pPr>
    </w:p>
    <w:p>
      <w:pPr>
        <w:pStyle w:val="BodyText"/>
        <w:spacing w:line="240" w:lineRule="auto"/>
        <w:ind w:left="800" w:right="0"/>
        <w:jc w:val="left"/>
      </w:pPr>
      <w:r>
        <w:rPr>
          <w:rFonts w:ascii="Times New Roman" w:hAnsi="Times New Roman" w:cs="Times New Roman" w:eastAsia="Times New Roman" w:hint="default"/>
        </w:rPr>
        <w:t>2.</w:t>
      </w:r>
      <w:r>
        <w:rPr/>
        <w:t>公司的存货分为库存商品、发出商品、劳务成本等。</w:t>
      </w:r>
    </w:p>
    <w:p>
      <w:pPr>
        <w:spacing w:line="240" w:lineRule="auto" w:before="5"/>
        <w:rPr>
          <w:rFonts w:ascii="宋体" w:hAnsi="宋体" w:cs="宋体" w:eastAsia="宋体" w:hint="default"/>
          <w:sz w:val="20"/>
          <w:szCs w:val="20"/>
        </w:rPr>
      </w:pPr>
    </w:p>
    <w:p>
      <w:pPr>
        <w:pStyle w:val="BodyText"/>
        <w:spacing w:line="345" w:lineRule="auto"/>
        <w:ind w:left="440" w:right="0" w:firstLine="359"/>
        <w:jc w:val="left"/>
      </w:pPr>
      <w:r>
        <w:rPr>
          <w:rFonts w:ascii="Times New Roman" w:hAnsi="Times New Roman" w:cs="Times New Roman" w:eastAsia="Times New Roman" w:hint="default"/>
        </w:rPr>
        <w:t>3.</w:t>
      </w:r>
      <w:r>
        <w:rPr/>
        <w:t>核算方法：存货取得时采用实际成本计价，存货成本包括采购成本、加工成本和其他成本。存货领 用或发出采用加权平均法确定其发出成本。低值易耗品、包装物领用时采用一次转销法核算。</w:t>
      </w:r>
    </w:p>
    <w:p>
      <w:pPr>
        <w:spacing w:line="240" w:lineRule="auto" w:before="5"/>
        <w:rPr>
          <w:rFonts w:ascii="宋体" w:hAnsi="宋体" w:cs="宋体" w:eastAsia="宋体" w:hint="default"/>
          <w:sz w:val="15"/>
          <w:szCs w:val="15"/>
        </w:rPr>
      </w:pPr>
    </w:p>
    <w:p>
      <w:pPr>
        <w:pStyle w:val="BodyText"/>
        <w:spacing w:line="240" w:lineRule="auto"/>
        <w:ind w:left="800" w:right="0"/>
        <w:jc w:val="left"/>
      </w:pPr>
      <w:r>
        <w:rPr>
          <w:rFonts w:ascii="Times New Roman" w:hAnsi="Times New Roman" w:cs="Times New Roman" w:eastAsia="Times New Roman" w:hint="default"/>
        </w:rPr>
        <w:t>4.</w:t>
      </w:r>
      <w:r>
        <w:rPr/>
        <w:t>存货的盘存制度：采用永续盘存制。</w:t>
      </w:r>
    </w:p>
    <w:p>
      <w:pPr>
        <w:spacing w:line="240" w:lineRule="auto" w:before="5"/>
        <w:rPr>
          <w:rFonts w:ascii="宋体" w:hAnsi="宋体" w:cs="宋体" w:eastAsia="宋体" w:hint="default"/>
          <w:sz w:val="20"/>
          <w:szCs w:val="20"/>
        </w:rPr>
      </w:pPr>
    </w:p>
    <w:p>
      <w:pPr>
        <w:pStyle w:val="BodyText"/>
        <w:spacing w:line="348" w:lineRule="auto"/>
        <w:ind w:left="440" w:right="0" w:firstLine="359"/>
        <w:jc w:val="left"/>
      </w:pPr>
      <w:r>
        <w:rPr>
          <w:rFonts w:ascii="Times New Roman" w:hAnsi="Times New Roman" w:cs="Times New Roman" w:eastAsia="Times New Roman" w:hint="default"/>
        </w:rPr>
        <w:t>5.</w:t>
      </w:r>
      <w:r>
        <w:rPr/>
        <w:t>结合行业积压图书处理的一般情况和企业处理积压图书的实际经验，公司将图书分为常销类、非常 </w:t>
      </w:r>
      <w:r>
        <w:rPr>
          <w:spacing w:val="-2"/>
        </w:rPr>
        <w:t>销类二大类。于每期期末，对库存出版物存货进行全面清查并实行分年核价，按规定的比例提取跌价准备：</w:t>
      </w:r>
    </w:p>
    <w:p>
      <w:pPr>
        <w:spacing w:line="240" w:lineRule="auto" w:before="3"/>
        <w:rPr>
          <w:rFonts w:ascii="宋体" w:hAnsi="宋体" w:cs="宋体" w:eastAsia="宋体" w:hint="default"/>
          <w:sz w:val="15"/>
          <w:szCs w:val="15"/>
        </w:rPr>
      </w:pPr>
    </w:p>
    <w:p>
      <w:pPr>
        <w:pStyle w:val="BodyText"/>
        <w:spacing w:line="240" w:lineRule="auto"/>
        <w:ind w:left="800" w:right="0"/>
        <w:jc w:val="left"/>
        <w:rPr>
          <w:rFonts w:ascii="Times New Roman" w:hAnsi="Times New Roman" w:cs="Times New Roman" w:eastAsia="Times New Roman" w:hint="default"/>
        </w:rPr>
      </w:pPr>
      <w:r>
        <w:rPr/>
        <w:t>对红魔语法阅读词汇系列图书、少儿及经典名著系列图书等常销书 </w:t>
      </w:r>
      <w:r>
        <w:rPr>
          <w:rFonts w:ascii="Times New Roman" w:hAnsi="Times New Roman" w:cs="Times New Roman" w:eastAsia="Times New Roman" w:hint="default"/>
        </w:rPr>
        <w:t>1  </w:t>
      </w:r>
      <w:r>
        <w:rPr>
          <w:rFonts w:ascii="Times New Roman" w:hAnsi="Times New Roman" w:cs="Times New Roman" w:eastAsia="Times New Roman" w:hint="default"/>
          <w:spacing w:val="9"/>
        </w:rPr>
        <w:t> </w:t>
      </w:r>
      <w:r>
        <w:rPr/>
        <w:t>年内不计提存货跌价准备，</w:t>
      </w:r>
      <w:r>
        <w:rPr>
          <w:rFonts w:ascii="Times New Roman" w:hAnsi="Times New Roman" w:cs="Times New Roman" w:eastAsia="Times New Roman" w:hint="default"/>
        </w:rPr>
        <w:t>1-2</w:t>
      </w:r>
    </w:p>
    <w:p>
      <w:pPr>
        <w:spacing w:after="0" w:line="240" w:lineRule="auto"/>
        <w:jc w:val="left"/>
        <w:rPr>
          <w:rFonts w:ascii="Times New Roman" w:hAnsi="Times New Roman" w:cs="Times New Roman" w:eastAsia="Times New Roman" w:hint="default"/>
        </w:rPr>
        <w:sectPr>
          <w:footerReference w:type="default" r:id="rId26"/>
          <w:pgSz w:w="11910" w:h="16840"/>
          <w:pgMar w:footer="979" w:header="0" w:top="1480" w:bottom="1160" w:left="1360" w:right="1300"/>
          <w:pgNumType w:start="101"/>
        </w:sectPr>
      </w:pPr>
    </w:p>
    <w:p>
      <w:pPr>
        <w:pStyle w:val="BodyText"/>
        <w:spacing w:line="345" w:lineRule="auto" w:before="19"/>
        <w:ind w:right="185"/>
        <w:jc w:val="left"/>
      </w:pPr>
      <w:r>
        <w:rPr/>
        <w:t>年按图书总定价计提</w:t>
      </w:r>
      <w:r>
        <w:rPr>
          <w:spacing w:val="-44"/>
        </w:rPr>
        <w:t> </w:t>
      </w:r>
      <w:r>
        <w:rPr>
          <w:rFonts w:ascii="Times New Roman" w:hAnsi="Times New Roman" w:cs="Times New Roman" w:eastAsia="Times New Roman" w:hint="default"/>
          <w:spacing w:val="-3"/>
        </w:rPr>
        <w:t>3%</w:t>
      </w:r>
      <w:r>
        <w:rPr>
          <w:spacing w:val="-3"/>
        </w:rPr>
        <w:t>存货跌价准备，</w:t>
      </w:r>
      <w:r>
        <w:rPr>
          <w:rFonts w:ascii="Times New Roman" w:hAnsi="Times New Roman" w:cs="Times New Roman" w:eastAsia="Times New Roman" w:hint="default"/>
          <w:spacing w:val="-3"/>
        </w:rPr>
        <w:t>2-3</w:t>
      </w:r>
      <w:r>
        <w:rPr>
          <w:rFonts w:ascii="Times New Roman" w:hAnsi="Times New Roman" w:cs="Times New Roman" w:eastAsia="Times New Roman" w:hint="default"/>
          <w:spacing w:val="2"/>
        </w:rPr>
        <w:t> </w:t>
      </w:r>
      <w:r>
        <w:rPr/>
        <w:t>年以上按图书总定价计提</w:t>
      </w:r>
      <w:r>
        <w:rPr>
          <w:spacing w:val="-43"/>
        </w:rPr>
        <w:t> </w:t>
      </w:r>
      <w:r>
        <w:rPr>
          <w:rFonts w:ascii="Times New Roman" w:hAnsi="Times New Roman" w:cs="Times New Roman" w:eastAsia="Times New Roman" w:hint="default"/>
          <w:spacing w:val="-4"/>
        </w:rPr>
        <w:t>5%</w:t>
      </w:r>
      <w:r>
        <w:rPr>
          <w:spacing w:val="-4"/>
        </w:rPr>
        <w:t>存货跌价准备，</w:t>
      </w:r>
      <w:r>
        <w:rPr>
          <w:rFonts w:ascii="Times New Roman" w:hAnsi="Times New Roman" w:cs="Times New Roman" w:eastAsia="Times New Roman" w:hint="default"/>
          <w:spacing w:val="-4"/>
        </w:rPr>
        <w:t>3</w:t>
      </w:r>
      <w:r>
        <w:rPr>
          <w:rFonts w:ascii="Times New Roman" w:hAnsi="Times New Roman" w:cs="Times New Roman" w:eastAsia="Times New Roman" w:hint="default"/>
          <w:spacing w:val="2"/>
        </w:rPr>
        <w:t> </w:t>
      </w:r>
      <w:r>
        <w:rPr/>
        <w:t>年以上按图书总 定价计提</w:t>
      </w:r>
      <w:r>
        <w:rPr>
          <w:spacing w:val="-45"/>
        </w:rPr>
        <w:t> </w:t>
      </w:r>
      <w:r>
        <w:rPr>
          <w:rFonts w:ascii="Times New Roman" w:hAnsi="Times New Roman" w:cs="Times New Roman" w:eastAsia="Times New Roman" w:hint="default"/>
        </w:rPr>
        <w:t>10%</w:t>
      </w:r>
      <w:r>
        <w:rPr/>
        <w:t>存货跌价准备。</w:t>
      </w:r>
    </w:p>
    <w:p>
      <w:pPr>
        <w:spacing w:line="240" w:lineRule="auto" w:before="9"/>
        <w:rPr>
          <w:rFonts w:ascii="宋体" w:hAnsi="宋体" w:cs="宋体" w:eastAsia="宋体" w:hint="default"/>
          <w:sz w:val="13"/>
          <w:szCs w:val="13"/>
        </w:rPr>
      </w:pPr>
    </w:p>
    <w:p>
      <w:pPr>
        <w:pStyle w:val="BodyText"/>
        <w:spacing w:line="345" w:lineRule="auto"/>
        <w:ind w:right="196" w:firstLine="359"/>
        <w:jc w:val="both"/>
      </w:pPr>
      <w:r>
        <w:rPr/>
        <w:t>在非常销书中对当年出版的过季同步教辅和纸质期刊扣除图书总定价</w:t>
      </w:r>
      <w:r>
        <w:rPr>
          <w:spacing w:val="-37"/>
        </w:rPr>
        <w:t> </w:t>
      </w:r>
      <w:r>
        <w:rPr>
          <w:rFonts w:ascii="Times New Roman" w:hAnsi="Times New Roman" w:cs="Times New Roman" w:eastAsia="Times New Roman" w:hint="default"/>
          <w:spacing w:val="-6"/>
        </w:rPr>
        <w:t>3%</w:t>
      </w:r>
      <w:r>
        <w:rPr>
          <w:spacing w:val="-6"/>
        </w:rPr>
        <w:t>全额计提存货跌价准备。对社</w:t>
      </w:r>
      <w:r>
        <w:rPr/>
        <w:t> 科类、青春类等非常销书类图书按库龄不同，库龄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年库存社科类、青春类等畅销图书按图书总定价的 </w:t>
      </w:r>
      <w:r>
        <w:rPr>
          <w:rFonts w:ascii="Times New Roman" w:hAnsi="Times New Roman" w:cs="Times New Roman" w:eastAsia="Times New Roman" w:hint="default"/>
        </w:rPr>
        <w:t>10%</w:t>
      </w:r>
      <w:r>
        <w:rPr/>
        <w:t>计提存货跌价准备，图书库龄超过</w:t>
      </w:r>
      <w:r>
        <w:rPr>
          <w:spacing w:val="-45"/>
        </w:rPr>
        <w:t> </w:t>
      </w:r>
      <w:r>
        <w:rPr>
          <w:rFonts w:ascii="Times New Roman" w:hAnsi="Times New Roman" w:cs="Times New Roman" w:eastAsia="Times New Roman" w:hint="default"/>
        </w:rPr>
        <w:t>2 </w:t>
      </w:r>
      <w:r>
        <w:rPr/>
        <w:t>年的按图书总定价的</w:t>
      </w:r>
      <w:r>
        <w:rPr>
          <w:spacing w:val="-46"/>
        </w:rPr>
        <w:t> </w:t>
      </w:r>
      <w:r>
        <w:rPr>
          <w:rFonts w:ascii="Times New Roman" w:hAnsi="Times New Roman" w:cs="Times New Roman" w:eastAsia="Times New Roman" w:hint="default"/>
        </w:rPr>
        <w:t>20%</w:t>
      </w:r>
      <w:r>
        <w:rPr/>
        <w:t>计提存货跌价准备。</w:t>
      </w:r>
    </w:p>
    <w:p>
      <w:pPr>
        <w:spacing w:line="240" w:lineRule="auto" w:before="9"/>
        <w:rPr>
          <w:rFonts w:ascii="宋体" w:hAnsi="宋体" w:cs="宋体" w:eastAsia="宋体" w:hint="default"/>
          <w:sz w:val="13"/>
          <w:szCs w:val="13"/>
        </w:rPr>
      </w:pPr>
    </w:p>
    <w:p>
      <w:pPr>
        <w:pStyle w:val="BodyText"/>
        <w:spacing w:line="525" w:lineRule="auto"/>
        <w:ind w:left="480" w:right="251"/>
        <w:jc w:val="left"/>
      </w:pPr>
      <w:r>
        <w:rPr/>
        <w:t>（十二）划分为持有待售资产及终止经营 本公司将同时满足下列条件的非流动资产划分为持有待售资产： </w:t>
      </w:r>
      <w:r>
        <w:rPr>
          <w:rFonts w:ascii="Times New Roman" w:hAnsi="Times New Roman" w:cs="Times New Roman" w:eastAsia="Times New Roman" w:hint="default"/>
        </w:rPr>
        <w:t>1.</w:t>
      </w:r>
      <w:r>
        <w:rPr/>
        <w:t>该非流动资产或该处置组在其当前状况下仅根据出售此类资产或处置组的惯常条款即可立即出售；</w:t>
      </w:r>
    </w:p>
    <w:p>
      <w:pPr>
        <w:pStyle w:val="BodyText"/>
        <w:spacing w:line="240" w:lineRule="auto" w:before="30"/>
        <w:ind w:left="480" w:right="0"/>
        <w:jc w:val="left"/>
      </w:pPr>
      <w:r>
        <w:rPr>
          <w:rFonts w:ascii="Times New Roman" w:hAnsi="Times New Roman" w:cs="Times New Roman" w:eastAsia="Times New Roman" w:hint="default"/>
        </w:rPr>
        <w:t>2.</w:t>
      </w:r>
      <w:r>
        <w:rPr/>
        <w:t>本公司已经就处置该非流动资产或该处置组作出决议并取得适当批准；</w:t>
      </w:r>
    </w:p>
    <w:p>
      <w:pPr>
        <w:spacing w:line="240" w:lineRule="auto" w:before="5"/>
        <w:rPr>
          <w:rFonts w:ascii="宋体" w:hAnsi="宋体" w:cs="宋体" w:eastAsia="宋体" w:hint="default"/>
          <w:sz w:val="20"/>
          <w:szCs w:val="20"/>
        </w:rPr>
      </w:pPr>
    </w:p>
    <w:p>
      <w:pPr>
        <w:pStyle w:val="BodyText"/>
        <w:spacing w:line="240" w:lineRule="auto"/>
        <w:ind w:left="480" w:right="0"/>
        <w:jc w:val="left"/>
      </w:pPr>
      <w:r>
        <w:rPr>
          <w:rFonts w:ascii="Times New Roman" w:hAnsi="Times New Roman" w:cs="Times New Roman" w:eastAsia="Times New Roman" w:hint="default"/>
        </w:rPr>
        <w:t>3.</w:t>
      </w:r>
      <w:r>
        <w:rPr/>
        <w:t>本公司已经与受让方签订了不可撤销的转让协议；</w:t>
      </w:r>
    </w:p>
    <w:p>
      <w:pPr>
        <w:pStyle w:val="BodyText"/>
        <w:spacing w:line="516" w:lineRule="exact" w:before="64"/>
        <w:ind w:left="480" w:right="0"/>
        <w:jc w:val="left"/>
      </w:pPr>
      <w:r>
        <w:rPr>
          <w:rFonts w:ascii="Times New Roman" w:hAnsi="Times New Roman" w:cs="Times New Roman" w:eastAsia="Times New Roman" w:hint="default"/>
        </w:rPr>
        <w:t>4.</w:t>
      </w:r>
      <w:r>
        <w:rPr/>
        <w:t>该项转让将在一年内完成。 被划分为持有待售的非流动资产和处置组中的资产和负债，分类为流动资产和流动负债。 终止经营为满足下列条件之一的已被处置或被划归为持有待售的、于经营上和编制财务报表时能够在</w:t>
      </w:r>
    </w:p>
    <w:p>
      <w:pPr>
        <w:pStyle w:val="BodyText"/>
        <w:spacing w:line="240" w:lineRule="auto" w:before="46"/>
        <w:ind w:right="0"/>
        <w:jc w:val="left"/>
      </w:pPr>
      <w:r>
        <w:rPr/>
        <w:t>本公司内单独区分的组成部分：</w:t>
      </w:r>
    </w:p>
    <w:p>
      <w:pPr>
        <w:spacing w:line="240" w:lineRule="auto" w:before="6"/>
        <w:rPr>
          <w:rFonts w:ascii="宋体" w:hAnsi="宋体" w:cs="宋体" w:eastAsia="宋体" w:hint="default"/>
          <w:sz w:val="21"/>
          <w:szCs w:val="21"/>
        </w:rPr>
      </w:pPr>
    </w:p>
    <w:p>
      <w:pPr>
        <w:pStyle w:val="BodyText"/>
        <w:spacing w:line="240" w:lineRule="auto"/>
        <w:ind w:left="480" w:right="0"/>
        <w:jc w:val="left"/>
      </w:pPr>
      <w:r>
        <w:rPr>
          <w:rFonts w:ascii="Times New Roman" w:hAnsi="Times New Roman" w:cs="Times New Roman" w:eastAsia="Times New Roman" w:hint="default"/>
        </w:rPr>
        <w:t>1.</w:t>
      </w:r>
      <w:r>
        <w:rPr/>
        <w:t>该组成部分代表一项独立的主要业务或一个主要经营地区；</w:t>
      </w:r>
    </w:p>
    <w:p>
      <w:pPr>
        <w:spacing w:line="240" w:lineRule="auto" w:before="5"/>
        <w:rPr>
          <w:rFonts w:ascii="宋体" w:hAnsi="宋体" w:cs="宋体" w:eastAsia="宋体" w:hint="default"/>
          <w:sz w:val="20"/>
          <w:szCs w:val="20"/>
        </w:rPr>
      </w:pPr>
    </w:p>
    <w:p>
      <w:pPr>
        <w:pStyle w:val="BodyText"/>
        <w:spacing w:line="240" w:lineRule="auto"/>
        <w:ind w:left="480" w:right="0"/>
        <w:jc w:val="left"/>
      </w:pPr>
      <w:r>
        <w:rPr>
          <w:rFonts w:ascii="Times New Roman" w:hAnsi="Times New Roman" w:cs="Times New Roman" w:eastAsia="Times New Roman" w:hint="default"/>
        </w:rPr>
        <w:t>2.</w:t>
      </w:r>
      <w:r>
        <w:rPr/>
        <w:t>该组成部分是拟对一项独立的主要业务或一个主要经营地区进行处置计划的一部分；</w:t>
      </w:r>
    </w:p>
    <w:p>
      <w:pPr>
        <w:pStyle w:val="BodyText"/>
        <w:spacing w:line="500" w:lineRule="atLeast" w:before="16"/>
        <w:ind w:left="480" w:right="0"/>
        <w:jc w:val="left"/>
      </w:pPr>
      <w:r>
        <w:rPr>
          <w:rFonts w:ascii="Times New Roman" w:hAnsi="Times New Roman" w:cs="Times New Roman" w:eastAsia="Times New Roman" w:hint="default"/>
        </w:rPr>
        <w:t>3.</w:t>
      </w:r>
      <w:r>
        <w:rPr/>
        <w:t>该组成部分是仅仅为了再出售而取得的子公司。 对于持有待售的固定资产，公司将该项资产的预计净残值调整为反映其公允价值减去处置费用后的金</w:t>
      </w:r>
    </w:p>
    <w:p>
      <w:pPr>
        <w:pStyle w:val="BodyText"/>
        <w:spacing w:line="367" w:lineRule="auto" w:before="124"/>
        <w:ind w:right="0"/>
        <w:jc w:val="left"/>
      </w:pPr>
      <w:r>
        <w:rPr>
          <w:spacing w:val="-4"/>
        </w:rPr>
        <w:t>额（但不得超过该项资产符合持有待售条件时的原账面价值），原账面价值高于调整后预计净残值的差额，</w:t>
      </w:r>
      <w:r>
        <w:rPr>
          <w:spacing w:val="-56"/>
        </w:rPr>
        <w:t> </w:t>
      </w:r>
      <w:r>
        <w:rPr>
          <w:spacing w:val="-56"/>
        </w:rPr>
      </w:r>
      <w:r>
        <w:rPr/>
        <w:t>作为资产减值损失计入当期损益。</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t>符合持有待售条件的无形资产等其他非流动资产，按上述原则处理。</w:t>
      </w:r>
    </w:p>
    <w:p>
      <w:pPr>
        <w:pStyle w:val="BodyText"/>
        <w:spacing w:line="510" w:lineRule="atLeast" w:before="6"/>
        <w:ind w:left="480" w:right="0"/>
        <w:jc w:val="left"/>
      </w:pPr>
      <w:r>
        <w:rPr/>
        <w:t>（十三）长期股权投资 </w:t>
      </w:r>
      <w:r>
        <w:rPr>
          <w:spacing w:val="-2"/>
        </w:rPr>
        <w:t>本部份所指的长期股权投资是指本公司对被投资单位具有控制、共同控制或重大影响的长期股权投资。</w:t>
      </w:r>
    </w:p>
    <w:p>
      <w:pPr>
        <w:pStyle w:val="BodyText"/>
        <w:spacing w:line="367" w:lineRule="auto" w:before="124"/>
        <w:ind w:right="0"/>
        <w:jc w:val="left"/>
      </w:pPr>
      <w:r>
        <w:rPr/>
        <w:t>本公司对被投资单位不具有控制、共同控制或重大影响的长期股权投资，作为可供出售金融资产或以公允</w:t>
      </w:r>
      <w:r>
        <w:rPr>
          <w:spacing w:val="-73"/>
        </w:rPr>
        <w:t> </w:t>
      </w:r>
      <w:r>
        <w:rPr>
          <w:spacing w:val="-73"/>
        </w:rPr>
      </w:r>
      <w:r>
        <w:rPr>
          <w:spacing w:val="-3"/>
          <w:w w:val="100"/>
        </w:rPr>
        <w:t>价值计量且其变动计入当期损益的金融资产核算，其会计政策详见附注三、（九）</w:t>
      </w:r>
      <w:r>
        <w:rPr>
          <w:rFonts w:ascii="Times New Roman" w:hAnsi="Times New Roman" w:cs="Times New Roman" w:eastAsia="Times New Roman" w:hint="default"/>
          <w:spacing w:val="-3"/>
          <w:w w:val="100"/>
        </w:rPr>
        <w:t>“</w:t>
      </w:r>
      <w:r>
        <w:rPr>
          <w:spacing w:val="-3"/>
          <w:w w:val="100"/>
        </w:rPr>
        <w:t>金融工具</w:t>
      </w:r>
      <w:r>
        <w:rPr>
          <w:rFonts w:ascii="Times New Roman" w:hAnsi="Times New Roman" w:cs="Times New Roman" w:eastAsia="Times New Roman" w:hint="default"/>
          <w:spacing w:val="-3"/>
          <w:w w:val="100"/>
        </w:rPr>
        <w:t>”</w:t>
      </w:r>
      <w:r>
        <w:rPr>
          <w:spacing w:val="-3"/>
          <w:w w:val="100"/>
        </w:rPr>
        <w:t>。</w:t>
      </w:r>
    </w:p>
    <w:p>
      <w:pPr>
        <w:pStyle w:val="BodyText"/>
        <w:spacing w:line="367" w:lineRule="auto" w:before="161"/>
        <w:ind w:right="204" w:firstLine="359"/>
        <w:jc w:val="both"/>
      </w:pPr>
      <w:r>
        <w:rPr/>
        <w:t>共同控制，是指本公司按照相关约定对某项安排所共有的控制，并且该安排的相关活动必须经过分享 控制权的参与方一致同意后才能决策。重大影响，是指本公司对被投资单位的财务和经营政策有参与决策</w:t>
      </w:r>
      <w:r>
        <w:rPr>
          <w:spacing w:val="-73"/>
        </w:rPr>
        <w:t> </w:t>
      </w:r>
      <w:r>
        <w:rPr>
          <w:spacing w:val="-73"/>
        </w:rPr>
      </w:r>
      <w:r>
        <w:rPr/>
        <w:t>的权力，但并不能够控制或者与其他方一起共同控制这些政策的制定。</w:t>
      </w:r>
    </w:p>
    <w:p>
      <w:pPr>
        <w:spacing w:line="240" w:lineRule="auto" w:before="2"/>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1.</w:t>
      </w:r>
      <w:r>
        <w:rPr/>
        <w:t>投资成本的确定</w:t>
      </w:r>
    </w:p>
    <w:p>
      <w:pPr>
        <w:spacing w:after="0" w:line="240" w:lineRule="auto"/>
        <w:jc w:val="left"/>
        <w:sectPr>
          <w:pgSz w:w="11910" w:h="16840"/>
          <w:pgMar w:header="0" w:footer="979" w:top="1480" w:bottom="1160" w:left="1680" w:right="1600"/>
        </w:sectPr>
      </w:pPr>
    </w:p>
    <w:p>
      <w:pPr>
        <w:pStyle w:val="BodyText"/>
        <w:spacing w:line="362" w:lineRule="auto" w:before="19"/>
        <w:ind w:right="0" w:firstLine="359"/>
        <w:jc w:val="left"/>
      </w:pPr>
      <w:r>
        <w:rPr/>
        <w:t>对于同一控制下的企业合并取得的长期股权投资，在合并日按照被合并方所有者权益在最终控制方合 并财务报表中的账面价值的份额作为长期股权投资的初始投资成本。长期股权投资初始投资成本与支付的</w:t>
      </w:r>
      <w:r>
        <w:rPr>
          <w:spacing w:val="-73"/>
        </w:rPr>
        <w:t> </w:t>
      </w:r>
      <w:r>
        <w:rPr>
          <w:spacing w:val="-73"/>
        </w:rPr>
      </w:r>
      <w:r>
        <w:rPr/>
        <w:t>现金、转让的非现金资产以及所承担债务账面价值之间的差额，调整资本公积；资本公积不足冲减的，调</w:t>
      </w:r>
      <w:r>
        <w:rPr>
          <w:spacing w:val="-73"/>
        </w:rPr>
        <w:t> </w:t>
      </w:r>
      <w:r>
        <w:rPr>
          <w:spacing w:val="-73"/>
        </w:rPr>
      </w:r>
      <w:r>
        <w:rPr/>
        <w:t>整留存收益。以发行权益性证券作为合并对价的，在合并日按照被合并方股东权益在最终控制方合并财务</w:t>
      </w:r>
      <w:r>
        <w:rPr>
          <w:spacing w:val="-73"/>
        </w:rPr>
        <w:t> </w:t>
      </w:r>
      <w:r>
        <w:rPr>
          <w:spacing w:val="-73"/>
        </w:rPr>
      </w:r>
      <w:r>
        <w:rPr/>
        <w:t>报表中的账面价值的份额作为长期股权投资的初始投资成本，按照发行股份的面值总额作为股本，长期股</w:t>
      </w:r>
      <w:r>
        <w:rPr>
          <w:spacing w:val="-73"/>
        </w:rPr>
        <w:t> </w:t>
      </w:r>
      <w:r>
        <w:rPr>
          <w:spacing w:val="-73"/>
        </w:rPr>
      </w:r>
      <w:r>
        <w:rPr/>
        <w:t>权投资初始投资成本与所发行股份面值总额之间的差额，调整资本公积；资本公积不足冲减的，调整留存</w:t>
      </w:r>
      <w:r>
        <w:rPr>
          <w:spacing w:val="-71"/>
        </w:rPr>
        <w:t> </w:t>
      </w:r>
      <w:r>
        <w:rPr>
          <w:spacing w:val="-71"/>
        </w:rPr>
      </w:r>
      <w:r>
        <w:rPr/>
        <w:t>收益（通过多次交易分步取得同一控制下被合并方的股权，最终形成同一控制下企业合并的，应分别是否</w:t>
      </w:r>
      <w:r>
        <w:rPr>
          <w:spacing w:val="-73"/>
        </w:rPr>
        <w:t> </w:t>
      </w:r>
      <w:r>
        <w:rPr>
          <w:spacing w:val="-73"/>
        </w:rPr>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w:t>
      </w:r>
      <w:r>
        <w:rPr>
          <w:spacing w:val="-67"/>
        </w:rPr>
        <w:t> </w:t>
      </w:r>
      <w:r>
        <w:rPr>
          <w:spacing w:val="-67"/>
        </w:rPr>
      </w:r>
      <w:r>
        <w:rPr/>
        <w:t>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的，在合并日按照应享有被合并方股东权益在最终控制方合并财务报表中的账面价值</w:t>
      </w:r>
      <w:r>
        <w:rPr>
          <w:spacing w:val="-54"/>
        </w:rPr>
        <w:t> </w:t>
      </w:r>
      <w:r>
        <w:rPr>
          <w:spacing w:val="-54"/>
        </w:rPr>
      </w:r>
      <w:r>
        <w:rPr/>
        <w:t>的份额作为长期股权投资的初始投资成本，长期股权投资初始投资成本与达到合并前的长期股权投资账面</w:t>
      </w:r>
      <w:r>
        <w:rPr>
          <w:spacing w:val="-73"/>
        </w:rPr>
        <w:t> </w:t>
      </w:r>
      <w:r>
        <w:rPr>
          <w:spacing w:val="-73"/>
        </w:rPr>
      </w:r>
      <w:r>
        <w:rPr>
          <w:spacing w:val="-2"/>
        </w:rPr>
        <w:t>价值加上合并日进一步取得股份新支付对价的账面价值之和的差额，调整资本公积；资本公积不足冲减的，</w:t>
      </w:r>
      <w:r>
        <w:rPr>
          <w:spacing w:val="-63"/>
        </w:rPr>
        <w:t> </w:t>
      </w:r>
      <w:r>
        <w:rPr>
          <w:spacing w:val="-63"/>
        </w:rPr>
      </w:r>
      <w:r>
        <w:rPr/>
        <w:t>调整留存收益。合并日之前持有的股权投资因采用权益法核算或为可供出售金融资产而确认的其他综合收</w:t>
      </w:r>
      <w:r>
        <w:rPr>
          <w:spacing w:val="-74"/>
        </w:rPr>
        <w:t> </w:t>
      </w:r>
      <w:r>
        <w:rPr>
          <w:spacing w:val="-74"/>
        </w:rPr>
      </w:r>
      <w:r>
        <w:rPr>
          <w:spacing w:val="-8"/>
        </w:rPr>
        <w:t>益，暂不进行会计处理）。</w:t>
      </w:r>
    </w:p>
    <w:p>
      <w:pPr>
        <w:spacing w:line="240" w:lineRule="auto" w:before="5"/>
        <w:rPr>
          <w:rFonts w:ascii="宋体" w:hAnsi="宋体" w:cs="宋体" w:eastAsia="宋体" w:hint="default"/>
          <w:sz w:val="14"/>
          <w:szCs w:val="14"/>
        </w:rPr>
      </w:pPr>
    </w:p>
    <w:p>
      <w:pPr>
        <w:pStyle w:val="BodyText"/>
        <w:spacing w:line="357" w:lineRule="auto"/>
        <w:ind w:right="197" w:firstLine="359"/>
        <w:jc w:val="both"/>
      </w:pPr>
      <w:r>
        <w:rPr/>
        <w:t>对于非同一控制下的企业合并取得的长期股权投资，在购买日按照合并成本作为长期股权投资的初始 投资成本，合并成本包括购买方付出的资产、发生或承担的负债、发行的权益性证券的公允价值之和（通</w:t>
      </w:r>
      <w:r>
        <w:rPr>
          <w:spacing w:val="-73"/>
        </w:rPr>
        <w:t> </w:t>
      </w:r>
      <w:r>
        <w:rPr>
          <w:spacing w:val="-73"/>
        </w:rPr>
      </w:r>
      <w:r>
        <w:rPr>
          <w:spacing w:val="-3"/>
        </w:rPr>
        <w:t>过多次交易分步取得被购买方的股权，最终形成非同一控制下的企业合并的，应分别是否属于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7"/>
        </w:rPr>
        <w:t> </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一揽子交</w:t>
      </w:r>
      <w:r>
        <w:rPr>
          <w:spacing w:val="-82"/>
        </w:rPr>
        <w:t> </w:t>
      </w:r>
      <w:r>
        <w:rPr>
          <w:spacing w:val="-2"/>
        </w:rPr>
        <w:t>易</w:t>
      </w:r>
      <w:r>
        <w:rPr>
          <w:rFonts w:ascii="Times New Roman" w:hAnsi="Times New Roman" w:cs="Times New Roman" w:eastAsia="Times New Roman" w:hint="default"/>
          <w:spacing w:val="-2"/>
        </w:rPr>
        <w:t>”</w:t>
      </w:r>
      <w:r>
        <w:rPr>
          <w:spacing w:val="-2"/>
        </w:rPr>
        <w:t>的，按照原持有被购买方的股权投资账面价值加上新增投资成本之和，作为改按成本法核算的长期股权</w:t>
      </w:r>
      <w:r>
        <w:rPr>
          <w:spacing w:val="-51"/>
        </w:rPr>
        <w:t> </w:t>
      </w:r>
      <w:r>
        <w:rPr>
          <w:spacing w:val="-51"/>
        </w:rPr>
      </w:r>
      <w:r>
        <w:rPr/>
        <w:t>投资的初始投资成本。原持有的股权采用权益法核算的，相关其他综合收益暂不进行会计处理。原持有股</w:t>
      </w:r>
      <w:r>
        <w:rPr>
          <w:spacing w:val="-73"/>
        </w:rPr>
        <w:t> </w:t>
      </w:r>
      <w:r>
        <w:rPr>
          <w:spacing w:val="-73"/>
        </w:rPr>
      </w:r>
      <w:r>
        <w:rPr/>
        <w:t>权投资为可供出售金融资产的，其公允价值与账面价值之间的差额，以及原计入其他综合收益的累计公允</w:t>
      </w:r>
      <w:r>
        <w:rPr>
          <w:spacing w:val="-73"/>
        </w:rPr>
        <w:t> </w:t>
      </w:r>
      <w:r>
        <w:rPr>
          <w:spacing w:val="-73"/>
        </w:rPr>
      </w:r>
      <w:r>
        <w:rPr>
          <w:spacing w:val="-8"/>
        </w:rPr>
        <w:t>价值变动转入当期损益）。</w:t>
      </w:r>
    </w:p>
    <w:p>
      <w:pPr>
        <w:spacing w:line="240" w:lineRule="auto" w:before="9"/>
        <w:rPr>
          <w:rFonts w:ascii="宋体" w:hAnsi="宋体" w:cs="宋体" w:eastAsia="宋体" w:hint="default"/>
          <w:sz w:val="14"/>
          <w:szCs w:val="14"/>
        </w:rPr>
      </w:pPr>
    </w:p>
    <w:p>
      <w:pPr>
        <w:pStyle w:val="BodyText"/>
        <w:spacing w:line="367" w:lineRule="auto"/>
        <w:ind w:right="204" w:firstLine="359"/>
        <w:jc w:val="both"/>
      </w:pPr>
      <w:r>
        <w:rPr/>
        <w:t>合并方或购买方为企业合并发生的审计、法律服务、评估咨询等中介费用以及其他相关管理费用，于 发生时计入当期损益。</w:t>
      </w:r>
    </w:p>
    <w:p>
      <w:pPr>
        <w:spacing w:line="240" w:lineRule="auto" w:before="2"/>
        <w:rPr>
          <w:rFonts w:ascii="宋体" w:hAnsi="宋体" w:cs="宋体" w:eastAsia="宋体" w:hint="default"/>
          <w:sz w:val="14"/>
          <w:szCs w:val="14"/>
        </w:rPr>
      </w:pPr>
    </w:p>
    <w:p>
      <w:pPr>
        <w:pStyle w:val="BodyText"/>
        <w:spacing w:line="362" w:lineRule="auto"/>
        <w:ind w:right="196" w:firstLine="359"/>
        <w:jc w:val="both"/>
      </w:pPr>
      <w:r>
        <w:rPr/>
        <w:t>除企业合并形成的长期股权投资外的其他股权投资，按成本进行初始计量，该成本视长期股权投资取 得方式的不同，分别按照本公司实际支付的现金购买价款、本公司发行的权益性证券的公允价值、投资合</w:t>
      </w:r>
      <w:r>
        <w:rPr>
          <w:spacing w:val="-72"/>
        </w:rPr>
        <w:t> </w:t>
      </w:r>
      <w:r>
        <w:rPr>
          <w:spacing w:val="-72"/>
        </w:rPr>
      </w:r>
      <w:r>
        <w:rPr/>
        <w:t>同或协议约定的价值、非货币性资产交换交易中换出资产的公允价值或原账面价值、该项长期股权投资自</w:t>
      </w:r>
      <w:r>
        <w:rPr>
          <w:spacing w:val="-73"/>
        </w:rPr>
        <w:t> </w:t>
      </w:r>
      <w:r>
        <w:rPr>
          <w:spacing w:val="-73"/>
        </w:rPr>
      </w:r>
      <w:r>
        <w:rPr/>
        <w:t>身的公允价值等方式确定。与取得长期股权投资直接相关的费用、税金及其他必要支出也计入投资成本。</w:t>
      </w:r>
      <w:r>
        <w:rPr>
          <w:spacing w:val="-73"/>
        </w:rPr>
        <w:t> </w:t>
      </w:r>
      <w:r>
        <w:rPr>
          <w:spacing w:val="-73"/>
        </w:rPr>
      </w:r>
      <w:r>
        <w:rPr/>
        <w:t>对于因追加投资能够对被投资单位实施重大影响或实施共同控制但不构成控制的，长期股权投资成本为按</w:t>
      </w:r>
      <w:r>
        <w:rPr>
          <w:spacing w:val="-73"/>
        </w:rPr>
        <w:t> </w:t>
      </w:r>
      <w:r>
        <w:rPr>
          <w:spacing w:val="-73"/>
        </w:rPr>
      </w:r>
      <w:r>
        <w:rPr>
          <w:spacing w:val="-4"/>
        </w:rPr>
        <w:t>照《企业会计准则第</w:t>
      </w:r>
      <w:r>
        <w:rPr>
          <w:spacing w:val="-60"/>
        </w:rPr>
        <w:t> </w:t>
      </w:r>
      <w:r>
        <w:rPr>
          <w:rFonts w:ascii="Times New Roman" w:hAnsi="Times New Roman" w:cs="Times New Roman" w:eastAsia="Times New Roman" w:hint="default"/>
        </w:rPr>
        <w:t>22</w:t>
      </w:r>
      <w:r>
        <w:rPr>
          <w:rFonts w:ascii="Times New Roman" w:hAnsi="Times New Roman" w:cs="Times New Roman" w:eastAsia="Times New Roman" w:hint="default"/>
          <w:spacing w:val="-14"/>
        </w:rPr>
        <w:t> </w:t>
      </w:r>
      <w:r>
        <w:rPr/>
        <w:t>号</w:t>
      </w:r>
      <w:r>
        <w:rPr>
          <w:rFonts w:ascii="Times New Roman" w:hAnsi="Times New Roman" w:cs="Times New Roman" w:eastAsia="Times New Roman" w:hint="default"/>
        </w:rPr>
        <w:t>——</w:t>
      </w:r>
      <w:r>
        <w:rPr/>
        <w:t>金融工具确认和计量》确定的原持有股权投资的公允价值加上新增投资成本 之和。</w:t>
      </w:r>
    </w:p>
    <w:p>
      <w:pPr>
        <w:spacing w:line="240" w:lineRule="auto" w:before="5"/>
        <w:rPr>
          <w:rFonts w:ascii="宋体" w:hAnsi="宋体" w:cs="宋体" w:eastAsia="宋体" w:hint="default"/>
          <w:sz w:val="14"/>
          <w:szCs w:val="14"/>
        </w:rPr>
      </w:pPr>
    </w:p>
    <w:p>
      <w:pPr>
        <w:pStyle w:val="BodyText"/>
        <w:spacing w:line="240" w:lineRule="auto"/>
        <w:ind w:left="480" w:right="0"/>
        <w:jc w:val="left"/>
      </w:pPr>
      <w:r>
        <w:rPr>
          <w:rFonts w:ascii="Times New Roman" w:hAnsi="Times New Roman" w:cs="Times New Roman" w:eastAsia="Times New Roman" w:hint="default"/>
        </w:rPr>
        <w:t>2.</w:t>
      </w:r>
      <w:r>
        <w:rPr/>
        <w:t>后续计量及损益确认方法</w:t>
      </w:r>
    </w:p>
    <w:p>
      <w:pPr>
        <w:spacing w:line="240" w:lineRule="auto" w:before="5"/>
        <w:rPr>
          <w:rFonts w:ascii="宋体" w:hAnsi="宋体" w:cs="宋体" w:eastAsia="宋体" w:hint="default"/>
          <w:sz w:val="20"/>
          <w:szCs w:val="20"/>
        </w:rPr>
      </w:pPr>
    </w:p>
    <w:p>
      <w:pPr>
        <w:pStyle w:val="BodyText"/>
        <w:spacing w:line="367" w:lineRule="auto"/>
        <w:ind w:right="202" w:firstLine="359"/>
        <w:jc w:val="both"/>
      </w:pPr>
      <w:r>
        <w:rPr/>
        <w:t>对被投资单位具有共同控制（构成共同经营者除外）或重大影响的长期股权投资，采用权益法核算。 此外，公司财务报表采用成本法核算能够对被投资单位实施控制的长期股权投资。</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t>（</w:t>
      </w:r>
      <w:r>
        <w:rPr>
          <w:rFonts w:ascii="Times New Roman" w:hAnsi="Times New Roman" w:cs="Times New Roman" w:eastAsia="Times New Roman" w:hint="default"/>
        </w:rPr>
        <w:t>1</w:t>
      </w:r>
      <w:r>
        <w:rPr/>
        <w:t>）成本法核算的长期股权投资</w:t>
      </w:r>
    </w:p>
    <w:p>
      <w:pPr>
        <w:spacing w:after="0" w:line="240" w:lineRule="auto"/>
        <w:jc w:val="left"/>
        <w:sectPr>
          <w:pgSz w:w="11910" w:h="16840"/>
          <w:pgMar w:header="0" w:footer="979" w:top="1480" w:bottom="1160" w:left="1680" w:right="1600"/>
        </w:sectPr>
      </w:pPr>
    </w:p>
    <w:p>
      <w:pPr>
        <w:pStyle w:val="BodyText"/>
        <w:spacing w:line="367" w:lineRule="auto" w:before="19"/>
        <w:ind w:right="124" w:firstLine="359"/>
        <w:jc w:val="both"/>
      </w:pPr>
      <w:r>
        <w:rPr/>
        <w:t>采用成本法核算时，长期股权投资按初始投资成本计价，追加或收回投资调整长期股权投资的成本。 除取得投资时实际支付的价款或者对价中包含的已宣告但尚未发放的现金股利或者利润外，当期投资收益</w:t>
      </w:r>
      <w:r>
        <w:rPr>
          <w:spacing w:val="-73"/>
        </w:rPr>
        <w:t> </w:t>
      </w:r>
      <w:r>
        <w:rPr>
          <w:spacing w:val="-73"/>
        </w:rPr>
      </w:r>
      <w:r>
        <w:rPr/>
        <w:t>按照享有被投资单位宣告发放的现金股利或利润确认。</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t>（</w:t>
      </w:r>
      <w:r>
        <w:rPr>
          <w:rFonts w:ascii="Times New Roman" w:hAnsi="Times New Roman" w:cs="Times New Roman" w:eastAsia="Times New Roman" w:hint="default"/>
        </w:rPr>
        <w:t>2</w:t>
      </w:r>
      <w:r>
        <w:rPr/>
        <w:t>）权益法核算的长期股权投资</w:t>
      </w:r>
    </w:p>
    <w:p>
      <w:pPr>
        <w:spacing w:line="240" w:lineRule="auto" w:before="5"/>
        <w:rPr>
          <w:rFonts w:ascii="宋体" w:hAnsi="宋体" w:cs="宋体" w:eastAsia="宋体" w:hint="default"/>
          <w:sz w:val="20"/>
          <w:szCs w:val="20"/>
        </w:rPr>
      </w:pPr>
    </w:p>
    <w:p>
      <w:pPr>
        <w:pStyle w:val="BodyText"/>
        <w:spacing w:line="367" w:lineRule="auto"/>
        <w:ind w:right="124" w:firstLine="359"/>
        <w:jc w:val="both"/>
      </w:pPr>
      <w:r>
        <w:rPr/>
        <w:t>采用权益法核算时，长期股权投资的初始投资成本大于投资时应享有被投资单位可辨认净资产公允价 值份额的，不调整长期股权投资的初始投资成本；初始投资成本小于投资时应享有被投资单位可辨认净资</w:t>
      </w:r>
      <w:r>
        <w:rPr>
          <w:spacing w:val="-73"/>
        </w:rPr>
        <w:t> </w:t>
      </w:r>
      <w:r>
        <w:rPr>
          <w:spacing w:val="-73"/>
        </w:rPr>
      </w:r>
      <w:r>
        <w:rPr/>
        <w:t>产公允价值份额的，其差额计入当期损益，同时调整长期股权投资的成本。</w:t>
      </w:r>
    </w:p>
    <w:p>
      <w:pPr>
        <w:spacing w:line="240" w:lineRule="auto" w:before="2"/>
        <w:rPr>
          <w:rFonts w:ascii="宋体" w:hAnsi="宋体" w:cs="宋体" w:eastAsia="宋体" w:hint="default"/>
          <w:sz w:val="14"/>
          <w:szCs w:val="14"/>
        </w:rPr>
      </w:pPr>
    </w:p>
    <w:p>
      <w:pPr>
        <w:pStyle w:val="BodyText"/>
        <w:spacing w:line="364" w:lineRule="auto"/>
        <w:ind w:right="118" w:firstLine="359"/>
        <w:jc w:val="both"/>
      </w:pPr>
      <w:r>
        <w:rPr/>
        <w:t>采用权益法核算时，按照应享有或应分担的被投资单位实现的净损益和其他综合收益的份额，分别确 认投资收益和其他综合收益，同时调整长期股权投资的账面价值；按照被投资单位宣告分派的利润或现金</w:t>
      </w:r>
      <w:r>
        <w:rPr>
          <w:spacing w:val="-73"/>
        </w:rPr>
        <w:t> </w:t>
      </w:r>
      <w:r>
        <w:rPr>
          <w:spacing w:val="-73"/>
        </w:rPr>
      </w:r>
      <w:r>
        <w:rPr/>
        <w:t>股利计算应享有的部分，相应减少长期股权投资的账面价值；对于被投资单位除净损益、其他综合收益和</w:t>
      </w:r>
      <w:r>
        <w:rPr>
          <w:spacing w:val="-73"/>
        </w:rPr>
        <w:t> </w:t>
      </w:r>
      <w:r>
        <w:rPr>
          <w:spacing w:val="-73"/>
        </w:rPr>
      </w:r>
      <w:r>
        <w:rPr/>
        <w:t>利润分配以外所有者权益的其他变动，调整长期股权投资的账面价值并计入资本公积。在确认应享有被投</w:t>
      </w:r>
      <w:r>
        <w:rPr>
          <w:spacing w:val="-73"/>
        </w:rPr>
        <w:t> </w:t>
      </w:r>
      <w:r>
        <w:rPr>
          <w:spacing w:val="-73"/>
        </w:rPr>
      </w:r>
      <w:r>
        <w:rPr/>
        <w:t>资单位净损益的份额时，以取得投资时被投资单位各项可辨认资产等的公允价值为基础，对被投资单位的</w:t>
      </w:r>
      <w:r>
        <w:rPr>
          <w:spacing w:val="-74"/>
        </w:rPr>
        <w:t> </w:t>
      </w:r>
      <w:r>
        <w:rPr>
          <w:spacing w:val="-74"/>
        </w:rPr>
      </w:r>
      <w:r>
        <w:rPr/>
        <w:t>净利润进行调整后确认。被投资单位采用的会计政策及会计期间与本公司不一致的，按照本公司的会计政</w:t>
      </w:r>
      <w:r>
        <w:rPr>
          <w:spacing w:val="-73"/>
        </w:rPr>
        <w:t> </w:t>
      </w:r>
      <w:r>
        <w:rPr>
          <w:spacing w:val="-73"/>
        </w:rPr>
      </w:r>
      <w:r>
        <w:rPr/>
        <w:t>策及会计期间对被投资单位的财务报表进行调整，并据以确认投资收益和其他综合收益。对于本公司与联</w:t>
      </w:r>
      <w:r>
        <w:rPr>
          <w:spacing w:val="-73"/>
        </w:rPr>
        <w:t> </w:t>
      </w:r>
      <w:r>
        <w:rPr>
          <w:spacing w:val="-73"/>
        </w:rPr>
      </w:r>
      <w:r>
        <w:rPr/>
        <w:t>营企业及合营企业之间发生的交易，投出或出售的资产不构成业务的，未实现内部交易损益按照享有的比</w:t>
      </w:r>
      <w:r>
        <w:rPr>
          <w:spacing w:val="-73"/>
        </w:rPr>
        <w:t> </w:t>
      </w:r>
      <w:r>
        <w:rPr>
          <w:spacing w:val="-73"/>
        </w:rPr>
      </w:r>
      <w:r>
        <w:rPr/>
        <w:t>例计算归属于本公司的部分予以抵销，在此基础上确认投资损益。但本公司与被投资单位发生的未实现内</w:t>
      </w:r>
      <w:r>
        <w:rPr>
          <w:spacing w:val="-73"/>
        </w:rPr>
        <w:t> </w:t>
      </w:r>
      <w:r>
        <w:rPr>
          <w:spacing w:val="-73"/>
        </w:rPr>
      </w:r>
      <w:r>
        <w:rPr/>
        <w:t>部交易损失，属于所转让资产减值损失的，不予以抵销。本公司向合营企业或联营企业投出的资产构成业</w:t>
      </w:r>
      <w:r>
        <w:rPr>
          <w:spacing w:val="-71"/>
        </w:rPr>
        <w:t> </w:t>
      </w:r>
      <w:r>
        <w:rPr>
          <w:spacing w:val="-71"/>
        </w:rPr>
      </w:r>
      <w:r>
        <w:rPr/>
        <w:t>务的，投资方因此取得长期股权投资但未取得控制权的，以投出业务的公允价值作为新增长期股权投资的</w:t>
      </w:r>
      <w:r>
        <w:rPr>
          <w:spacing w:val="-73"/>
        </w:rPr>
        <w:t> </w:t>
      </w:r>
      <w:r>
        <w:rPr>
          <w:spacing w:val="-73"/>
        </w:rPr>
      </w:r>
      <w:r>
        <w:rPr/>
        <w:t>初始投资成本，初始投资成本与投出业务的账面价值之差，全额计入当期损益。本公司向合营企业或联营</w:t>
      </w:r>
      <w:r>
        <w:rPr>
          <w:spacing w:val="-73"/>
        </w:rPr>
        <w:t> </w:t>
      </w:r>
      <w:r>
        <w:rPr>
          <w:spacing w:val="-73"/>
        </w:rPr>
      </w:r>
      <w:r>
        <w:rPr/>
        <w:t>企业出售的资产构成业务的，取得的对价与业务的账面价值之差，全额计入当期损益。本公司自联营企业</w:t>
      </w:r>
      <w:r>
        <w:rPr>
          <w:spacing w:val="-73"/>
        </w:rPr>
        <w:t> </w:t>
      </w:r>
      <w:r>
        <w:rPr>
          <w:spacing w:val="-73"/>
        </w:rPr>
      </w:r>
      <w:r>
        <w:rPr>
          <w:spacing w:val="-2"/>
        </w:rPr>
        <w:t>及合营企业购入的资产构成业务的，按《企业会计准则第</w:t>
      </w:r>
      <w:r>
        <w:rPr>
          <w:spacing w:val="-34"/>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spacing w:val="-2"/>
        </w:rPr>
        <w:t>号</w:t>
      </w:r>
      <w:r>
        <w:rPr>
          <w:rFonts w:ascii="Times New Roman" w:hAnsi="Times New Roman" w:cs="Times New Roman" w:eastAsia="Times New Roman" w:hint="default"/>
          <w:spacing w:val="-2"/>
        </w:rPr>
        <w:t>——</w:t>
      </w:r>
      <w:r>
        <w:rPr>
          <w:spacing w:val="-2"/>
        </w:rPr>
        <w:t>企业合并》的规定进行会计处理，全额</w:t>
      </w:r>
      <w:r>
        <w:rPr>
          <w:spacing w:val="-88"/>
        </w:rPr>
        <w:t> </w:t>
      </w:r>
      <w:r>
        <w:rPr>
          <w:spacing w:val="-88"/>
        </w:rPr>
      </w:r>
      <w:r>
        <w:rPr/>
        <w:t>确认与交易相关的利得或损失。</w:t>
      </w:r>
    </w:p>
    <w:p>
      <w:pPr>
        <w:spacing w:line="240" w:lineRule="auto" w:before="4"/>
        <w:rPr>
          <w:rFonts w:ascii="宋体" w:hAnsi="宋体" w:cs="宋体" w:eastAsia="宋体" w:hint="default"/>
          <w:sz w:val="14"/>
          <w:szCs w:val="14"/>
        </w:rPr>
      </w:pPr>
    </w:p>
    <w:p>
      <w:pPr>
        <w:pStyle w:val="BodyText"/>
        <w:spacing w:line="367" w:lineRule="auto"/>
        <w:ind w:right="120" w:firstLine="359"/>
        <w:jc w:val="both"/>
      </w:pPr>
      <w:r>
        <w:rPr/>
        <w:t>在确认应分担被投资单位发生的净亏损时，以长期股权投资的账面价值和其他实质上构成对被投资单 位净投资的长期权益减记至零为限。此外，如本公司对被投资单位负有承担额外损失的义务，则按预计承</w:t>
      </w:r>
      <w:r>
        <w:rPr>
          <w:spacing w:val="-73"/>
        </w:rPr>
        <w:t> </w:t>
      </w:r>
      <w:r>
        <w:rPr>
          <w:spacing w:val="-73"/>
        </w:rPr>
      </w:r>
      <w:r>
        <w:rPr/>
        <w:t>担的义务确认预计负债，计入当期投资损失。被投资单位以后期间实现净利润的，本公司在收益分享额弥</w:t>
      </w:r>
      <w:r>
        <w:rPr>
          <w:spacing w:val="-73"/>
        </w:rPr>
        <w:t> </w:t>
      </w:r>
      <w:r>
        <w:rPr>
          <w:spacing w:val="-73"/>
        </w:rPr>
      </w:r>
      <w:r>
        <w:rPr/>
        <w:t>补未确认的亏损分担额后，恢复确认收益分享额。</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rFonts w:ascii="Times New Roman" w:hAnsi="Times New Roman" w:cs="Times New Roman" w:eastAsia="Times New Roman" w:hint="default"/>
        </w:rPr>
        <w:t>3.</w:t>
      </w:r>
      <w:r>
        <w:rPr/>
        <w:t>收购少数股权</w:t>
      </w:r>
    </w:p>
    <w:p>
      <w:pPr>
        <w:spacing w:line="240" w:lineRule="auto" w:before="5"/>
        <w:rPr>
          <w:rFonts w:ascii="宋体" w:hAnsi="宋体" w:cs="宋体" w:eastAsia="宋体" w:hint="default"/>
          <w:sz w:val="20"/>
          <w:szCs w:val="20"/>
        </w:rPr>
      </w:pPr>
    </w:p>
    <w:p>
      <w:pPr>
        <w:pStyle w:val="BodyText"/>
        <w:spacing w:line="367" w:lineRule="auto"/>
        <w:ind w:right="124" w:firstLine="359"/>
        <w:jc w:val="both"/>
      </w:pPr>
      <w:r>
        <w:rPr/>
        <w:t>在编制合并财务报表时，因购买少数股权新增的长期股权投资与按照新增持股比例计算应享有子公司 自购买日（或合并日）开始持续计算的净资产份额之间的差额，调整资本公积，资本公积不足冲减的，调</w:t>
      </w:r>
      <w:r>
        <w:rPr>
          <w:spacing w:val="-73"/>
        </w:rPr>
        <w:t> </w:t>
      </w:r>
      <w:r>
        <w:rPr>
          <w:spacing w:val="-73"/>
        </w:rPr>
      </w:r>
      <w:r>
        <w:rPr/>
        <w:t>整留存收益。</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rFonts w:ascii="Times New Roman" w:hAnsi="Times New Roman" w:cs="Times New Roman" w:eastAsia="Times New Roman" w:hint="default"/>
        </w:rPr>
        <w:t>4.</w:t>
      </w:r>
      <w:r>
        <w:rPr/>
        <w:t>长期股权投资的处置</w:t>
      </w:r>
    </w:p>
    <w:p>
      <w:pPr>
        <w:spacing w:line="240" w:lineRule="auto" w:before="5"/>
        <w:rPr>
          <w:rFonts w:ascii="宋体" w:hAnsi="宋体" w:cs="宋体" w:eastAsia="宋体" w:hint="default"/>
          <w:sz w:val="20"/>
          <w:szCs w:val="20"/>
        </w:rPr>
      </w:pPr>
    </w:p>
    <w:p>
      <w:pPr>
        <w:pStyle w:val="BodyText"/>
        <w:spacing w:line="360" w:lineRule="auto"/>
        <w:ind w:right="116" w:firstLine="359"/>
        <w:jc w:val="both"/>
      </w:pPr>
      <w:r>
        <w:rPr/>
        <w:t>在合并财务报表中，母公司在不丧失控制权的情况下部分处置对子公司的长期股权投资，处置价款与 处置长期股权投资相对应享有子公司净资产的差额计入股东权益；母公司部分处置对子公司的长期股权投</w:t>
      </w:r>
      <w:r>
        <w:rPr>
          <w:spacing w:val="-73"/>
        </w:rPr>
        <w:t> </w:t>
      </w:r>
      <w:r>
        <w:rPr>
          <w:spacing w:val="-73"/>
        </w:rPr>
      </w:r>
      <w:r>
        <w:rPr>
          <w:spacing w:val="-5"/>
          <w:w w:val="100"/>
        </w:rPr>
        <w:t>资导致丧失对子公司控制权的，按本附注三、（六）、</w:t>
      </w:r>
      <w:r>
        <w:rPr>
          <w:rFonts w:ascii="Times New Roman" w:hAnsi="Times New Roman" w:cs="Times New Roman" w:eastAsia="Times New Roman" w:hint="default"/>
          <w:spacing w:val="-5"/>
          <w:w w:val="100"/>
        </w:rPr>
        <w:t>2“</w:t>
      </w:r>
      <w:r>
        <w:rPr>
          <w:spacing w:val="-5"/>
          <w:w w:val="100"/>
        </w:rPr>
        <w:t>合并财务报表编制的方法</w:t>
      </w:r>
      <w:r>
        <w:rPr>
          <w:rFonts w:ascii="Times New Roman" w:hAnsi="Times New Roman" w:cs="Times New Roman" w:eastAsia="Times New Roman" w:hint="default"/>
          <w:spacing w:val="-5"/>
          <w:w w:val="100"/>
        </w:rPr>
        <w:t>”</w:t>
      </w:r>
      <w:r>
        <w:rPr>
          <w:spacing w:val="-5"/>
          <w:w w:val="100"/>
        </w:rPr>
        <w:t>中所述的相关会计政策处</w:t>
      </w:r>
      <w:r>
        <w:rPr>
          <w:spacing w:val="-72"/>
          <w:w w:val="100"/>
        </w:rPr>
        <w:t> </w:t>
      </w:r>
      <w:r>
        <w:rPr/>
        <w:t>理。</w:t>
      </w:r>
    </w:p>
    <w:p>
      <w:pPr>
        <w:spacing w:after="0" w:line="360" w:lineRule="auto"/>
        <w:jc w:val="both"/>
        <w:sectPr>
          <w:pgSz w:w="11910" w:h="16840"/>
          <w:pgMar w:header="0" w:footer="979" w:top="1480" w:bottom="1160" w:left="1680" w:right="1680"/>
        </w:sectPr>
      </w:pPr>
    </w:p>
    <w:p>
      <w:pPr>
        <w:pStyle w:val="BodyText"/>
        <w:spacing w:line="367" w:lineRule="auto" w:before="19"/>
        <w:ind w:right="124" w:firstLine="359"/>
        <w:jc w:val="both"/>
      </w:pPr>
      <w:r>
        <w:rPr/>
        <w:t>其他情形下的长期股权投资处置，对于处置的股权，其账面价值与实际取得价款的差额，计入当期损 益。</w:t>
      </w:r>
    </w:p>
    <w:p>
      <w:pPr>
        <w:spacing w:line="240" w:lineRule="auto" w:before="2"/>
        <w:rPr>
          <w:rFonts w:ascii="宋体" w:hAnsi="宋体" w:cs="宋体" w:eastAsia="宋体" w:hint="default"/>
          <w:sz w:val="14"/>
          <w:szCs w:val="14"/>
        </w:rPr>
      </w:pPr>
    </w:p>
    <w:p>
      <w:pPr>
        <w:pStyle w:val="BodyText"/>
        <w:spacing w:line="367" w:lineRule="auto"/>
        <w:ind w:right="113" w:firstLine="359"/>
        <w:jc w:val="both"/>
      </w:pPr>
      <w:r>
        <w:rPr/>
        <w:t>采用权益法核算的长期股权投资，处置后的剩余股权仍采用权益法核算的，在处置时将原计入股东权 </w:t>
      </w:r>
      <w:r>
        <w:rPr>
          <w:spacing w:val="3"/>
        </w:rPr>
        <w:t>益的其他综合收益部分按相应的比例采用与被投资单位直接处置相关资产或负债相同的基础进行会计处</w:t>
      </w:r>
      <w:r>
        <w:rPr>
          <w:spacing w:val="-50"/>
        </w:rPr>
        <w:t> </w:t>
      </w:r>
      <w:r>
        <w:rPr>
          <w:spacing w:val="-50"/>
        </w:rPr>
      </w:r>
      <w:r>
        <w:rPr/>
        <w:t>理。因被投资方除净损益、其他综合收益和利润分配以外的其他所有者权益变动而确认的所有者权益，按</w:t>
      </w:r>
      <w:r>
        <w:rPr>
          <w:spacing w:val="-73"/>
        </w:rPr>
        <w:t> </w:t>
      </w:r>
      <w:r>
        <w:rPr>
          <w:spacing w:val="-73"/>
        </w:rPr>
      </w:r>
      <w:r>
        <w:rPr/>
        <w:t>比例结转入当期损益。</w:t>
      </w:r>
    </w:p>
    <w:p>
      <w:pPr>
        <w:spacing w:line="240" w:lineRule="auto" w:before="2"/>
        <w:rPr>
          <w:rFonts w:ascii="宋体" w:hAnsi="宋体" w:cs="宋体" w:eastAsia="宋体" w:hint="default"/>
          <w:sz w:val="14"/>
          <w:szCs w:val="14"/>
        </w:rPr>
      </w:pPr>
    </w:p>
    <w:p>
      <w:pPr>
        <w:pStyle w:val="BodyText"/>
        <w:spacing w:line="367" w:lineRule="auto"/>
        <w:ind w:right="124" w:firstLine="359"/>
        <w:jc w:val="both"/>
      </w:pPr>
      <w:r>
        <w:rPr/>
        <w:t>采用成本法核算的长期股权投资，处置后剩余股权仍采用成本法核算的，其在取得对被投资单位的控 制之前因采用权益法核算或金融工具确认和计量准则核算而确认的其他综合收益，采用与被投资单位直接</w:t>
      </w:r>
      <w:r>
        <w:rPr>
          <w:spacing w:val="-73"/>
        </w:rPr>
        <w:t> </w:t>
      </w:r>
      <w:r>
        <w:rPr>
          <w:spacing w:val="-73"/>
        </w:rPr>
      </w:r>
      <w:r>
        <w:rPr/>
        <w:t>处置相关资产或负债相同的基础进行会计处理，并按比例结转当期损益；因采用权益法核算而确认的被投</w:t>
      </w:r>
      <w:r>
        <w:rPr>
          <w:spacing w:val="-73"/>
        </w:rPr>
        <w:t> </w:t>
      </w:r>
      <w:r>
        <w:rPr>
          <w:spacing w:val="-73"/>
        </w:rPr>
      </w:r>
      <w:r>
        <w:rPr/>
        <w:t>资单位净资产中除净损益、其他综合收益和利润分配以外的其他所有者权益变动按比例结转当期损益。</w:t>
      </w:r>
    </w:p>
    <w:p>
      <w:pPr>
        <w:spacing w:line="240" w:lineRule="auto" w:before="2"/>
        <w:rPr>
          <w:rFonts w:ascii="宋体" w:hAnsi="宋体" w:cs="宋体" w:eastAsia="宋体" w:hint="default"/>
          <w:sz w:val="14"/>
          <w:szCs w:val="14"/>
        </w:rPr>
      </w:pPr>
    </w:p>
    <w:p>
      <w:pPr>
        <w:pStyle w:val="BodyText"/>
        <w:spacing w:line="367" w:lineRule="auto"/>
        <w:ind w:right="120" w:firstLine="359"/>
        <w:jc w:val="both"/>
      </w:pPr>
      <w:r>
        <w:rPr/>
        <w:t>本公司因处置部分股权投资丧失了对被投资单位的控制的，在编制个别财务报表时，处置后的剩余股 权能够对被投资单位实施共同控制或施加重大影响的，改按权益法核算，并对该剩余股权视同自取得时即</w:t>
      </w:r>
      <w:r>
        <w:rPr>
          <w:spacing w:val="-73"/>
        </w:rPr>
        <w:t> </w:t>
      </w:r>
      <w:r>
        <w:rPr>
          <w:spacing w:val="-73"/>
        </w:rPr>
      </w:r>
      <w:r>
        <w:rPr/>
        <w:t>采用权益法核算进行调整；处置后的剩余股权不能对被投资单位实施共同控制或施加重大影响的，改按金</w:t>
      </w:r>
      <w:r>
        <w:rPr>
          <w:spacing w:val="-73"/>
        </w:rPr>
        <w:t> </w:t>
      </w:r>
      <w:r>
        <w:rPr>
          <w:spacing w:val="-73"/>
        </w:rPr>
      </w:r>
      <w:r>
        <w:rPr/>
        <w:t>融工具确认和计量准则的有关规定进行会计处理，其在丧失控制之日的公允价值与账面价值之间的差额计</w:t>
      </w:r>
      <w:r>
        <w:rPr>
          <w:spacing w:val="-73"/>
        </w:rPr>
        <w:t> </w:t>
      </w:r>
      <w:r>
        <w:rPr>
          <w:spacing w:val="-73"/>
        </w:rPr>
      </w:r>
      <w:r>
        <w:rPr/>
        <w:t>入当期损益。对于本公司取得对被投资单位的控制之前，因采用权益法核算或金融工具确认和计量准则核</w:t>
      </w:r>
      <w:r>
        <w:rPr>
          <w:spacing w:val="-73"/>
        </w:rPr>
        <w:t> </w:t>
      </w:r>
      <w:r>
        <w:rPr>
          <w:spacing w:val="-73"/>
        </w:rPr>
      </w:r>
      <w:r>
        <w:rPr/>
        <w:t>算而确认的其他综合收益，在丧失对被投资单位控制时采用与被投资单位直接处置相关资产或负债相同的</w:t>
      </w:r>
      <w:r>
        <w:rPr>
          <w:spacing w:val="-70"/>
        </w:rPr>
        <w:t> </w:t>
      </w:r>
      <w:r>
        <w:rPr>
          <w:spacing w:val="-70"/>
        </w:rPr>
      </w:r>
      <w:r>
        <w:rPr/>
        <w:t>基础进行会计处理，因采用权益法核算而确认的被投资单位净资产中除净损益、其他综合收益和利润分配</w:t>
      </w:r>
      <w:r>
        <w:rPr>
          <w:spacing w:val="-73"/>
        </w:rPr>
        <w:t> </w:t>
      </w:r>
      <w:r>
        <w:rPr>
          <w:spacing w:val="-73"/>
        </w:rPr>
      </w:r>
      <w:r>
        <w:rPr/>
        <w:t>以外的其他所有者权益变动在丧失对被投资单位控制时结转入当期损益。其中，处置后的剩余股权采用权</w:t>
      </w:r>
      <w:r>
        <w:rPr>
          <w:spacing w:val="-73"/>
        </w:rPr>
        <w:t> </w:t>
      </w:r>
      <w:r>
        <w:rPr>
          <w:spacing w:val="-73"/>
        </w:rPr>
      </w:r>
      <w:r>
        <w:rPr/>
        <w:t>益法核算的，其他综合收益和其他所有者权益按比例结转；处置后的剩余股权改按金融工具确认和计量准</w:t>
      </w:r>
      <w:r>
        <w:rPr>
          <w:spacing w:val="-73"/>
        </w:rPr>
        <w:t> </w:t>
      </w:r>
      <w:r>
        <w:rPr>
          <w:spacing w:val="-73"/>
        </w:rPr>
      </w:r>
      <w:r>
        <w:rPr/>
        <w:t>则进行会计处理的，其他综合收益和其他所有者权益全部结转。</w:t>
      </w:r>
    </w:p>
    <w:p>
      <w:pPr>
        <w:spacing w:line="240" w:lineRule="auto" w:before="2"/>
        <w:rPr>
          <w:rFonts w:ascii="宋体" w:hAnsi="宋体" w:cs="宋体" w:eastAsia="宋体" w:hint="default"/>
          <w:sz w:val="14"/>
          <w:szCs w:val="14"/>
        </w:rPr>
      </w:pPr>
    </w:p>
    <w:p>
      <w:pPr>
        <w:pStyle w:val="BodyText"/>
        <w:spacing w:line="367" w:lineRule="auto"/>
        <w:ind w:right="120" w:firstLine="359"/>
        <w:jc w:val="both"/>
      </w:pPr>
      <w:r>
        <w:rPr/>
        <w:t>本公司因处置部分股权投资丧失了对被投资单位的共同控制或重大影响的，处置后的剩余股权改按金 融工具确认和计量准则核算，其在丧失共同控制或重大影响之日的公允价值与账面价值之间的差额计入当</w:t>
      </w:r>
      <w:r>
        <w:rPr>
          <w:spacing w:val="-70"/>
        </w:rPr>
        <w:t> </w:t>
      </w:r>
      <w:r>
        <w:rPr>
          <w:spacing w:val="-70"/>
        </w:rPr>
      </w:r>
      <w:r>
        <w:rPr/>
        <w:t>期损益。原股权投资因采用权益法核算而确认的其他综合收益，在终止采用权益法核算时采用与被投资单</w:t>
      </w:r>
      <w:r>
        <w:rPr>
          <w:spacing w:val="-73"/>
        </w:rPr>
        <w:t> </w:t>
      </w:r>
      <w:r>
        <w:rPr>
          <w:spacing w:val="-73"/>
        </w:rPr>
      </w:r>
      <w:r>
        <w:rPr/>
        <w:t>位直接处置相关资产或负债相同的基础进行会计处理，因被投资方除净损益、其他综合收益和利润分配以</w:t>
      </w:r>
      <w:r>
        <w:rPr>
          <w:spacing w:val="-73"/>
        </w:rPr>
        <w:t> </w:t>
      </w:r>
      <w:r>
        <w:rPr>
          <w:spacing w:val="-73"/>
        </w:rPr>
      </w:r>
      <w:r>
        <w:rPr/>
        <w:t>外的其他所有者权益变动而确认的所有者权益，在终止采用权益法时全部转入当期投资收益。</w:t>
      </w:r>
    </w:p>
    <w:p>
      <w:pPr>
        <w:spacing w:line="240" w:lineRule="auto" w:before="2"/>
        <w:rPr>
          <w:rFonts w:ascii="宋体" w:hAnsi="宋体" w:cs="宋体" w:eastAsia="宋体" w:hint="default"/>
          <w:sz w:val="14"/>
          <w:szCs w:val="14"/>
        </w:rPr>
      </w:pPr>
    </w:p>
    <w:p>
      <w:pPr>
        <w:pStyle w:val="BodyText"/>
        <w:spacing w:line="367" w:lineRule="auto"/>
        <w:ind w:right="122" w:firstLine="359"/>
        <w:jc w:val="both"/>
      </w:pPr>
      <w:r>
        <w:rPr/>
        <w:t>本公司通过多次交易分步处置对子公司股权投资直至丧失控制权，如果上述交易属于一揽子交易的， 将各项交易作为一项处置子公司股权投资并丧失控制权的交易进行会计处理，在丧失控制权之前每一次处</w:t>
      </w:r>
      <w:r>
        <w:rPr>
          <w:spacing w:val="-73"/>
        </w:rPr>
        <w:t> </w:t>
      </w:r>
      <w:r>
        <w:rPr>
          <w:spacing w:val="-73"/>
        </w:rPr>
      </w:r>
      <w:r>
        <w:rPr/>
        <w:t>置价款与所处置的股权对应的长期股权投资账面价值之间的差额，先确认为其他综合收益，到丧失控制权</w:t>
      </w:r>
      <w:r>
        <w:rPr>
          <w:spacing w:val="-71"/>
        </w:rPr>
        <w:t> </w:t>
      </w:r>
      <w:r>
        <w:rPr>
          <w:spacing w:val="-71"/>
        </w:rPr>
      </w:r>
      <w:r>
        <w:rPr/>
        <w:t>时再一并转入丧失控制权的当期损益。</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t>（十四）投资性房地产</w:t>
      </w:r>
    </w:p>
    <w:p>
      <w:pPr>
        <w:spacing w:line="240" w:lineRule="auto" w:before="6"/>
        <w:rPr>
          <w:rFonts w:ascii="宋体" w:hAnsi="宋体" w:cs="宋体" w:eastAsia="宋体" w:hint="default"/>
          <w:sz w:val="21"/>
          <w:szCs w:val="21"/>
        </w:rPr>
      </w:pPr>
    </w:p>
    <w:p>
      <w:pPr>
        <w:pStyle w:val="BodyText"/>
        <w:spacing w:line="240" w:lineRule="auto"/>
        <w:ind w:left="480" w:right="0"/>
        <w:jc w:val="left"/>
      </w:pPr>
      <w:r>
        <w:rPr>
          <w:rFonts w:ascii="Times New Roman" w:hAnsi="Times New Roman" w:cs="Times New Roman" w:eastAsia="Times New Roman" w:hint="default"/>
        </w:rPr>
        <w:t>1.</w:t>
      </w:r>
      <w:r>
        <w:rPr/>
        <w:t>投资性房地产包括已出租的土地使用权、持有并准备增值后转让的土地使用权和已出租的建筑物。</w:t>
      </w:r>
    </w:p>
    <w:p>
      <w:pPr>
        <w:spacing w:line="240" w:lineRule="auto" w:before="5"/>
        <w:rPr>
          <w:rFonts w:ascii="宋体" w:hAnsi="宋体" w:cs="宋体" w:eastAsia="宋体" w:hint="default"/>
          <w:sz w:val="20"/>
          <w:szCs w:val="20"/>
        </w:rPr>
      </w:pPr>
    </w:p>
    <w:p>
      <w:pPr>
        <w:pStyle w:val="BodyText"/>
        <w:spacing w:line="357" w:lineRule="auto"/>
        <w:ind w:right="122" w:firstLine="359"/>
        <w:jc w:val="both"/>
      </w:pPr>
      <w:r>
        <w:rPr>
          <w:rFonts w:ascii="Times New Roman" w:hAnsi="Times New Roman" w:cs="Times New Roman" w:eastAsia="Times New Roman" w:hint="default"/>
        </w:rPr>
        <w:t>2.</w:t>
      </w:r>
      <w:r>
        <w:rPr/>
        <w:t>投资性房地产按照成本进行初始计量，采用成本模式进行后续计量，并采用与固定资产和无形资产 相同的方法计提折旧或进行摊销。资产负债表日，有迹象表明投资性房地产发生减值的，按照账面价值与</w:t>
      </w:r>
      <w:r>
        <w:rPr>
          <w:spacing w:val="-73"/>
        </w:rPr>
        <w:t> </w:t>
      </w:r>
      <w:r>
        <w:rPr>
          <w:spacing w:val="-73"/>
        </w:rPr>
      </w:r>
      <w:r>
        <w:rPr/>
        <w:t>可收回金额的差额计提相应的减值准备。</w:t>
      </w:r>
    </w:p>
    <w:p>
      <w:pPr>
        <w:spacing w:after="0" w:line="357" w:lineRule="auto"/>
        <w:jc w:val="both"/>
        <w:sectPr>
          <w:pgSz w:w="11910" w:h="16840"/>
          <w:pgMar w:header="0" w:footer="979" w:top="1480" w:bottom="1160" w:left="1680" w:right="1680"/>
        </w:sectPr>
      </w:pPr>
    </w:p>
    <w:p>
      <w:pPr>
        <w:pStyle w:val="BodyText"/>
        <w:spacing w:line="240" w:lineRule="auto" w:before="19"/>
        <w:ind w:left="580" w:right="0"/>
        <w:jc w:val="left"/>
      </w:pPr>
      <w:r>
        <w:rPr/>
        <w:t>（十五）固定资产</w:t>
      </w:r>
    </w:p>
    <w:p>
      <w:pPr>
        <w:pStyle w:val="BodyText"/>
        <w:spacing w:line="500" w:lineRule="atLeast" w:before="29"/>
        <w:ind w:left="580" w:right="0" w:firstLine="91"/>
        <w:jc w:val="left"/>
      </w:pPr>
      <w:r>
        <w:rPr>
          <w:rFonts w:ascii="Times New Roman" w:hAnsi="Times New Roman" w:cs="Times New Roman" w:eastAsia="Times New Roman" w:hint="default"/>
        </w:rPr>
        <w:t>1.</w:t>
      </w:r>
      <w:r>
        <w:rPr/>
        <w:t>固定资产的确认标准 本公司固定资产是指为生产商品、提供劳务、出租或经营管理而持有的，使用寿命超过一个会计年度</w:t>
      </w:r>
    </w:p>
    <w:p>
      <w:pPr>
        <w:pStyle w:val="BodyText"/>
        <w:spacing w:line="240" w:lineRule="auto" w:before="124"/>
        <w:ind w:left="220" w:right="0"/>
        <w:jc w:val="left"/>
      </w:pPr>
      <w:r>
        <w:rPr/>
        <w:t>的有形资产。</w:t>
      </w:r>
    </w:p>
    <w:p>
      <w:pPr>
        <w:spacing w:line="240" w:lineRule="auto" w:before="6"/>
        <w:rPr>
          <w:rFonts w:ascii="宋体" w:hAnsi="宋体" w:cs="宋体" w:eastAsia="宋体" w:hint="default"/>
          <w:sz w:val="21"/>
          <w:szCs w:val="21"/>
        </w:rPr>
      </w:pPr>
    </w:p>
    <w:p>
      <w:pPr>
        <w:pStyle w:val="BodyText"/>
        <w:spacing w:line="367" w:lineRule="auto"/>
        <w:ind w:left="220" w:right="0" w:firstLine="359"/>
        <w:jc w:val="left"/>
      </w:pPr>
      <w:r>
        <w:rPr/>
        <w:t>与该固定资产有关的经济利益很可能流入企业，并且该固定资产的成本能够可靠地计量时，固定资产 才能予以确认。</w:t>
      </w:r>
    </w:p>
    <w:p>
      <w:pPr>
        <w:spacing w:line="240" w:lineRule="auto" w:before="2"/>
        <w:rPr>
          <w:rFonts w:ascii="宋体" w:hAnsi="宋体" w:cs="宋体" w:eastAsia="宋体" w:hint="default"/>
          <w:sz w:val="14"/>
          <w:szCs w:val="14"/>
        </w:rPr>
      </w:pPr>
    </w:p>
    <w:p>
      <w:pPr>
        <w:pStyle w:val="BodyText"/>
        <w:spacing w:line="240" w:lineRule="auto"/>
        <w:ind w:left="671" w:right="0"/>
        <w:jc w:val="left"/>
      </w:pPr>
      <w:r>
        <w:rPr>
          <w:rFonts w:ascii="Times New Roman" w:hAnsi="Times New Roman" w:cs="Times New Roman" w:eastAsia="Times New Roman" w:hint="default"/>
        </w:rPr>
        <w:t>2.</w:t>
      </w:r>
      <w:r>
        <w:rPr/>
        <w:t>固定资产在取得时按发生的实际成本入账。</w:t>
      </w:r>
    </w:p>
    <w:p>
      <w:pPr>
        <w:pStyle w:val="BodyText"/>
        <w:spacing w:line="516" w:lineRule="exact" w:before="65"/>
        <w:ind w:left="580" w:right="0" w:firstLine="91"/>
        <w:jc w:val="left"/>
      </w:pPr>
      <w:r>
        <w:rPr>
          <w:rFonts w:ascii="Times New Roman" w:hAnsi="Times New Roman" w:cs="Times New Roman" w:eastAsia="Times New Roman" w:hint="default"/>
        </w:rPr>
        <w:t>3.</w:t>
      </w:r>
      <w:r>
        <w:rPr/>
        <w:t>固定资产后续支出的核算方法 本公司的固定资产后续支出是指固定资产在使用过程中发生的更新改造支出、修理费用等。 固定资产的更新改造等后续支出，满足上述固定资产确认条件的，应当计入固定资产成本，如有被替</w:t>
      </w:r>
    </w:p>
    <w:p>
      <w:pPr>
        <w:pStyle w:val="BodyText"/>
        <w:spacing w:line="367" w:lineRule="auto" w:before="46"/>
        <w:ind w:left="220" w:right="0"/>
        <w:jc w:val="left"/>
      </w:pPr>
      <w:r>
        <w:rPr/>
        <w:t>换的部分，应扣除其账面价值；不满足上述固定资产确认条件的固定资产修理费用等，应当在发生时计入</w:t>
      </w:r>
      <w:r>
        <w:rPr>
          <w:spacing w:val="-73"/>
        </w:rPr>
        <w:t> </w:t>
      </w:r>
      <w:r>
        <w:rPr>
          <w:spacing w:val="-73"/>
        </w:rPr>
      </w:r>
      <w:r>
        <w:rPr/>
        <w:t>当期损益。</w:t>
      </w:r>
    </w:p>
    <w:p>
      <w:pPr>
        <w:spacing w:line="240" w:lineRule="auto" w:before="2"/>
        <w:rPr>
          <w:rFonts w:ascii="宋体" w:hAnsi="宋体" w:cs="宋体" w:eastAsia="宋体" w:hint="default"/>
          <w:sz w:val="14"/>
          <w:szCs w:val="14"/>
        </w:rPr>
      </w:pPr>
    </w:p>
    <w:p>
      <w:pPr>
        <w:pStyle w:val="BodyText"/>
        <w:spacing w:line="511" w:lineRule="auto"/>
        <w:ind w:left="580" w:right="2486" w:firstLine="91"/>
        <w:jc w:val="left"/>
      </w:pPr>
      <w:r>
        <w:rPr>
          <w:rFonts w:ascii="Times New Roman" w:hAnsi="Times New Roman" w:cs="Times New Roman" w:eastAsia="Times New Roman" w:hint="default"/>
        </w:rPr>
        <w:t>4.</w:t>
      </w:r>
      <w:r>
        <w:rPr/>
        <w:t>固定资产的分类 固定资产主要分为房屋建筑物、机器设备、运输设备、电子设备及其他等。 </w:t>
      </w:r>
      <w:r>
        <w:rPr>
          <w:rFonts w:ascii="Times New Roman" w:hAnsi="Times New Roman" w:cs="Times New Roman" w:eastAsia="Times New Roman" w:hint="default"/>
        </w:rPr>
        <w:t>5.</w:t>
      </w:r>
      <w:r>
        <w:rPr/>
        <w:t>固定资产折旧方法</w:t>
      </w:r>
    </w:p>
    <w:p>
      <w:pPr>
        <w:pStyle w:val="BodyText"/>
        <w:spacing w:line="367" w:lineRule="auto" w:before="41"/>
        <w:ind w:left="220" w:right="0" w:firstLine="359"/>
        <w:jc w:val="left"/>
      </w:pPr>
      <w:r>
        <w:rPr/>
        <w:t>本公司采用年限平均法计提折旧。本公司对未计提减值准备的固定资产，按固定资产类别、预计使用 寿命和预计净残值计提折旧，本公司确定各类固定资产的年折旧率如下：</w:t>
      </w:r>
    </w:p>
    <w:p>
      <w:pPr>
        <w:spacing w:line="240" w:lineRule="auto" w:before="3"/>
        <w:rPr>
          <w:rFonts w:ascii="宋体" w:hAnsi="宋体" w:cs="宋体" w:eastAsia="宋体"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2173"/>
        <w:gridCol w:w="2222"/>
        <w:gridCol w:w="2200"/>
        <w:gridCol w:w="2203"/>
      </w:tblGrid>
      <w:tr>
        <w:trPr>
          <w:trHeight w:val="275" w:hRule="exact"/>
        </w:trPr>
        <w:tc>
          <w:tcPr>
            <w:tcW w:w="2173" w:type="dxa"/>
            <w:tcBorders>
              <w:top w:val="nil" w:sz="6" w:space="0" w:color="auto"/>
              <w:left w:val="nil" w:sz="6" w:space="0" w:color="auto"/>
              <w:bottom w:val="single" w:sz="4" w:space="0" w:color="000000"/>
              <w:right w:val="nil" w:sz="6" w:space="0" w:color="auto"/>
            </w:tcBorders>
          </w:tcPr>
          <w:p>
            <w:pPr>
              <w:pStyle w:val="TableParagraph"/>
              <w:spacing w:line="180" w:lineRule="exact"/>
              <w:ind w:left="736" w:right="0"/>
              <w:jc w:val="left"/>
              <w:rPr>
                <w:rFonts w:ascii="宋体" w:hAnsi="宋体" w:cs="宋体" w:eastAsia="宋体" w:hint="default"/>
                <w:sz w:val="18"/>
                <w:szCs w:val="18"/>
              </w:rPr>
            </w:pPr>
            <w:r>
              <w:rPr>
                <w:rFonts w:ascii="宋体" w:hAnsi="宋体" w:cs="宋体" w:eastAsia="宋体" w:hint="default"/>
                <w:b/>
                <w:bCs/>
                <w:sz w:val="18"/>
                <w:szCs w:val="18"/>
              </w:rPr>
              <w:t>资产类别</w:t>
            </w:r>
            <w:r>
              <w:rPr>
                <w:rFonts w:ascii="宋体" w:hAnsi="宋体" w:cs="宋体" w:eastAsia="宋体" w:hint="default"/>
                <w:sz w:val="18"/>
                <w:szCs w:val="18"/>
              </w:rPr>
            </w:r>
          </w:p>
        </w:tc>
        <w:tc>
          <w:tcPr>
            <w:tcW w:w="2222" w:type="dxa"/>
            <w:tcBorders>
              <w:top w:val="nil" w:sz="6" w:space="0" w:color="auto"/>
              <w:left w:val="nil" w:sz="6" w:space="0" w:color="auto"/>
              <w:bottom w:val="single" w:sz="4" w:space="0" w:color="000000"/>
              <w:right w:val="nil" w:sz="6" w:space="0" w:color="auto"/>
            </w:tcBorders>
          </w:tcPr>
          <w:p>
            <w:pPr>
              <w:pStyle w:val="TableParagraph"/>
              <w:spacing w:line="194" w:lineRule="exact"/>
              <w:ind w:left="491" w:right="0"/>
              <w:jc w:val="left"/>
              <w:rPr>
                <w:rFonts w:ascii="宋体" w:hAnsi="宋体" w:cs="宋体" w:eastAsia="宋体" w:hint="default"/>
                <w:sz w:val="18"/>
                <w:szCs w:val="18"/>
              </w:rPr>
            </w:pPr>
            <w:r>
              <w:rPr>
                <w:rFonts w:ascii="宋体" w:hAnsi="宋体" w:cs="宋体" w:eastAsia="宋体" w:hint="default"/>
                <w:b/>
                <w:bCs/>
                <w:sz w:val="18"/>
                <w:szCs w:val="18"/>
              </w:rPr>
              <w:t>净残值率（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200"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使用年限（年）</w:t>
            </w:r>
            <w:r>
              <w:rPr>
                <w:rFonts w:ascii="宋体" w:hAnsi="宋体" w:cs="宋体" w:eastAsia="宋体" w:hint="default"/>
                <w:sz w:val="18"/>
                <w:szCs w:val="18"/>
              </w:rPr>
            </w:r>
          </w:p>
        </w:tc>
        <w:tc>
          <w:tcPr>
            <w:tcW w:w="2203" w:type="dxa"/>
            <w:tcBorders>
              <w:top w:val="nil" w:sz="6" w:space="0" w:color="auto"/>
              <w:left w:val="nil" w:sz="6" w:space="0" w:color="auto"/>
              <w:bottom w:val="single" w:sz="4" w:space="0" w:color="000000"/>
              <w:right w:val="nil" w:sz="6" w:space="0" w:color="auto"/>
            </w:tcBorders>
          </w:tcPr>
          <w:p>
            <w:pPr>
              <w:pStyle w:val="TableParagraph"/>
              <w:spacing w:line="194" w:lineRule="exact"/>
              <w:ind w:right="3"/>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31" w:hRule="exact"/>
        </w:trPr>
        <w:tc>
          <w:tcPr>
            <w:tcW w:w="217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4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22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40"/>
              <w:jc w:val="center"/>
              <w:rPr>
                <w:rFonts w:ascii="Times New Roman" w:hAnsi="Times New Roman" w:cs="Times New Roman" w:eastAsia="Times New Roman" w:hint="default"/>
                <w:sz w:val="18"/>
                <w:szCs w:val="18"/>
              </w:rPr>
            </w:pPr>
            <w:r>
              <w:rPr>
                <w:rFonts w:ascii="Times New Roman"/>
                <w:sz w:val="18"/>
              </w:rPr>
              <w:t>3</w:t>
            </w:r>
          </w:p>
        </w:tc>
        <w:tc>
          <w:tcPr>
            <w:tcW w:w="220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p>
        </w:tc>
        <w:tc>
          <w:tcPr>
            <w:tcW w:w="220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sz w:val="18"/>
              </w:rPr>
              <w:t>2.43-4.85</w:t>
            </w:r>
          </w:p>
        </w:tc>
      </w:tr>
      <w:tr>
        <w:trPr>
          <w:trHeight w:val="400"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0"/>
              <w:jc w:val="center"/>
              <w:rPr>
                <w:rFonts w:ascii="Times New Roman" w:hAnsi="Times New Roman" w:cs="Times New Roman" w:eastAsia="Times New Roman" w:hint="default"/>
                <w:sz w:val="18"/>
                <w:szCs w:val="18"/>
              </w:rPr>
            </w:pPr>
            <w:r>
              <w:rPr>
                <w:rFonts w:ascii="Times New Roman"/>
                <w:sz w:val="18"/>
              </w:rPr>
              <w:t>3</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5</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19.40</w:t>
            </w:r>
          </w:p>
        </w:tc>
      </w:tr>
      <w:tr>
        <w:trPr>
          <w:trHeight w:val="400"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3-10</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4-5</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18.00-24.25</w:t>
            </w:r>
          </w:p>
        </w:tc>
      </w:tr>
      <w:tr>
        <w:trPr>
          <w:trHeight w:val="295"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9"/>
              <w:jc w:val="center"/>
              <w:rPr>
                <w:rFonts w:ascii="Times New Roman" w:hAnsi="Times New Roman" w:cs="Times New Roman" w:eastAsia="Times New Roman" w:hint="default"/>
                <w:sz w:val="18"/>
                <w:szCs w:val="18"/>
              </w:rPr>
            </w:pPr>
            <w:r>
              <w:rPr>
                <w:rFonts w:ascii="Times New Roman"/>
                <w:sz w:val="18"/>
              </w:rPr>
              <w:t>3-5</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3-5</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19.00-32.33</w:t>
            </w:r>
          </w:p>
        </w:tc>
      </w:tr>
    </w:tbl>
    <w:p>
      <w:pPr>
        <w:spacing w:line="240" w:lineRule="auto" w:before="13"/>
        <w:rPr>
          <w:rFonts w:ascii="宋体" w:hAnsi="宋体" w:cs="宋体" w:eastAsia="宋体" w:hint="default"/>
          <w:sz w:val="29"/>
          <w:szCs w:val="29"/>
        </w:rPr>
      </w:pPr>
    </w:p>
    <w:p>
      <w:pPr>
        <w:pStyle w:val="BodyText"/>
        <w:spacing w:line="367" w:lineRule="auto" w:before="44"/>
        <w:ind w:left="220" w:right="504" w:firstLine="359"/>
        <w:jc w:val="both"/>
      </w:pPr>
      <w:r>
        <w:rPr/>
        <w:t>在使用年限内变更预计折旧年限或预计净残值率，以及已计提减值准备的固定资产，按照该固定资产 的账面价值以及尚可使用寿命重新计算确定折旧率和折旧额。因固定资产减值准备而调整固定资产折旧额</w:t>
      </w:r>
      <w:r>
        <w:rPr>
          <w:spacing w:val="-73"/>
        </w:rPr>
        <w:t> </w:t>
      </w:r>
      <w:r>
        <w:rPr>
          <w:spacing w:val="-73"/>
        </w:rPr>
      </w:r>
      <w:r>
        <w:rPr/>
        <w:t>时，对此前已计提的累计折旧不作调整。</w:t>
      </w:r>
    </w:p>
    <w:p>
      <w:pPr>
        <w:spacing w:line="240" w:lineRule="auto" w:before="2"/>
        <w:rPr>
          <w:rFonts w:ascii="宋体" w:hAnsi="宋体" w:cs="宋体" w:eastAsia="宋体" w:hint="default"/>
          <w:sz w:val="14"/>
          <w:szCs w:val="14"/>
        </w:rPr>
      </w:pPr>
    </w:p>
    <w:p>
      <w:pPr>
        <w:pStyle w:val="BodyText"/>
        <w:spacing w:line="240" w:lineRule="auto"/>
        <w:ind w:left="671" w:right="0"/>
        <w:jc w:val="left"/>
      </w:pPr>
      <w:r>
        <w:rPr>
          <w:rFonts w:ascii="Times New Roman" w:hAnsi="Times New Roman" w:cs="Times New Roman" w:eastAsia="Times New Roman" w:hint="default"/>
        </w:rPr>
        <w:t>6.</w:t>
      </w:r>
      <w:r>
        <w:rPr/>
        <w:t>固定资产减值准备</w:t>
      </w:r>
    </w:p>
    <w:p>
      <w:pPr>
        <w:spacing w:line="240" w:lineRule="auto" w:before="5"/>
        <w:rPr>
          <w:rFonts w:ascii="宋体" w:hAnsi="宋体" w:cs="宋体" w:eastAsia="宋体" w:hint="default"/>
          <w:sz w:val="20"/>
          <w:szCs w:val="20"/>
        </w:rPr>
      </w:pPr>
    </w:p>
    <w:p>
      <w:pPr>
        <w:pStyle w:val="BodyText"/>
        <w:spacing w:line="367" w:lineRule="auto"/>
        <w:ind w:left="220" w:right="0" w:firstLine="359"/>
        <w:jc w:val="left"/>
      </w:pPr>
      <w:r>
        <w:rPr>
          <w:spacing w:val="-2"/>
        </w:rPr>
        <w:t>本公司在资产负债表日判断资产是否存在可能发生减值的迹象，如由于市价大幅度下跌，或陈旧过时、</w:t>
      </w:r>
      <w:r>
        <w:rPr/>
        <w:t> 损坏、长期闲置等原因导致其可收回金额低于账面价值的，按单项固定资产可收回金额低于账面价值的差</w:t>
      </w:r>
      <w:r>
        <w:rPr>
          <w:spacing w:val="-73"/>
        </w:rPr>
        <w:t> </w:t>
      </w:r>
      <w:r>
        <w:rPr>
          <w:spacing w:val="-73"/>
        </w:rPr>
      </w:r>
      <w:r>
        <w:rPr/>
        <w:t>额计提固定资产减值准备。固定资产减值损失一经确认，在以后会计期间不得转回。</w:t>
      </w:r>
    </w:p>
    <w:p>
      <w:pPr>
        <w:spacing w:line="240" w:lineRule="auto" w:before="2"/>
        <w:rPr>
          <w:rFonts w:ascii="宋体" w:hAnsi="宋体" w:cs="宋体" w:eastAsia="宋体" w:hint="default"/>
          <w:sz w:val="14"/>
          <w:szCs w:val="14"/>
        </w:rPr>
      </w:pPr>
    </w:p>
    <w:p>
      <w:pPr>
        <w:pStyle w:val="BodyText"/>
        <w:spacing w:line="240" w:lineRule="auto"/>
        <w:ind w:left="580" w:right="0"/>
        <w:jc w:val="left"/>
      </w:pPr>
      <w:r>
        <w:rPr/>
        <w:t>（十六）在建工程</w:t>
      </w:r>
    </w:p>
    <w:p>
      <w:pPr>
        <w:spacing w:after="0" w:line="240" w:lineRule="auto"/>
        <w:jc w:val="left"/>
        <w:sectPr>
          <w:pgSz w:w="11910" w:h="16840"/>
          <w:pgMar w:header="0" w:footer="979" w:top="1480" w:bottom="1160" w:left="1580" w:right="1300"/>
        </w:sectPr>
      </w:pPr>
    </w:p>
    <w:p>
      <w:pPr>
        <w:pStyle w:val="BodyText"/>
        <w:spacing w:line="357" w:lineRule="auto" w:before="19"/>
        <w:ind w:right="121" w:firstLine="359"/>
        <w:jc w:val="both"/>
      </w:pPr>
      <w:r>
        <w:rPr>
          <w:rFonts w:ascii="Times New Roman" w:hAnsi="Times New Roman" w:cs="Times New Roman" w:eastAsia="Times New Roman" w:hint="default"/>
        </w:rPr>
        <w:t>1.</w:t>
      </w:r>
      <w:r>
        <w:rPr/>
        <w:t>在建工程达到预定可使用状态时，按工程实际成本转入固定资产。已达到预定可使用状态但尚未办 理竣工决算的，先按估计价值转入固定资产，待办理竣工决算后再按实际成本调整原暂估价值，但不再调</w:t>
      </w:r>
      <w:r>
        <w:rPr>
          <w:spacing w:val="-73"/>
        </w:rPr>
        <w:t> </w:t>
      </w:r>
      <w:r>
        <w:rPr>
          <w:spacing w:val="-73"/>
        </w:rPr>
      </w:r>
      <w:r>
        <w:rPr/>
        <w:t>整原已计提的折旧。</w:t>
      </w:r>
    </w:p>
    <w:p>
      <w:pPr>
        <w:spacing w:line="240" w:lineRule="auto" w:before="9"/>
        <w:rPr>
          <w:rFonts w:ascii="宋体" w:hAnsi="宋体" w:cs="宋体" w:eastAsia="宋体" w:hint="default"/>
          <w:sz w:val="14"/>
          <w:szCs w:val="14"/>
        </w:rPr>
      </w:pPr>
    </w:p>
    <w:p>
      <w:pPr>
        <w:pStyle w:val="BodyText"/>
        <w:spacing w:line="345" w:lineRule="auto"/>
        <w:ind w:right="122" w:firstLine="359"/>
        <w:jc w:val="both"/>
      </w:pPr>
      <w:r>
        <w:rPr>
          <w:rFonts w:ascii="Times New Roman" w:hAnsi="Times New Roman" w:cs="Times New Roman" w:eastAsia="Times New Roman" w:hint="default"/>
        </w:rPr>
        <w:t>2.</w:t>
      </w:r>
      <w:r>
        <w:rPr/>
        <w:t>资产负债表日，有迹象表明在建工程发生减值的，按照账面价值与可收回金额的差额计提相应的减 值准备。</w:t>
      </w:r>
    </w:p>
    <w:p>
      <w:pPr>
        <w:spacing w:line="240" w:lineRule="auto" w:before="5"/>
        <w:rPr>
          <w:rFonts w:ascii="宋体" w:hAnsi="宋体" w:cs="宋体" w:eastAsia="宋体" w:hint="default"/>
          <w:sz w:val="15"/>
          <w:szCs w:val="15"/>
        </w:rPr>
      </w:pPr>
    </w:p>
    <w:p>
      <w:pPr>
        <w:pStyle w:val="BodyText"/>
        <w:spacing w:line="240" w:lineRule="auto"/>
        <w:ind w:left="480" w:right="0"/>
        <w:jc w:val="left"/>
      </w:pPr>
      <w:r>
        <w:rPr/>
        <w:t>（十七）商誉</w:t>
      </w:r>
    </w:p>
    <w:p>
      <w:pPr>
        <w:spacing w:line="240" w:lineRule="auto" w:before="6"/>
        <w:rPr>
          <w:rFonts w:ascii="宋体" w:hAnsi="宋体" w:cs="宋体" w:eastAsia="宋体" w:hint="default"/>
          <w:sz w:val="21"/>
          <w:szCs w:val="21"/>
        </w:rPr>
      </w:pPr>
    </w:p>
    <w:p>
      <w:pPr>
        <w:pStyle w:val="BodyText"/>
        <w:spacing w:line="367" w:lineRule="auto"/>
        <w:ind w:right="124" w:firstLine="359"/>
        <w:jc w:val="both"/>
      </w:pPr>
      <w:r>
        <w:rPr/>
        <w:t>商誉为股权投资成本超过应享有的被投资单位于投资取得日的公允价值份额的差额，或者为非同一控 制下企业合并成本超过企业合并中取得的被购买方可辨认净资产于购买日的公允价值份额的差额。</w:t>
      </w:r>
    </w:p>
    <w:p>
      <w:pPr>
        <w:spacing w:line="240" w:lineRule="auto" w:before="2"/>
        <w:rPr>
          <w:rFonts w:ascii="宋体" w:hAnsi="宋体" w:cs="宋体" w:eastAsia="宋体" w:hint="default"/>
          <w:sz w:val="14"/>
          <w:szCs w:val="14"/>
        </w:rPr>
      </w:pPr>
    </w:p>
    <w:p>
      <w:pPr>
        <w:pStyle w:val="BodyText"/>
        <w:spacing w:line="367" w:lineRule="auto"/>
        <w:ind w:right="123" w:firstLine="359"/>
        <w:jc w:val="both"/>
      </w:pPr>
      <w:r>
        <w:rPr/>
        <w:t>企业合并形成的商誉在合并财务报表上单独列示。购买联营企业和合营企业股权投资成本超过投资时 应享有被投资单位的公允价值份额的差额，包含于长期股权投资。</w:t>
      </w:r>
    </w:p>
    <w:p>
      <w:pPr>
        <w:spacing w:line="240" w:lineRule="auto" w:before="2"/>
        <w:rPr>
          <w:rFonts w:ascii="宋体" w:hAnsi="宋体" w:cs="宋体" w:eastAsia="宋体" w:hint="default"/>
          <w:sz w:val="14"/>
          <w:szCs w:val="14"/>
        </w:rPr>
      </w:pPr>
    </w:p>
    <w:p>
      <w:pPr>
        <w:pStyle w:val="BodyText"/>
        <w:spacing w:line="367" w:lineRule="auto"/>
        <w:ind w:right="124" w:firstLine="359"/>
        <w:jc w:val="both"/>
      </w:pPr>
      <w:r>
        <w:rPr/>
        <w:t>企业合并形成的商誉每年进行减值测试。减值测试时，商誉的账面价值根据企业合并的协同效应分摊 至受益的资产组或资产组组合。期末商誉按成本减去累计减值损失后的净额列示。</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t>（十八）借款费用</w:t>
      </w:r>
    </w:p>
    <w:p>
      <w:pPr>
        <w:pStyle w:val="BodyText"/>
        <w:spacing w:line="500" w:lineRule="atLeast" w:before="29"/>
        <w:ind w:left="480" w:right="0"/>
        <w:jc w:val="left"/>
      </w:pPr>
      <w:r>
        <w:rPr>
          <w:rFonts w:ascii="Times New Roman" w:hAnsi="Times New Roman" w:cs="Times New Roman" w:eastAsia="Times New Roman" w:hint="default"/>
        </w:rPr>
        <w:t>1.</w:t>
      </w:r>
      <w:r>
        <w:rPr/>
        <w:t>借款费用资本化的确认原则 公司发生的借款费用，可直接归属于符合资本化条件的资产的购建或者生产的，予以资本化，计入相</w:t>
      </w:r>
    </w:p>
    <w:p>
      <w:pPr>
        <w:pStyle w:val="BodyText"/>
        <w:spacing w:line="240" w:lineRule="auto" w:before="125"/>
        <w:ind w:right="0"/>
        <w:jc w:val="left"/>
      </w:pPr>
      <w:r>
        <w:rPr/>
        <w:t>关资产成本；其他借款费用，在发生时确认为费用，计入当期损益。</w:t>
      </w:r>
    </w:p>
    <w:p>
      <w:pPr>
        <w:spacing w:line="240" w:lineRule="auto" w:before="6"/>
        <w:rPr>
          <w:rFonts w:ascii="宋体" w:hAnsi="宋体" w:cs="宋体" w:eastAsia="宋体" w:hint="default"/>
          <w:sz w:val="21"/>
          <w:szCs w:val="21"/>
        </w:rPr>
      </w:pPr>
    </w:p>
    <w:p>
      <w:pPr>
        <w:pStyle w:val="BodyText"/>
        <w:spacing w:line="240" w:lineRule="auto"/>
        <w:ind w:left="480" w:right="0"/>
        <w:jc w:val="left"/>
      </w:pPr>
      <w:r>
        <w:rPr>
          <w:rFonts w:ascii="Times New Roman" w:hAnsi="Times New Roman" w:cs="Times New Roman" w:eastAsia="Times New Roman" w:hint="default"/>
        </w:rPr>
        <w:t>2.</w:t>
      </w:r>
      <w:r>
        <w:rPr/>
        <w:t>借款费用资本化期间</w:t>
      </w:r>
    </w:p>
    <w:p>
      <w:pPr>
        <w:spacing w:line="240" w:lineRule="auto" w:before="5"/>
        <w:rPr>
          <w:rFonts w:ascii="宋体" w:hAnsi="宋体" w:cs="宋体" w:eastAsia="宋体" w:hint="default"/>
          <w:sz w:val="20"/>
          <w:szCs w:val="20"/>
        </w:rPr>
      </w:pPr>
    </w:p>
    <w:p>
      <w:pPr>
        <w:pStyle w:val="BodyText"/>
        <w:spacing w:line="240" w:lineRule="auto"/>
        <w:ind w:left="480" w:right="0"/>
        <w:jc w:val="left"/>
      </w:pPr>
      <w:r>
        <w:rPr/>
        <w:t>（</w:t>
      </w:r>
      <w:r>
        <w:rPr>
          <w:rFonts w:ascii="Times New Roman" w:hAnsi="Times New Roman" w:cs="Times New Roman" w:eastAsia="Times New Roman" w:hint="default"/>
        </w:rPr>
        <w:t>1</w:t>
      </w:r>
      <w:r>
        <w:rPr/>
        <w:t>）当借款费用同时满足下列条件时，开始资本化：</w:t>
      </w:r>
      <w:r>
        <w:rPr>
          <w:rFonts w:ascii="Times New Roman" w:hAnsi="Times New Roman" w:cs="Times New Roman" w:eastAsia="Times New Roman" w:hint="default"/>
        </w:rPr>
        <w:t>1</w:t>
      </w:r>
      <w:r>
        <w:rPr/>
        <w:t>）资产支出已经发生；</w:t>
      </w:r>
      <w:r>
        <w:rPr>
          <w:rFonts w:ascii="Times New Roman" w:hAnsi="Times New Roman" w:cs="Times New Roman" w:eastAsia="Times New Roman" w:hint="default"/>
        </w:rPr>
        <w:t>2</w:t>
      </w:r>
      <w:r>
        <w:rPr/>
        <w:t>）借款费用已经发生；</w:t>
      </w:r>
    </w:p>
    <w:p>
      <w:pPr>
        <w:pStyle w:val="BodyText"/>
        <w:spacing w:line="240" w:lineRule="auto" w:before="111"/>
        <w:ind w:right="0"/>
        <w:jc w:val="left"/>
      </w:pPr>
      <w:r>
        <w:rPr>
          <w:rFonts w:ascii="Times New Roman" w:hAnsi="Times New Roman" w:cs="Times New Roman" w:eastAsia="Times New Roman" w:hint="default"/>
        </w:rPr>
        <w:t>3</w:t>
      </w:r>
      <w:r>
        <w:rPr/>
        <w:t>）为使资产达到预定可使用或可销售状态所必要的购建或者生产活动已经开始。</w:t>
      </w:r>
    </w:p>
    <w:p>
      <w:pPr>
        <w:spacing w:line="240" w:lineRule="auto" w:before="5"/>
        <w:rPr>
          <w:rFonts w:ascii="宋体" w:hAnsi="宋体" w:cs="宋体" w:eastAsia="宋体" w:hint="default"/>
          <w:sz w:val="20"/>
          <w:szCs w:val="20"/>
        </w:rPr>
      </w:pPr>
    </w:p>
    <w:p>
      <w:pPr>
        <w:pStyle w:val="BodyText"/>
        <w:spacing w:line="357" w:lineRule="auto"/>
        <w:ind w:right="116" w:firstLine="359"/>
        <w:jc w:val="both"/>
      </w:pPr>
      <w:r>
        <w:rPr/>
        <w:t>（</w:t>
      </w:r>
      <w:r>
        <w:rPr>
          <w:rFonts w:ascii="Times New Roman" w:hAnsi="Times New Roman" w:cs="Times New Roman" w:eastAsia="Times New Roman" w:hint="default"/>
        </w:rPr>
        <w:t>2</w:t>
      </w:r>
      <w:r>
        <w:rPr/>
        <w:t>）若符合资本化条件的资产在购建或者生产过程中发生非正常中断，并且中断时间连续超过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个 月，暂停借款费用的资本化；中断期间发生的借款费用确认为当期费用，直至资产的购建或者生产活动重</w:t>
      </w:r>
      <w:r>
        <w:rPr>
          <w:spacing w:val="-73"/>
        </w:rPr>
        <w:t> </w:t>
      </w:r>
      <w:r>
        <w:rPr>
          <w:spacing w:val="-73"/>
        </w:rPr>
      </w:r>
      <w:r>
        <w:rPr/>
        <w:t>新开始。</w:t>
      </w:r>
    </w:p>
    <w:p>
      <w:pPr>
        <w:spacing w:line="240" w:lineRule="auto" w:before="10"/>
        <w:rPr>
          <w:rFonts w:ascii="宋体" w:hAnsi="宋体" w:cs="宋体" w:eastAsia="宋体" w:hint="default"/>
          <w:sz w:val="14"/>
          <w:szCs w:val="14"/>
        </w:rPr>
      </w:pPr>
    </w:p>
    <w:p>
      <w:pPr>
        <w:pStyle w:val="BodyText"/>
        <w:spacing w:line="345" w:lineRule="auto"/>
        <w:ind w:right="116" w:firstLine="359"/>
        <w:jc w:val="both"/>
      </w:pPr>
      <w:r>
        <w:rPr>
          <w:spacing w:val="2"/>
        </w:rPr>
        <w:t>（</w:t>
      </w:r>
      <w:r>
        <w:rPr>
          <w:rFonts w:ascii="Times New Roman" w:hAnsi="Times New Roman" w:cs="Times New Roman" w:eastAsia="Times New Roman" w:hint="default"/>
          <w:spacing w:val="2"/>
        </w:rPr>
        <w:t>3</w:t>
      </w:r>
      <w:r>
        <w:rPr>
          <w:spacing w:val="2"/>
        </w:rPr>
        <w:t>）当所购建或者生产符合资本化条件的资产达到预定可使用或可销售状态时，借款费用停止资本 </w:t>
      </w:r>
      <w:r>
        <w:rPr/>
        <w:t>化。</w:t>
      </w:r>
    </w:p>
    <w:p>
      <w:pPr>
        <w:spacing w:line="240" w:lineRule="auto" w:before="5"/>
        <w:rPr>
          <w:rFonts w:ascii="宋体" w:hAnsi="宋体" w:cs="宋体" w:eastAsia="宋体" w:hint="default"/>
          <w:sz w:val="15"/>
          <w:szCs w:val="15"/>
        </w:rPr>
      </w:pPr>
    </w:p>
    <w:p>
      <w:pPr>
        <w:pStyle w:val="BodyText"/>
        <w:spacing w:line="240" w:lineRule="auto"/>
        <w:ind w:left="480" w:right="0"/>
        <w:jc w:val="left"/>
      </w:pPr>
      <w:r>
        <w:rPr>
          <w:rFonts w:ascii="Times New Roman" w:hAnsi="Times New Roman" w:cs="Times New Roman" w:eastAsia="Times New Roman" w:hint="default"/>
        </w:rPr>
        <w:t>3.</w:t>
      </w:r>
      <w:r>
        <w:rPr/>
        <w:t>借款费用资本化金额</w:t>
      </w:r>
    </w:p>
    <w:p>
      <w:pPr>
        <w:spacing w:line="240" w:lineRule="auto" w:before="5"/>
        <w:rPr>
          <w:rFonts w:ascii="宋体" w:hAnsi="宋体" w:cs="宋体" w:eastAsia="宋体" w:hint="default"/>
          <w:sz w:val="20"/>
          <w:szCs w:val="20"/>
        </w:rPr>
      </w:pPr>
    </w:p>
    <w:p>
      <w:pPr>
        <w:pStyle w:val="BodyText"/>
        <w:spacing w:line="367" w:lineRule="auto"/>
        <w:ind w:right="122" w:firstLine="359"/>
        <w:jc w:val="both"/>
      </w:pPr>
      <w:r>
        <w:rPr/>
        <w:t>为购建或者生产符合资本化条件的资产而借入专门借款的，以专门借款当期实际发生的利息费用（包 括按照实际利率法确定的折价或溢价的摊销），减去将尚未动用的借款资金存入银行取得的利息收入或进</w:t>
      </w:r>
      <w:r>
        <w:rPr>
          <w:spacing w:val="-73"/>
        </w:rPr>
        <w:t> </w:t>
      </w:r>
      <w:r>
        <w:rPr>
          <w:spacing w:val="-73"/>
        </w:rPr>
      </w:r>
      <w:r>
        <w:rPr/>
        <w:t>行暂时性投资取得的投资收益后的金额，确定应予资本化的利息金额；为购建或者生产符合资本化条件的</w:t>
      </w:r>
      <w:r>
        <w:rPr>
          <w:spacing w:val="-73"/>
        </w:rPr>
        <w:t> </w:t>
      </w:r>
      <w:r>
        <w:rPr>
          <w:spacing w:val="-73"/>
        </w:rPr>
      </w:r>
      <w:r>
        <w:rPr/>
        <w:t>资产占用了一般借款的，根据累计资产支出超过专门借款的资产支出加权平均数乘以占用一般借款的资本</w:t>
      </w:r>
      <w:r>
        <w:rPr>
          <w:spacing w:val="-73"/>
        </w:rPr>
        <w:t> </w:t>
      </w:r>
      <w:r>
        <w:rPr>
          <w:spacing w:val="-73"/>
        </w:rPr>
      </w:r>
      <w:r>
        <w:rPr/>
        <w:t>化率，计算确定一般借款应予资本化的利息金额。</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t>（十九）无形资产</w:t>
      </w:r>
    </w:p>
    <w:p>
      <w:pPr>
        <w:spacing w:after="0" w:line="240" w:lineRule="auto"/>
        <w:jc w:val="left"/>
        <w:sectPr>
          <w:pgSz w:w="11910" w:h="16840"/>
          <w:pgMar w:header="0" w:footer="979" w:top="1480" w:bottom="1160" w:left="1680" w:right="1680"/>
        </w:sectPr>
      </w:pPr>
    </w:p>
    <w:p>
      <w:pPr>
        <w:pStyle w:val="BodyText"/>
        <w:spacing w:line="496" w:lineRule="auto" w:before="19"/>
        <w:ind w:left="480" w:right="0"/>
        <w:jc w:val="left"/>
      </w:pPr>
      <w:r>
        <w:rPr>
          <w:rFonts w:ascii="Times New Roman" w:hAnsi="Times New Roman" w:cs="Times New Roman" w:eastAsia="Times New Roman" w:hint="default"/>
        </w:rPr>
        <w:t>1.</w:t>
      </w:r>
      <w:r>
        <w:rPr/>
        <w:t>无形资产的计价方法 本公司无形资产按照取得时的实际成本进行初始计量，并于取得无形资产时分析判断其使用寿命。</w:t>
      </w:r>
    </w:p>
    <w:p>
      <w:pPr>
        <w:pStyle w:val="BodyText"/>
        <w:spacing w:line="367" w:lineRule="auto" w:before="88"/>
        <w:ind w:right="123" w:firstLine="359"/>
        <w:jc w:val="both"/>
      </w:pPr>
      <w:r>
        <w:rPr/>
        <w:t>使用寿命为有限的，自无形资产可供使用时起，采用能反映与该资产有关的经济利益的预期实现方式 的摊销方法，在预计使用年限内摊销；无法可靠确定预期实现方式的，采用直线法在预计使用年限内分期</w:t>
      </w:r>
      <w:r>
        <w:rPr>
          <w:spacing w:val="-73"/>
        </w:rPr>
        <w:t> </w:t>
      </w:r>
      <w:r>
        <w:rPr>
          <w:spacing w:val="-73"/>
        </w:rPr>
      </w:r>
      <w:r>
        <w:rPr/>
        <w:t>摊销。</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rFonts w:ascii="Times New Roman" w:hAnsi="Times New Roman" w:cs="Times New Roman" w:eastAsia="Times New Roman" w:hint="default"/>
        </w:rPr>
        <w:t>2.</w:t>
      </w:r>
      <w:r>
        <w:rPr/>
        <w:t>无形资产使用寿命及摊销</w:t>
      </w:r>
    </w:p>
    <w:p>
      <w:pPr>
        <w:spacing w:line="240" w:lineRule="auto" w:before="5"/>
        <w:rPr>
          <w:rFonts w:ascii="宋体" w:hAnsi="宋体" w:cs="宋体" w:eastAsia="宋体" w:hint="default"/>
          <w:sz w:val="20"/>
          <w:szCs w:val="20"/>
        </w:rPr>
      </w:pPr>
    </w:p>
    <w:p>
      <w:pPr>
        <w:pStyle w:val="BodyText"/>
        <w:spacing w:line="357" w:lineRule="auto"/>
        <w:ind w:right="109" w:firstLine="359"/>
        <w:jc w:val="both"/>
      </w:pPr>
      <w:r>
        <w:rPr>
          <w:rFonts w:ascii="Times New Roman" w:hAnsi="Times New Roman" w:cs="Times New Roman" w:eastAsia="Times New Roman" w:hint="default"/>
        </w:rPr>
        <w:t>A</w:t>
      </w:r>
      <w:r>
        <w:rPr/>
        <w:t>、来源于合同性权利或其它法定权利的无形资产，其使用寿命不超过合同性权利或其它法定权利的</w:t>
      </w:r>
      <w:r>
        <w:rPr>
          <w:spacing w:val="2"/>
        </w:rPr>
        <w:t> </w:t>
      </w:r>
      <w:r>
        <w:rPr/>
        <w:t>期限；如果合同性权利或其它法定权利能够在到期时因续约等延续，且有证据表明企业续约不需要付出大</w:t>
      </w:r>
      <w:r>
        <w:rPr>
          <w:spacing w:val="-73"/>
        </w:rPr>
        <w:t> </w:t>
      </w:r>
      <w:r>
        <w:rPr>
          <w:spacing w:val="-73"/>
        </w:rPr>
      </w:r>
      <w:r>
        <w:rPr/>
        <w:t>额成本，续约期计入使用寿命。</w:t>
      </w:r>
    </w:p>
    <w:p>
      <w:pPr>
        <w:spacing w:line="240" w:lineRule="auto" w:before="9"/>
        <w:rPr>
          <w:rFonts w:ascii="宋体" w:hAnsi="宋体" w:cs="宋体" w:eastAsia="宋体" w:hint="default"/>
          <w:sz w:val="14"/>
          <w:szCs w:val="14"/>
        </w:rPr>
      </w:pPr>
    </w:p>
    <w:p>
      <w:pPr>
        <w:pStyle w:val="BodyText"/>
        <w:spacing w:line="345" w:lineRule="auto"/>
        <w:ind w:right="112" w:firstLine="359"/>
        <w:jc w:val="both"/>
      </w:pPr>
      <w:r>
        <w:rPr>
          <w:rFonts w:ascii="Times New Roman" w:hAnsi="Times New Roman" w:cs="Times New Roman" w:eastAsia="Times New Roman" w:hint="default"/>
        </w:rPr>
        <w:t>B</w:t>
      </w:r>
      <w:r>
        <w:rPr/>
        <w:t>、合同或法律没有规定使用寿命的，本公司综合各方面情况，聘请相关专家进行论证、或与同行业</w:t>
      </w:r>
      <w:r>
        <w:rPr>
          <w:spacing w:val="2"/>
        </w:rPr>
        <w:t> </w:t>
      </w:r>
      <w:r>
        <w:rPr/>
        <w:t>的情况进行比较、以及参考历史经验等，确定无形资产为本公司带来未来经济利益的期限。</w:t>
      </w:r>
    </w:p>
    <w:p>
      <w:pPr>
        <w:spacing w:line="240" w:lineRule="auto" w:before="5"/>
        <w:rPr>
          <w:rFonts w:ascii="宋体" w:hAnsi="宋体" w:cs="宋体" w:eastAsia="宋体" w:hint="default"/>
          <w:sz w:val="15"/>
          <w:szCs w:val="15"/>
        </w:rPr>
      </w:pPr>
    </w:p>
    <w:p>
      <w:pPr>
        <w:pStyle w:val="BodyText"/>
        <w:spacing w:line="345" w:lineRule="auto"/>
        <w:ind w:right="112" w:firstLine="359"/>
        <w:jc w:val="both"/>
      </w:pPr>
      <w:r>
        <w:rPr>
          <w:rFonts w:ascii="Times New Roman" w:hAnsi="Times New Roman" w:cs="Times New Roman" w:eastAsia="Times New Roman" w:hint="default"/>
        </w:rPr>
        <w:t>C</w:t>
      </w:r>
      <w:r>
        <w:rPr/>
        <w:t>、经过上述努力仍无法合理确定无形资产所带来经济利益期限的，将其作为使用寿命不确定的无形</w:t>
      </w:r>
      <w:r>
        <w:rPr>
          <w:spacing w:val="2"/>
        </w:rPr>
        <w:t> </w:t>
      </w:r>
      <w:r>
        <w:rPr/>
        <w:t>资产。</w:t>
      </w:r>
    </w:p>
    <w:p>
      <w:pPr>
        <w:spacing w:line="240" w:lineRule="auto" w:before="5"/>
        <w:rPr>
          <w:rFonts w:ascii="宋体" w:hAnsi="宋体" w:cs="宋体" w:eastAsia="宋体" w:hint="default"/>
          <w:sz w:val="15"/>
          <w:szCs w:val="15"/>
        </w:rPr>
      </w:pPr>
    </w:p>
    <w:p>
      <w:pPr>
        <w:pStyle w:val="BodyText"/>
        <w:spacing w:line="240" w:lineRule="auto"/>
        <w:ind w:left="480" w:right="0"/>
        <w:jc w:val="left"/>
      </w:pPr>
      <w:r>
        <w:rPr>
          <w:rFonts w:ascii="Times New Roman" w:hAnsi="Times New Roman" w:cs="Times New Roman" w:eastAsia="Times New Roman" w:hint="default"/>
        </w:rPr>
        <w:t>3.</w:t>
      </w:r>
      <w:r>
        <w:rPr/>
        <w:t>无形资产减值准备</w:t>
      </w:r>
    </w:p>
    <w:p>
      <w:pPr>
        <w:spacing w:line="240" w:lineRule="auto" w:before="5"/>
        <w:rPr>
          <w:rFonts w:ascii="宋体" w:hAnsi="宋体" w:cs="宋体" w:eastAsia="宋体" w:hint="default"/>
          <w:sz w:val="20"/>
          <w:szCs w:val="20"/>
        </w:rPr>
      </w:pPr>
    </w:p>
    <w:p>
      <w:pPr>
        <w:pStyle w:val="BodyText"/>
        <w:spacing w:line="367" w:lineRule="auto"/>
        <w:ind w:right="124" w:firstLine="359"/>
        <w:jc w:val="both"/>
      </w:pPr>
      <w:r>
        <w:rPr/>
        <w:t>本公司在资产负债表日对存在减值迹象的使用寿命有限的无形资产按单项资产进行减值测试，如果资 产的可收回金额低于其账面价值，按其差额提取减值准备，无形资产减值损失一经确认，在以后会计期间</w:t>
      </w:r>
      <w:r>
        <w:rPr>
          <w:spacing w:val="-73"/>
        </w:rPr>
        <w:t> </w:t>
      </w:r>
      <w:r>
        <w:rPr>
          <w:spacing w:val="-73"/>
        </w:rPr>
      </w:r>
      <w:r>
        <w:rPr/>
        <w:t>不得转回。</w:t>
      </w:r>
    </w:p>
    <w:p>
      <w:pPr>
        <w:spacing w:line="240" w:lineRule="auto" w:before="2"/>
        <w:rPr>
          <w:rFonts w:ascii="宋体" w:hAnsi="宋体" w:cs="宋体" w:eastAsia="宋体" w:hint="default"/>
          <w:sz w:val="14"/>
          <w:szCs w:val="14"/>
        </w:rPr>
      </w:pPr>
    </w:p>
    <w:p>
      <w:pPr>
        <w:pStyle w:val="BodyText"/>
        <w:spacing w:line="367" w:lineRule="auto"/>
        <w:ind w:right="122" w:firstLine="359"/>
        <w:jc w:val="both"/>
      </w:pPr>
      <w:r>
        <w:rPr/>
        <w:t>本公司对使用寿命不确定的无形资产不进行摊销，无论是否存在减值迹象，每个会计期间都进行减值 测试，并按可收回金额低于账面价值的差额提取无形资产减值准备。在每个会计期间对使用寿命不确定的</w:t>
      </w:r>
      <w:r>
        <w:rPr>
          <w:spacing w:val="-72"/>
        </w:rPr>
        <w:t> </w:t>
      </w:r>
      <w:r>
        <w:rPr>
          <w:spacing w:val="-72"/>
        </w:rPr>
      </w:r>
      <w:r>
        <w:rPr/>
        <w:t>无形资产的使用寿命进行复核。如果有证据表明无形资产的使用寿命是有限的，重新估计其使用寿命，并</w:t>
      </w:r>
      <w:r>
        <w:rPr>
          <w:spacing w:val="-73"/>
        </w:rPr>
        <w:t> </w:t>
      </w:r>
      <w:r>
        <w:rPr>
          <w:spacing w:val="-73"/>
        </w:rPr>
      </w:r>
      <w:r>
        <w:rPr/>
        <w:t>按使用寿命有限的无形资产的规定处理。</w:t>
      </w:r>
    </w:p>
    <w:p>
      <w:pPr>
        <w:spacing w:line="240" w:lineRule="auto" w:before="2"/>
        <w:rPr>
          <w:rFonts w:ascii="宋体" w:hAnsi="宋体" w:cs="宋体" w:eastAsia="宋体" w:hint="default"/>
          <w:sz w:val="14"/>
          <w:szCs w:val="14"/>
        </w:rPr>
      </w:pPr>
    </w:p>
    <w:p>
      <w:pPr>
        <w:pStyle w:val="BodyText"/>
        <w:spacing w:line="506" w:lineRule="auto"/>
        <w:ind w:left="480" w:right="0"/>
        <w:jc w:val="left"/>
      </w:pPr>
      <w:r>
        <w:rPr>
          <w:rFonts w:ascii="Times New Roman" w:hAnsi="Times New Roman" w:cs="Times New Roman" w:eastAsia="Times New Roman" w:hint="default"/>
        </w:rPr>
        <w:t>4.</w:t>
      </w:r>
      <w:r>
        <w:rPr/>
        <w:t>研究开发项目研究阶段支出与开发阶段支出的划分标准 内部研究开发项目开发阶段的支出，同时满足下列条件的，才能确认为无形资产：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w:t>
      </w:r>
    </w:p>
    <w:p>
      <w:pPr>
        <w:pStyle w:val="BodyText"/>
        <w:spacing w:line="345" w:lineRule="auto" w:before="45"/>
        <w:ind w:right="112" w:firstLine="359"/>
        <w:jc w:val="both"/>
      </w:pPr>
      <w:r>
        <w:rPr>
          <w:rFonts w:ascii="Times New Roman" w:hAnsi="Times New Roman" w:cs="Times New Roman" w:eastAsia="Times New Roman" w:hint="default"/>
        </w:rPr>
        <w:t>C</w:t>
      </w:r>
      <w:r>
        <w:rPr/>
        <w:t>、无形资产存在产生经济利益的方式；有能力完成该无形资产的开发；有能力使用或出售该无形资</w:t>
      </w:r>
      <w:r>
        <w:rPr>
          <w:spacing w:val="2"/>
        </w:rPr>
        <w:t> </w:t>
      </w:r>
      <w:r>
        <w:rPr/>
        <w:t>产；</w:t>
      </w:r>
    </w:p>
    <w:p>
      <w:pPr>
        <w:spacing w:line="240" w:lineRule="auto" w:before="5"/>
        <w:rPr>
          <w:rFonts w:ascii="宋体" w:hAnsi="宋体" w:cs="宋体" w:eastAsia="宋体" w:hint="default"/>
          <w:sz w:val="15"/>
          <w:szCs w:val="15"/>
        </w:rPr>
      </w:pPr>
    </w:p>
    <w:p>
      <w:pPr>
        <w:pStyle w:val="BodyText"/>
        <w:spacing w:line="496" w:lineRule="auto"/>
        <w:ind w:left="571" w:right="3597" w:hanging="92"/>
        <w:jc w:val="left"/>
      </w:pPr>
      <w:r>
        <w:rPr>
          <w:rFonts w:ascii="Times New Roman" w:hAnsi="Times New Roman" w:cs="Times New Roman" w:eastAsia="Times New Roman" w:hint="default"/>
        </w:rPr>
        <w:t>D</w:t>
      </w:r>
      <w:r>
        <w:rPr/>
        <w:t>、归属于该无形资产开发阶段的支出能够可靠地计量。 </w:t>
      </w:r>
      <w:r>
        <w:rPr>
          <w:rFonts w:ascii="Times New Roman" w:hAnsi="Times New Roman" w:cs="Times New Roman" w:eastAsia="Times New Roman" w:hint="default"/>
        </w:rPr>
        <w:t>5.</w:t>
      </w:r>
      <w:r>
        <w:rPr/>
        <w:t>发行权的初始计量和摊销</w:t>
      </w:r>
    </w:p>
    <w:p>
      <w:pPr>
        <w:pStyle w:val="BodyText"/>
        <w:spacing w:line="345" w:lineRule="auto" w:before="54"/>
        <w:ind w:right="117" w:firstLine="359"/>
        <w:jc w:val="both"/>
      </w:pPr>
      <w:r>
        <w:rPr>
          <w:spacing w:val="-1"/>
        </w:rPr>
        <w:t>发行权是指作者授予本公司一定年限内（一般为</w:t>
      </w:r>
      <w:r>
        <w:rPr/>
        <w:t> </w:t>
      </w: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spacing w:val="-7"/>
        </w:rPr>
        <w:t>年），在全球范围内华文简（繁）体版以图书形式独</w:t>
      </w:r>
      <w:r>
        <w:rPr/>
        <w:t> 家寻找出版社出版作者的作品及寻找发行商发行上述作品的权利。</w:t>
      </w:r>
    </w:p>
    <w:p>
      <w:pPr>
        <w:spacing w:after="0" w:line="345" w:lineRule="auto"/>
        <w:jc w:val="both"/>
        <w:sectPr>
          <w:pgSz w:w="11910" w:h="16840"/>
          <w:pgMar w:header="0" w:footer="979" w:top="1480" w:bottom="1160" w:left="1680" w:right="1680"/>
        </w:sectPr>
      </w:pPr>
    </w:p>
    <w:p>
      <w:pPr>
        <w:pStyle w:val="BodyText"/>
        <w:spacing w:line="367" w:lineRule="auto" w:before="19"/>
        <w:ind w:right="0" w:firstLine="359"/>
        <w:jc w:val="left"/>
      </w:pPr>
      <w:r>
        <w:rPr>
          <w:spacing w:val="-2"/>
        </w:rPr>
        <w:t>发行权的计量成本按保底印量支付的版税金额确定，按照《图书出版合同》规定的保底印量进行摊销，</w:t>
      </w:r>
      <w:r>
        <w:rPr/>
        <w:t> 超过保底印量支付的版税直接计入当期成本。公式如下：</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t>发行权本年度摊销金额</w:t>
      </w:r>
      <w:r>
        <w:rPr>
          <w:rFonts w:ascii="Times New Roman" w:hAnsi="Times New Roman" w:cs="Times New Roman" w:eastAsia="Times New Roman" w:hint="default"/>
        </w:rPr>
        <w:t>=</w:t>
      </w:r>
      <w:r>
        <w:rPr/>
        <w:t>（本年度实际印量</w:t>
      </w:r>
      <w:r>
        <w:rPr>
          <w:rFonts w:ascii="Times New Roman" w:hAnsi="Times New Roman" w:cs="Times New Roman" w:eastAsia="Times New Roman" w:hint="default"/>
        </w:rPr>
        <w:t>÷</w:t>
      </w:r>
      <w:r>
        <w:rPr/>
        <w:t>合同约定保底印量）</w:t>
      </w:r>
      <w:r>
        <w:rPr>
          <w:rFonts w:ascii="Times New Roman" w:hAnsi="Times New Roman" w:cs="Times New Roman" w:eastAsia="Times New Roman" w:hint="default"/>
        </w:rPr>
        <w:t>×</w:t>
      </w:r>
      <w:r>
        <w:rPr/>
        <w:t>发行权计量成本</w:t>
      </w:r>
    </w:p>
    <w:p>
      <w:pPr>
        <w:pStyle w:val="BodyText"/>
        <w:spacing w:line="516" w:lineRule="exact" w:before="64"/>
        <w:ind w:left="480" w:right="0"/>
        <w:jc w:val="left"/>
      </w:pPr>
      <w:r>
        <w:rPr/>
        <w:t>（二十）长期待摊费用 长期待摊费用是指本公司已经发生但应由本期和以后各期分担的分摊期限在一年以上（不含一年）的</w:t>
      </w:r>
    </w:p>
    <w:p>
      <w:pPr>
        <w:pStyle w:val="BodyText"/>
        <w:spacing w:line="367" w:lineRule="auto" w:before="46"/>
        <w:ind w:right="203"/>
        <w:jc w:val="both"/>
      </w:pPr>
      <w:r>
        <w:rPr/>
        <w:t>各项费用，包括以经营租赁方式租入的固定资产改良支出等，期末本公司长期待摊费用均为房屋装修费。</w:t>
      </w:r>
      <w:r>
        <w:rPr>
          <w:spacing w:val="-73"/>
        </w:rPr>
        <w:t> </w:t>
      </w:r>
      <w:r>
        <w:rPr>
          <w:spacing w:val="-73"/>
        </w:rPr>
      </w:r>
      <w:r>
        <w:rPr/>
        <w:t>长期待摊费用按实际发生额入账，在受益期或规定的期限内分期平均摊销，如果长期待摊的费用项目不能</w:t>
      </w:r>
      <w:r>
        <w:rPr>
          <w:spacing w:val="-72"/>
        </w:rPr>
        <w:t> </w:t>
      </w:r>
      <w:r>
        <w:rPr>
          <w:spacing w:val="-72"/>
        </w:rPr>
      </w:r>
      <w:r>
        <w:rPr/>
        <w:t>使以后会计期间受益则将尚未摊销的该项目的摊余价值全部转入当期损益。</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t>（二十一）职工薪酬</w:t>
      </w:r>
    </w:p>
    <w:p>
      <w:pPr>
        <w:spacing w:line="240" w:lineRule="auto" w:before="6"/>
        <w:rPr>
          <w:rFonts w:ascii="宋体" w:hAnsi="宋体" w:cs="宋体" w:eastAsia="宋体" w:hint="default"/>
          <w:sz w:val="21"/>
          <w:szCs w:val="21"/>
        </w:rPr>
      </w:pPr>
    </w:p>
    <w:p>
      <w:pPr>
        <w:pStyle w:val="BodyText"/>
        <w:spacing w:line="367" w:lineRule="auto"/>
        <w:ind w:right="0" w:firstLine="359"/>
        <w:jc w:val="left"/>
      </w:pPr>
      <w:r>
        <w:rPr/>
        <w:t>职工薪酬，是指本公司为获得职工提供的服务或解除劳动关系而给予的除股份支付以外各种形式的报 </w:t>
      </w:r>
      <w:r>
        <w:rPr>
          <w:spacing w:val="-2"/>
        </w:rPr>
        <w:t>酬或补偿。职工薪酬包括短期薪酬、离职后福利、辞退福利和其他长期职工福利。本公司提供给职工配偶、</w:t>
      </w:r>
      <w:r>
        <w:rPr>
          <w:spacing w:val="-62"/>
        </w:rPr>
        <w:t> </w:t>
      </w:r>
      <w:r>
        <w:rPr>
          <w:spacing w:val="-62"/>
        </w:rPr>
      </w:r>
      <w:r>
        <w:rPr/>
        <w:t>子女、受赡养人、已故员工遗属及其他受益人等的福利，也属于职工薪酬。</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rFonts w:ascii="Times New Roman" w:hAnsi="Times New Roman" w:cs="Times New Roman" w:eastAsia="Times New Roman" w:hint="default"/>
        </w:rPr>
        <w:t>1.</w:t>
      </w:r>
      <w:r>
        <w:rPr/>
        <w:t>短期薪酬</w:t>
      </w:r>
    </w:p>
    <w:p>
      <w:pPr>
        <w:spacing w:line="240" w:lineRule="auto" w:before="5"/>
        <w:rPr>
          <w:rFonts w:ascii="宋体" w:hAnsi="宋体" w:cs="宋体" w:eastAsia="宋体" w:hint="default"/>
          <w:sz w:val="20"/>
          <w:szCs w:val="20"/>
        </w:rPr>
      </w:pPr>
    </w:p>
    <w:p>
      <w:pPr>
        <w:pStyle w:val="BodyText"/>
        <w:spacing w:line="367" w:lineRule="auto"/>
        <w:ind w:right="0" w:firstLine="359"/>
        <w:jc w:val="left"/>
      </w:pPr>
      <w:r>
        <w:rPr/>
        <w:t>本公司在职工提供服务的会计期间，将实际发生的短期薪酬确认为负债，并计入当期损益或相关资产 成本。其中，非货币性福利按照公允价值计量。</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rFonts w:ascii="Times New Roman" w:hAnsi="Times New Roman" w:cs="Times New Roman" w:eastAsia="Times New Roman" w:hint="default"/>
        </w:rPr>
        <w:t>2.</w:t>
      </w:r>
      <w:r>
        <w:rPr/>
        <w:t>辞退福利</w:t>
      </w:r>
    </w:p>
    <w:p>
      <w:pPr>
        <w:spacing w:line="240" w:lineRule="auto" w:before="5"/>
        <w:rPr>
          <w:rFonts w:ascii="宋体" w:hAnsi="宋体" w:cs="宋体" w:eastAsia="宋体" w:hint="default"/>
          <w:sz w:val="20"/>
          <w:szCs w:val="20"/>
        </w:rPr>
      </w:pPr>
    </w:p>
    <w:p>
      <w:pPr>
        <w:pStyle w:val="BodyText"/>
        <w:spacing w:line="367" w:lineRule="auto"/>
        <w:ind w:right="204" w:firstLine="359"/>
        <w:jc w:val="both"/>
      </w:pPr>
      <w:r>
        <w:rPr/>
        <w:t>本公司在职工劳动合同到期之前解除与职工的劳动关系、或者为鼓励职工自愿接受裁减而提出给予补 偿，在本公司不能单方面撤回解除劳动关系计划或裁减建议时和确认与涉及支付辞退福利的重组相关的成</w:t>
      </w:r>
      <w:r>
        <w:rPr>
          <w:spacing w:val="-73"/>
        </w:rPr>
        <w:t> </w:t>
      </w:r>
      <w:r>
        <w:rPr>
          <w:spacing w:val="-73"/>
        </w:rPr>
      </w:r>
      <w:r>
        <w:rPr/>
        <w:t>本费用时两者孰早日，确认因解除与职工的劳动关系给予补偿而产生的负债，同时计入当期损益。</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rFonts w:ascii="Times New Roman" w:hAnsi="Times New Roman" w:cs="Times New Roman" w:eastAsia="Times New Roman" w:hint="default"/>
        </w:rPr>
        <w:t>3.</w:t>
      </w:r>
      <w:r>
        <w:rPr/>
        <w:t>设定提存计划</w:t>
      </w:r>
    </w:p>
    <w:p>
      <w:pPr>
        <w:spacing w:line="240" w:lineRule="auto" w:before="5"/>
        <w:rPr>
          <w:rFonts w:ascii="宋体" w:hAnsi="宋体" w:cs="宋体" w:eastAsia="宋体" w:hint="default"/>
          <w:sz w:val="20"/>
          <w:szCs w:val="20"/>
        </w:rPr>
      </w:pPr>
    </w:p>
    <w:p>
      <w:pPr>
        <w:pStyle w:val="BodyText"/>
        <w:spacing w:line="367" w:lineRule="auto"/>
        <w:ind w:right="203" w:firstLine="359"/>
        <w:jc w:val="both"/>
      </w:pPr>
      <w:r>
        <w:rPr/>
        <w:t>本公司职工参加了由当地劳动和社会保障部门组织实施的社会基本养老保险。本公司以当地规定的社 会基本养老保险缴纳基数和比例，按月向当地社会基本养老保险经办机构缴纳养老保险费。职工退休后，</w:t>
      </w:r>
      <w:r>
        <w:rPr>
          <w:spacing w:val="-73"/>
        </w:rPr>
        <w:t> </w:t>
      </w:r>
      <w:r>
        <w:rPr>
          <w:spacing w:val="-73"/>
        </w:rPr>
      </w:r>
      <w:r>
        <w:rPr/>
        <w:t>当地劳动及社会保障部门有责任向已退休员工支付社会基本养老金。本公司在职工提供服务的会计期间，</w:t>
      </w:r>
      <w:r>
        <w:rPr>
          <w:spacing w:val="-73"/>
        </w:rPr>
        <w:t> </w:t>
      </w:r>
      <w:r>
        <w:rPr>
          <w:spacing w:val="-73"/>
        </w:rPr>
      </w:r>
      <w:r>
        <w:rPr/>
        <w:t>将根据上述社保规定计算应缴纳的金额确认为负债，并计入当期损益或相关资产成本。</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t>（二十二）预计负债</w:t>
      </w:r>
    </w:p>
    <w:p>
      <w:pPr>
        <w:spacing w:line="240" w:lineRule="auto" w:before="6"/>
        <w:rPr>
          <w:rFonts w:ascii="宋体" w:hAnsi="宋体" w:cs="宋体" w:eastAsia="宋体" w:hint="default"/>
          <w:sz w:val="21"/>
          <w:szCs w:val="21"/>
        </w:rPr>
      </w:pPr>
    </w:p>
    <w:p>
      <w:pPr>
        <w:pStyle w:val="BodyText"/>
        <w:spacing w:line="357" w:lineRule="auto"/>
        <w:ind w:right="195" w:firstLine="359"/>
        <w:jc w:val="both"/>
      </w:pPr>
      <w:r>
        <w:rPr>
          <w:rFonts w:ascii="Times New Roman" w:hAnsi="Times New Roman" w:cs="Times New Roman" w:eastAsia="Times New Roman" w:hint="default"/>
        </w:rPr>
        <w:t>1.</w:t>
      </w:r>
      <w:r>
        <w:rPr/>
        <w:t>因对外提供担保、诉讼事项、产品质量保证、亏损合同等或有事项形成的义务成为本公司承担的现 时义务，履行该义务很可能导致经济利益流出公司，且该义务的金额能够可靠的计量时，本公司将该项义</w:t>
      </w:r>
      <w:r>
        <w:rPr>
          <w:spacing w:val="-71"/>
        </w:rPr>
        <w:t> </w:t>
      </w:r>
      <w:r>
        <w:rPr>
          <w:spacing w:val="-71"/>
        </w:rPr>
      </w:r>
      <w:r>
        <w:rPr/>
        <w:t>务确认为预计负债。</w:t>
      </w:r>
    </w:p>
    <w:p>
      <w:pPr>
        <w:spacing w:line="240" w:lineRule="auto" w:before="9"/>
        <w:rPr>
          <w:rFonts w:ascii="宋体" w:hAnsi="宋体" w:cs="宋体" w:eastAsia="宋体" w:hint="default"/>
          <w:sz w:val="14"/>
          <w:szCs w:val="14"/>
        </w:rPr>
      </w:pPr>
    </w:p>
    <w:p>
      <w:pPr>
        <w:pStyle w:val="BodyText"/>
        <w:spacing w:line="345" w:lineRule="auto"/>
        <w:ind w:right="0" w:firstLine="359"/>
        <w:jc w:val="left"/>
      </w:pPr>
      <w:r>
        <w:rPr>
          <w:rFonts w:ascii="Times New Roman" w:hAnsi="Times New Roman" w:cs="Times New Roman" w:eastAsia="Times New Roman" w:hint="default"/>
        </w:rPr>
        <w:t>2.</w:t>
      </w:r>
      <w:r>
        <w:rPr/>
        <w:t>本公司按照履行相关现时义务所需支出的最佳估计数对预计负债进行初始计量，并在资产负债表日 对预计负债的账面价值进行复核。</w:t>
      </w:r>
    </w:p>
    <w:p>
      <w:pPr>
        <w:spacing w:line="240" w:lineRule="auto" w:before="5"/>
        <w:rPr>
          <w:rFonts w:ascii="宋体" w:hAnsi="宋体" w:cs="宋体" w:eastAsia="宋体" w:hint="default"/>
          <w:sz w:val="15"/>
          <w:szCs w:val="15"/>
        </w:rPr>
      </w:pPr>
    </w:p>
    <w:p>
      <w:pPr>
        <w:pStyle w:val="BodyText"/>
        <w:spacing w:line="240" w:lineRule="auto"/>
        <w:ind w:left="480" w:right="0"/>
        <w:jc w:val="left"/>
      </w:pPr>
      <w:r>
        <w:rPr/>
        <w:t>（二十三）股份支付</w:t>
      </w:r>
    </w:p>
    <w:p>
      <w:pPr>
        <w:spacing w:after="0" w:line="240" w:lineRule="auto"/>
        <w:jc w:val="left"/>
        <w:sectPr>
          <w:pgSz w:w="11910" w:h="16840"/>
          <w:pgMar w:header="0" w:footer="979" w:top="1480" w:bottom="1160" w:left="1680" w:right="1600"/>
        </w:sectPr>
      </w:pPr>
    </w:p>
    <w:p>
      <w:pPr>
        <w:pStyle w:val="BodyText"/>
        <w:spacing w:line="511" w:lineRule="auto" w:before="19"/>
        <w:ind w:left="480" w:right="3726"/>
        <w:jc w:val="left"/>
      </w:pPr>
      <w:r>
        <w:rPr>
          <w:rFonts w:ascii="Times New Roman" w:hAnsi="Times New Roman" w:cs="Times New Roman" w:eastAsia="Times New Roman" w:hint="default"/>
        </w:rPr>
        <w:t>1.</w:t>
      </w:r>
      <w:r>
        <w:rPr/>
        <w:t>股份支付的种类 包括以权益结算的股份支付和以现金结算的股份支付。 </w:t>
      </w:r>
      <w:r>
        <w:rPr>
          <w:rFonts w:ascii="Times New Roman" w:hAnsi="Times New Roman" w:cs="Times New Roman" w:eastAsia="Times New Roman" w:hint="default"/>
        </w:rPr>
        <w:t>2.</w:t>
      </w:r>
      <w:r>
        <w:rPr/>
        <w:t>权益工具公允价值的确定方法</w:t>
      </w:r>
    </w:p>
    <w:p>
      <w:pPr>
        <w:pStyle w:val="BodyText"/>
        <w:spacing w:line="240" w:lineRule="auto" w:before="41"/>
        <w:ind w:left="480" w:right="0"/>
        <w:jc w:val="left"/>
      </w:pPr>
      <w:r>
        <w:rPr/>
        <w:t>（</w:t>
      </w:r>
      <w:r>
        <w:rPr>
          <w:rFonts w:ascii="Times New Roman" w:hAnsi="Times New Roman" w:cs="Times New Roman" w:eastAsia="Times New Roman" w:hint="default"/>
        </w:rPr>
        <w:t>1</w:t>
      </w:r>
      <w:r>
        <w:rPr/>
        <w:t>）存在活跃市场的，按照活跃市场中的报价确定。</w:t>
      </w:r>
    </w:p>
    <w:p>
      <w:pPr>
        <w:spacing w:line="240" w:lineRule="auto" w:before="5"/>
        <w:rPr>
          <w:rFonts w:ascii="宋体" w:hAnsi="宋体" w:cs="宋体" w:eastAsia="宋体" w:hint="default"/>
          <w:sz w:val="20"/>
          <w:szCs w:val="20"/>
        </w:rPr>
      </w:pPr>
    </w:p>
    <w:p>
      <w:pPr>
        <w:pStyle w:val="BodyText"/>
        <w:spacing w:line="345" w:lineRule="auto"/>
        <w:ind w:right="117" w:firstLine="359"/>
        <w:jc w:val="both"/>
      </w:pPr>
      <w:r>
        <w:rPr>
          <w:spacing w:val="-2"/>
        </w:rPr>
        <w:t>（</w:t>
      </w:r>
      <w:r>
        <w:rPr>
          <w:rFonts w:ascii="Times New Roman" w:hAnsi="Times New Roman" w:cs="Times New Roman" w:eastAsia="Times New Roman" w:hint="default"/>
          <w:spacing w:val="-2"/>
        </w:rPr>
        <w:t>2</w:t>
      </w:r>
      <w:r>
        <w:rPr>
          <w:spacing w:val="-2"/>
        </w:rPr>
        <w:t>）不存在活跃市场的，采用估值技术确定，包括参考熟悉情况并自愿交易的各方最近进行的市场交</w:t>
      </w:r>
      <w:r>
        <w:rPr/>
        <w:t> 易中使用的价格、参照实质上相同的其他金融工具的当前公允价值、现金流量折现法和期权定价模型等。</w:t>
      </w:r>
    </w:p>
    <w:p>
      <w:pPr>
        <w:spacing w:line="240" w:lineRule="auto" w:before="5"/>
        <w:rPr>
          <w:rFonts w:ascii="宋体" w:hAnsi="宋体" w:cs="宋体" w:eastAsia="宋体" w:hint="default"/>
          <w:sz w:val="15"/>
          <w:szCs w:val="15"/>
        </w:rPr>
      </w:pPr>
    </w:p>
    <w:p>
      <w:pPr>
        <w:pStyle w:val="BodyText"/>
        <w:spacing w:line="511" w:lineRule="auto"/>
        <w:ind w:left="480" w:right="3546"/>
        <w:jc w:val="left"/>
      </w:pPr>
      <w:r>
        <w:rPr>
          <w:rFonts w:ascii="Times New Roman" w:hAnsi="Times New Roman" w:cs="Times New Roman" w:eastAsia="Times New Roman" w:hint="default"/>
        </w:rPr>
        <w:t>3.</w:t>
      </w:r>
      <w:r>
        <w:rPr/>
        <w:t>确认可行权权益工具最佳估计的依据 根据最新取得的可行权职工数变动等后续信息进行估计。 </w:t>
      </w:r>
      <w:r>
        <w:rPr>
          <w:rFonts w:ascii="Times New Roman" w:hAnsi="Times New Roman" w:cs="Times New Roman" w:eastAsia="Times New Roman" w:hint="default"/>
        </w:rPr>
        <w:t>4.</w:t>
      </w:r>
      <w:r>
        <w:rPr/>
        <w:t>实施、修改、终止股份支付计划的相关会计处理</w:t>
      </w:r>
    </w:p>
    <w:p>
      <w:pPr>
        <w:pStyle w:val="BodyText"/>
        <w:spacing w:line="240" w:lineRule="auto" w:before="41"/>
        <w:ind w:left="480" w:right="0"/>
        <w:jc w:val="left"/>
      </w:pPr>
      <w:r>
        <w:rPr/>
        <w:t>（</w:t>
      </w:r>
      <w:r>
        <w:rPr>
          <w:rFonts w:ascii="Times New Roman" w:hAnsi="Times New Roman" w:cs="Times New Roman" w:eastAsia="Times New Roman" w:hint="default"/>
        </w:rPr>
        <w:t>1</w:t>
      </w:r>
      <w:r>
        <w:rPr/>
        <w:t>）以权益结算的股份支付</w:t>
      </w:r>
    </w:p>
    <w:p>
      <w:pPr>
        <w:spacing w:line="240" w:lineRule="auto" w:before="5"/>
        <w:rPr>
          <w:rFonts w:ascii="宋体" w:hAnsi="宋体" w:cs="宋体" w:eastAsia="宋体" w:hint="default"/>
          <w:sz w:val="20"/>
          <w:szCs w:val="20"/>
        </w:rPr>
      </w:pPr>
    </w:p>
    <w:p>
      <w:pPr>
        <w:pStyle w:val="BodyText"/>
        <w:spacing w:line="367" w:lineRule="auto"/>
        <w:ind w:right="114" w:firstLine="359"/>
        <w:jc w:val="both"/>
      </w:pPr>
      <w:r>
        <w:rPr/>
        <w:t>授予后立即可行权的换取职工服务的以权益结算的股份支付，在授予日按照权益工具的公允价值计入 相关成本或费用，相应调整资本公积。完成等待期内的服务或达到规定业绩条件才可行权的换取职工服务</w:t>
      </w:r>
      <w:r>
        <w:rPr>
          <w:spacing w:val="-73"/>
        </w:rPr>
        <w:t> </w:t>
      </w:r>
      <w:r>
        <w:rPr>
          <w:spacing w:val="-73"/>
        </w:rPr>
      </w:r>
      <w:r>
        <w:rPr>
          <w:spacing w:val="3"/>
        </w:rPr>
        <w:t>的以权益结算的股份支付，在等待期内的每个资产负债表日，以对可行权权益工具数量的最佳估计为基</w:t>
      </w:r>
      <w:r>
        <w:rPr>
          <w:spacing w:val="-52"/>
        </w:rPr>
        <w:t> </w:t>
      </w:r>
      <w:r>
        <w:rPr>
          <w:spacing w:val="-52"/>
        </w:rPr>
      </w:r>
      <w:r>
        <w:rPr/>
        <w:t>础，按权益工具授予日的公允价值，将当期取得的服务计入相关成本或费用，相应调整资本公积。</w:t>
      </w:r>
    </w:p>
    <w:p>
      <w:pPr>
        <w:spacing w:line="240" w:lineRule="auto" w:before="2"/>
        <w:rPr>
          <w:rFonts w:ascii="宋体" w:hAnsi="宋体" w:cs="宋体" w:eastAsia="宋体" w:hint="default"/>
          <w:sz w:val="14"/>
          <w:szCs w:val="14"/>
        </w:rPr>
      </w:pPr>
    </w:p>
    <w:p>
      <w:pPr>
        <w:pStyle w:val="BodyText"/>
        <w:spacing w:line="367" w:lineRule="auto"/>
        <w:ind w:right="124" w:firstLine="359"/>
        <w:jc w:val="both"/>
      </w:pPr>
      <w:r>
        <w:rPr/>
        <w:t>换取其他方服务的权益结算的股份支付，如果其他方服务的公允价值能够可靠计量的，按照其他方服 务在取得日的公允价值计量；如果其他方服务的公允价值不能可靠计量，但权益工具的公允价值能够可靠</w:t>
      </w:r>
      <w:r>
        <w:rPr>
          <w:spacing w:val="-73"/>
        </w:rPr>
        <w:t> </w:t>
      </w:r>
      <w:r>
        <w:rPr>
          <w:spacing w:val="-73"/>
        </w:rPr>
      </w:r>
      <w:r>
        <w:rPr/>
        <w:t>计量的，按照权益工具在服务取得日的公允价值计量，计入相关成本或费用，相应增加所有者权益。</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t>（</w:t>
      </w:r>
      <w:r>
        <w:rPr>
          <w:rFonts w:ascii="Times New Roman" w:hAnsi="Times New Roman" w:cs="Times New Roman" w:eastAsia="Times New Roman" w:hint="default"/>
        </w:rPr>
        <w:t>2</w:t>
      </w:r>
      <w:r>
        <w:rPr/>
        <w:t>）以现金结算的股份支付</w:t>
      </w:r>
    </w:p>
    <w:p>
      <w:pPr>
        <w:spacing w:line="240" w:lineRule="auto" w:before="5"/>
        <w:rPr>
          <w:rFonts w:ascii="宋体" w:hAnsi="宋体" w:cs="宋体" w:eastAsia="宋体" w:hint="default"/>
          <w:sz w:val="20"/>
          <w:szCs w:val="20"/>
        </w:rPr>
      </w:pPr>
    </w:p>
    <w:p>
      <w:pPr>
        <w:pStyle w:val="BodyText"/>
        <w:spacing w:line="367" w:lineRule="auto"/>
        <w:ind w:right="124" w:firstLine="359"/>
        <w:jc w:val="both"/>
      </w:pPr>
      <w:r>
        <w:rPr/>
        <w:t>授予后立即可行权的换取职工服务的以现金结算的股份支付，在授予日按本公司承担负债的公允价值 计入相关成本或费用，相应增加负债。完成等待期内的服务或达到规定业绩条件才可行权的换取职工服务</w:t>
      </w:r>
      <w:r>
        <w:rPr>
          <w:spacing w:val="-73"/>
        </w:rPr>
        <w:t> </w:t>
      </w:r>
      <w:r>
        <w:rPr>
          <w:spacing w:val="-73"/>
        </w:rPr>
      </w:r>
      <w:r>
        <w:rPr/>
        <w:t>的以现金结算的股份支付，在等待期内的每个资产负债表日，以对可行权情况的最佳估计为基础，按本公</w:t>
      </w:r>
      <w:r>
        <w:rPr>
          <w:spacing w:val="-73"/>
        </w:rPr>
        <w:t> </w:t>
      </w:r>
      <w:r>
        <w:rPr>
          <w:spacing w:val="-73"/>
        </w:rPr>
      </w:r>
      <w:r>
        <w:rPr/>
        <w:t>司承担负债的公允价值，将当期取得的服务计入相关成本或费用和相应的负债。</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t>（</w:t>
      </w:r>
      <w:r>
        <w:rPr>
          <w:rFonts w:ascii="Times New Roman" w:hAnsi="Times New Roman" w:cs="Times New Roman" w:eastAsia="Times New Roman" w:hint="default"/>
        </w:rPr>
        <w:t>3</w:t>
      </w:r>
      <w:r>
        <w:rPr/>
        <w:t>）修改、终止股份支付计划</w:t>
      </w:r>
    </w:p>
    <w:p>
      <w:pPr>
        <w:spacing w:line="240" w:lineRule="auto" w:before="5"/>
        <w:rPr>
          <w:rFonts w:ascii="宋体" w:hAnsi="宋体" w:cs="宋体" w:eastAsia="宋体" w:hint="default"/>
          <w:sz w:val="20"/>
          <w:szCs w:val="20"/>
        </w:rPr>
      </w:pPr>
    </w:p>
    <w:p>
      <w:pPr>
        <w:pStyle w:val="BodyText"/>
        <w:spacing w:line="367" w:lineRule="auto"/>
        <w:ind w:right="124" w:firstLine="359"/>
        <w:jc w:val="both"/>
      </w:pPr>
      <w:r>
        <w:rPr/>
        <w:t>如果修改增加了所授予的权益工具的公允价值，本公司按照权益工具公允价值的增加相应地确认取得 服务的增加；如果修改增加了所授予的权益工具的数量，本公司将增加的权益工具的公允价值相应地确认</w:t>
      </w:r>
      <w:r>
        <w:rPr>
          <w:spacing w:val="-73"/>
        </w:rPr>
        <w:t> </w:t>
      </w:r>
      <w:r>
        <w:rPr>
          <w:spacing w:val="-73"/>
        </w:rPr>
      </w:r>
      <w:r>
        <w:rPr/>
        <w:t>为取得服务的增加；如果本公司按照有利于职工的方式修改可行权条件，公司在处理可行权条件时，考虑</w:t>
      </w:r>
      <w:r>
        <w:rPr>
          <w:spacing w:val="-73"/>
        </w:rPr>
        <w:t> </w:t>
      </w:r>
      <w:r>
        <w:rPr>
          <w:spacing w:val="-73"/>
        </w:rPr>
      </w:r>
      <w:r>
        <w:rPr/>
        <w:t>修改后的可行权条件。</w:t>
      </w:r>
    </w:p>
    <w:p>
      <w:pPr>
        <w:spacing w:line="240" w:lineRule="auto" w:before="2"/>
        <w:rPr>
          <w:rFonts w:ascii="宋体" w:hAnsi="宋体" w:cs="宋体" w:eastAsia="宋体" w:hint="default"/>
          <w:sz w:val="14"/>
          <w:szCs w:val="14"/>
        </w:rPr>
      </w:pPr>
    </w:p>
    <w:p>
      <w:pPr>
        <w:pStyle w:val="BodyText"/>
        <w:spacing w:line="367" w:lineRule="auto"/>
        <w:ind w:right="122" w:firstLine="359"/>
        <w:jc w:val="both"/>
      </w:pPr>
      <w:r>
        <w:rPr/>
        <w:t>如果修改减少了授予的权益工具的公允价值，本公司继续以权益工具在授予日的公允价值为基础，确 认取得服务的金额，而不考虑权益工具公允价值的减少；如果修改减少了授予的权益工具的数量，本公司</w:t>
      </w:r>
      <w:r>
        <w:rPr>
          <w:spacing w:val="-73"/>
        </w:rPr>
        <w:t> </w:t>
      </w:r>
      <w:r>
        <w:rPr>
          <w:spacing w:val="-73"/>
        </w:rPr>
      </w:r>
      <w:r>
        <w:rPr/>
        <w:t>将减少部分作为已授予的权益工具的取消来进行处理；如果以不利于职工的方式修改了可行权条件，在处</w:t>
      </w:r>
      <w:r>
        <w:rPr>
          <w:spacing w:val="-73"/>
        </w:rPr>
        <w:t> </w:t>
      </w:r>
      <w:r>
        <w:rPr>
          <w:spacing w:val="-73"/>
        </w:rPr>
      </w:r>
      <w:r>
        <w:rPr/>
        <w:t>理可行权条件时，不考虑修改后的可行权条件。</w:t>
      </w:r>
    </w:p>
    <w:p>
      <w:pPr>
        <w:spacing w:after="0" w:line="367" w:lineRule="auto"/>
        <w:jc w:val="both"/>
        <w:sectPr>
          <w:pgSz w:w="11910" w:h="16840"/>
          <w:pgMar w:header="0" w:footer="979" w:top="1480" w:bottom="1160" w:left="1680" w:right="1680"/>
        </w:sectPr>
      </w:pPr>
    </w:p>
    <w:p>
      <w:pPr>
        <w:pStyle w:val="BodyText"/>
        <w:spacing w:line="367" w:lineRule="auto" w:before="19"/>
        <w:ind w:right="0" w:firstLine="359"/>
        <w:jc w:val="left"/>
      </w:pPr>
      <w:r>
        <w:rPr/>
        <w:t>如果本公司在等待期内取消了所授予的权益工具或结算了所授予的权益工具（因未满足可行权条件而 被取消的除外），则将取消或结算作为加速可行权处理，立即确认原本在剩余等待期内确认的金额。</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t>（二十四）收入</w:t>
      </w:r>
    </w:p>
    <w:p>
      <w:pPr>
        <w:pStyle w:val="BodyText"/>
        <w:spacing w:line="510" w:lineRule="atLeast" w:before="19"/>
        <w:ind w:left="480" w:right="0"/>
        <w:jc w:val="left"/>
      </w:pPr>
      <w:r>
        <w:rPr>
          <w:rFonts w:ascii="Times New Roman" w:hAnsi="Times New Roman" w:cs="Times New Roman" w:eastAsia="Times New Roman" w:hint="default"/>
        </w:rPr>
        <w:t>1.</w:t>
      </w:r>
      <w:r>
        <w:rPr/>
        <w:t>销售商品 </w:t>
      </w:r>
      <w:r>
        <w:rPr>
          <w:spacing w:val="2"/>
        </w:rPr>
        <w:t>销售商品收入在同时满足下列条件时予以确认：（</w:t>
      </w:r>
      <w:r>
        <w:rPr>
          <w:rFonts w:ascii="Times New Roman" w:hAnsi="Times New Roman" w:cs="Times New Roman" w:eastAsia="Times New Roman" w:hint="default"/>
          <w:spacing w:val="2"/>
        </w:rPr>
        <w:t>1</w:t>
      </w:r>
      <w:r>
        <w:rPr>
          <w:spacing w:val="2"/>
        </w:rPr>
        <w:t>）将商品所有权上的主要风险和报酬转移给购货</w:t>
      </w:r>
    </w:p>
    <w:p>
      <w:pPr>
        <w:pStyle w:val="BodyText"/>
        <w:spacing w:line="345" w:lineRule="auto" w:before="111"/>
        <w:ind w:right="198"/>
        <w:jc w:val="both"/>
      </w:pPr>
      <w:r>
        <w:rPr/>
        <w:t>方；（</w:t>
      </w:r>
      <w:r>
        <w:rPr>
          <w:rFonts w:ascii="Times New Roman" w:hAnsi="Times New Roman" w:cs="Times New Roman" w:eastAsia="Times New Roman" w:hint="default"/>
        </w:rPr>
        <w:t>2</w:t>
      </w:r>
      <w:r>
        <w:rPr/>
        <w:t>）公司不再保留通常与所有权相联系的继续管理权，也不再对已售出的商品实施有效控制；（</w:t>
      </w:r>
      <w:r>
        <w:rPr>
          <w:rFonts w:ascii="Times New Roman" w:hAnsi="Times New Roman" w:cs="Times New Roman" w:eastAsia="Times New Roman" w:hint="default"/>
        </w:rPr>
        <w:t>3</w:t>
      </w:r>
      <w:r>
        <w:rPr/>
        <w:t>）</w:t>
      </w:r>
      <w:r>
        <w:rPr>
          <w:spacing w:val="-69"/>
        </w:rPr>
        <w:t> </w:t>
      </w:r>
      <w:r>
        <w:rPr/>
        <w:t>收入的金额能够可靠地计量；（</w:t>
      </w:r>
      <w:r>
        <w:rPr>
          <w:rFonts w:ascii="Times New Roman" w:hAnsi="Times New Roman" w:cs="Times New Roman" w:eastAsia="Times New Roman" w:hint="default"/>
        </w:rPr>
        <w:t>4</w:t>
      </w:r>
      <w:r>
        <w:rPr/>
        <w:t>）相关的经济利益很可能流入；（</w:t>
      </w:r>
      <w:r>
        <w:rPr>
          <w:rFonts w:ascii="Times New Roman" w:hAnsi="Times New Roman" w:cs="Times New Roman" w:eastAsia="Times New Roman" w:hint="default"/>
        </w:rPr>
        <w:t>5</w:t>
      </w:r>
      <w:r>
        <w:rPr/>
        <w:t>）相关的已发生或将发生的成本能够</w:t>
      </w:r>
      <w:r>
        <w:rPr>
          <w:spacing w:val="-69"/>
        </w:rPr>
        <w:t> </w:t>
      </w:r>
      <w:r>
        <w:rPr>
          <w:spacing w:val="-69"/>
        </w:rPr>
      </w:r>
      <w:r>
        <w:rPr/>
        <w:t>可靠地计量。</w:t>
      </w:r>
    </w:p>
    <w:p>
      <w:pPr>
        <w:spacing w:line="240" w:lineRule="auto" w:before="6"/>
        <w:rPr>
          <w:rFonts w:ascii="宋体" w:hAnsi="宋体" w:cs="宋体" w:eastAsia="宋体" w:hint="default"/>
          <w:sz w:val="15"/>
          <w:szCs w:val="15"/>
        </w:rPr>
      </w:pPr>
    </w:p>
    <w:p>
      <w:pPr>
        <w:pStyle w:val="BodyText"/>
        <w:spacing w:line="367" w:lineRule="auto"/>
        <w:ind w:right="0" w:firstLine="359"/>
        <w:jc w:val="left"/>
      </w:pPr>
      <w:r>
        <w:rPr>
          <w:spacing w:val="-2"/>
        </w:rPr>
        <w:t>公司图书发行收入按照销售渠道的不同，分为系统销售、经销、政府采购（含管配、职教、农村书屋）</w:t>
      </w:r>
      <w:r>
        <w:rPr/>
        <w:t> 和图书推广四类，其中系统销售、政府采购、部分经销图书无销售退回条件，发出商品后已将商品所有权</w:t>
      </w:r>
      <w:r>
        <w:rPr>
          <w:spacing w:val="-73"/>
        </w:rPr>
        <w:t> </w:t>
      </w:r>
      <w:r>
        <w:rPr>
          <w:spacing w:val="-73"/>
        </w:rPr>
      </w:r>
      <w:r>
        <w:rPr/>
        <w:t>上的主要风险或报酬转移给购货方，不再对该商品实施继续管理权和实际控制权，相关的收入已经取得或</w:t>
      </w:r>
      <w:r>
        <w:rPr>
          <w:spacing w:val="-70"/>
        </w:rPr>
        <w:t> </w:t>
      </w:r>
      <w:r>
        <w:rPr>
          <w:spacing w:val="-70"/>
        </w:rPr>
      </w:r>
      <w:r>
        <w:rPr/>
        <w:t>取得了收款的凭据，且与销售该商品有关的成本能够可靠地计量时，确认商品销售收入的实现。经销图书</w:t>
      </w:r>
      <w:r>
        <w:rPr>
          <w:spacing w:val="-73"/>
        </w:rPr>
        <w:t> </w:t>
      </w:r>
      <w:r>
        <w:rPr>
          <w:spacing w:val="-73"/>
        </w:rPr>
      </w:r>
      <w:r>
        <w:rPr/>
        <w:t>中合同约定附有销售退回条件的部分，退货期满时确认销售收入实现。</w:t>
      </w:r>
    </w:p>
    <w:p>
      <w:pPr>
        <w:spacing w:line="240" w:lineRule="auto" w:before="2"/>
        <w:rPr>
          <w:rFonts w:ascii="宋体" w:hAnsi="宋体" w:cs="宋体" w:eastAsia="宋体" w:hint="default"/>
          <w:sz w:val="14"/>
          <w:szCs w:val="14"/>
        </w:rPr>
      </w:pPr>
    </w:p>
    <w:p>
      <w:pPr>
        <w:pStyle w:val="BodyText"/>
        <w:spacing w:line="367" w:lineRule="auto"/>
        <w:ind w:right="204" w:firstLine="359"/>
        <w:jc w:val="both"/>
      </w:pPr>
      <w:r>
        <w:rPr/>
        <w:t>图书推广系公司与出版社合作，公司将策划好的图书交出版社出版发行，公司为出版发行的图书开拓 市场，出版社将图书销售收入扣除相应的印制成本和出版社的管理费用后的剩余部分支付给公司，公司在</w:t>
      </w:r>
      <w:r>
        <w:rPr>
          <w:spacing w:val="-73"/>
        </w:rPr>
        <w:t> </w:t>
      </w:r>
      <w:r>
        <w:rPr>
          <w:spacing w:val="-73"/>
        </w:rPr>
      </w:r>
      <w:r>
        <w:rPr/>
        <w:t>与出版社结算开票时确认为图书推广收入。</w:t>
      </w:r>
    </w:p>
    <w:p>
      <w:pPr>
        <w:spacing w:line="240" w:lineRule="auto" w:before="2"/>
        <w:rPr>
          <w:rFonts w:ascii="宋体" w:hAnsi="宋体" w:cs="宋体" w:eastAsia="宋体" w:hint="default"/>
          <w:sz w:val="14"/>
          <w:szCs w:val="14"/>
        </w:rPr>
      </w:pPr>
    </w:p>
    <w:p>
      <w:pPr>
        <w:pStyle w:val="BodyText"/>
        <w:spacing w:line="367" w:lineRule="auto"/>
        <w:ind w:right="0" w:firstLine="359"/>
        <w:jc w:val="left"/>
      </w:pPr>
      <w:r>
        <w:rPr/>
        <w:t>公司版税收入是指公司向出版社提供已编辑完成的文稿及设计图片等向出版社收取的费用，通常在图 书出版后与出版社结算确认收入。</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rFonts w:ascii="Times New Roman" w:hAnsi="Times New Roman" w:cs="Times New Roman" w:eastAsia="Times New Roman" w:hint="default"/>
        </w:rPr>
        <w:t>2.</w:t>
      </w:r>
      <w:r>
        <w:rPr/>
        <w:t>提供劳务</w:t>
      </w:r>
    </w:p>
    <w:p>
      <w:pPr>
        <w:spacing w:line="240" w:lineRule="auto" w:before="5"/>
        <w:rPr>
          <w:rFonts w:ascii="宋体" w:hAnsi="宋体" w:cs="宋体" w:eastAsia="宋体" w:hint="default"/>
          <w:sz w:val="20"/>
          <w:szCs w:val="20"/>
        </w:rPr>
      </w:pPr>
    </w:p>
    <w:p>
      <w:pPr>
        <w:pStyle w:val="BodyText"/>
        <w:spacing w:line="367" w:lineRule="auto"/>
        <w:ind w:right="0" w:firstLine="359"/>
        <w:jc w:val="left"/>
      </w:pPr>
      <w:r>
        <w:rPr>
          <w:spacing w:val="-2"/>
        </w:rPr>
        <w:t>公司提供的劳务在同一会计年度开始并完成的，在劳务已经提供，收到价款或取得收取价款的证据时，</w:t>
      </w:r>
      <w:r>
        <w:rPr/>
        <w:t> 确认营业收入的实现；劳务的开始和完成分属不同会计年度的，在劳务合同的总收入、劳务的完成程度能 够可靠地确定，与交易相关的价款能够流入，已经发生的成本和为完成劳务将要发生的成本能够可靠地计 量时，按完工百分比法确认营业收入的实现；长期合同工程在合同结果已经能够合理地预见时，按结账时 已完成工程进度的百分比法确认营业收入的实现。提供劳务交易的完工进度，根据实际选用下列方法情况 确定：</w:t>
      </w:r>
    </w:p>
    <w:p>
      <w:pPr>
        <w:spacing w:line="240" w:lineRule="auto" w:before="2"/>
        <w:rPr>
          <w:rFonts w:ascii="宋体" w:hAnsi="宋体" w:cs="宋体" w:eastAsia="宋体" w:hint="default"/>
          <w:sz w:val="14"/>
          <w:szCs w:val="14"/>
        </w:rPr>
      </w:pPr>
    </w:p>
    <w:p>
      <w:pPr>
        <w:pStyle w:val="BodyText"/>
        <w:spacing w:line="496" w:lineRule="auto"/>
        <w:ind w:left="480" w:right="4406"/>
        <w:jc w:val="left"/>
      </w:pPr>
      <w:r>
        <w:rPr>
          <w:rFonts w:ascii="Times New Roman" w:hAnsi="Times New Roman" w:cs="Times New Roman" w:eastAsia="Times New Roman" w:hint="default"/>
        </w:rPr>
        <w:t>A</w:t>
      </w:r>
      <w:r>
        <w:rPr/>
        <w:t>、已完工作的测量； </w:t>
      </w:r>
      <w:r>
        <w:rPr>
          <w:rFonts w:ascii="Times New Roman" w:hAnsi="Times New Roman" w:cs="Times New Roman" w:eastAsia="Times New Roman" w:hint="default"/>
        </w:rPr>
        <w:t>B</w:t>
      </w:r>
      <w:r>
        <w:rPr/>
        <w:t>、已经提供的劳务占应提供劳务总量的比例； </w:t>
      </w:r>
      <w:r>
        <w:rPr>
          <w:rFonts w:ascii="Times New Roman" w:hAnsi="Times New Roman" w:cs="Times New Roman" w:eastAsia="Times New Roman" w:hint="default"/>
        </w:rPr>
        <w:t>C</w:t>
      </w:r>
      <w:r>
        <w:rPr/>
        <w:t>、已经发生的成本占估计总成本的比例。</w:t>
      </w:r>
    </w:p>
    <w:p>
      <w:pPr>
        <w:pStyle w:val="BodyText"/>
        <w:spacing w:line="367" w:lineRule="auto" w:before="53"/>
        <w:ind w:right="223" w:firstLine="359"/>
        <w:jc w:val="both"/>
      </w:pPr>
      <w:r>
        <w:rPr/>
        <w:t>公司按照从接受劳务方已收或应收的合同或协议价款确定提供劳务收入总额，但已收或应收的合同或 协议价款不公允的除外。资产负债表日按照提供劳务收入总额乘以完工进度扣除以前会计期间累计已确认 提供劳务收入后的金额，确认当期提供劳务收入。</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t>在资产负债表日提供劳务交易结果不能够可靠估计的，分别下列情况处理：</w:t>
      </w:r>
    </w:p>
    <w:p>
      <w:pPr>
        <w:spacing w:after="0" w:line="240" w:lineRule="auto"/>
        <w:jc w:val="left"/>
        <w:sectPr>
          <w:pgSz w:w="11910" w:h="16840"/>
          <w:pgMar w:header="0" w:footer="979" w:top="1480" w:bottom="1160" w:left="1680" w:right="1600"/>
        </w:sectPr>
      </w:pPr>
    </w:p>
    <w:p>
      <w:pPr>
        <w:pStyle w:val="BodyText"/>
        <w:spacing w:line="345" w:lineRule="auto" w:before="19"/>
        <w:ind w:left="220" w:right="574" w:firstLine="359"/>
        <w:jc w:val="both"/>
      </w:pPr>
      <w:r>
        <w:rPr>
          <w:rFonts w:ascii="Times New Roman" w:hAnsi="Times New Roman" w:cs="Times New Roman" w:eastAsia="Times New Roman" w:hint="default"/>
        </w:rPr>
        <w:t>A</w:t>
      </w:r>
      <w:r>
        <w:rPr/>
        <w:t>、已经发生的劳务成本预计能够得到补偿的，按照已经发生的劳务成本金额确认提供劳务收入，并 按相同金额结转劳务成本；</w:t>
      </w:r>
    </w:p>
    <w:p>
      <w:pPr>
        <w:spacing w:line="240" w:lineRule="auto" w:before="5"/>
        <w:rPr>
          <w:rFonts w:ascii="宋体" w:hAnsi="宋体" w:cs="宋体" w:eastAsia="宋体" w:hint="default"/>
          <w:sz w:val="15"/>
          <w:szCs w:val="15"/>
        </w:rPr>
      </w:pPr>
    </w:p>
    <w:p>
      <w:pPr>
        <w:pStyle w:val="BodyText"/>
        <w:spacing w:line="345" w:lineRule="auto"/>
        <w:ind w:left="220" w:right="491" w:firstLine="359"/>
        <w:jc w:val="both"/>
      </w:pPr>
      <w:r>
        <w:rPr>
          <w:rFonts w:ascii="Times New Roman" w:hAnsi="Times New Roman" w:cs="Times New Roman" w:eastAsia="Times New Roman" w:hint="default"/>
        </w:rPr>
        <w:t>B</w:t>
      </w:r>
      <w:r>
        <w:rPr/>
        <w:t>、已经发生的劳务成本预计不能够得到补偿的，将已经发生的劳务成本计入当期损益，不确认提供</w:t>
      </w:r>
      <w:r>
        <w:rPr>
          <w:spacing w:val="2"/>
        </w:rPr>
        <w:t> </w:t>
      </w:r>
      <w:r>
        <w:rPr/>
        <w:t>劳务收入。</w:t>
      </w:r>
    </w:p>
    <w:p>
      <w:pPr>
        <w:spacing w:line="240" w:lineRule="auto" w:before="5"/>
        <w:rPr>
          <w:rFonts w:ascii="宋体" w:hAnsi="宋体" w:cs="宋体" w:eastAsia="宋体" w:hint="default"/>
          <w:sz w:val="15"/>
          <w:szCs w:val="15"/>
        </w:rPr>
      </w:pPr>
    </w:p>
    <w:p>
      <w:pPr>
        <w:pStyle w:val="BodyText"/>
        <w:spacing w:line="240" w:lineRule="auto"/>
        <w:ind w:left="580" w:right="0"/>
        <w:jc w:val="left"/>
      </w:pPr>
      <w:r>
        <w:rPr>
          <w:rFonts w:ascii="Times New Roman" w:hAnsi="Times New Roman" w:cs="Times New Roman" w:eastAsia="Times New Roman" w:hint="default"/>
        </w:rPr>
        <w:t>3.</w:t>
      </w:r>
      <w:r>
        <w:rPr/>
        <w:t>让渡资产使用权</w:t>
      </w:r>
    </w:p>
    <w:p>
      <w:pPr>
        <w:spacing w:line="240" w:lineRule="auto" w:before="5"/>
        <w:rPr>
          <w:rFonts w:ascii="宋体" w:hAnsi="宋体" w:cs="宋体" w:eastAsia="宋体" w:hint="default"/>
          <w:sz w:val="20"/>
          <w:szCs w:val="20"/>
        </w:rPr>
      </w:pPr>
    </w:p>
    <w:p>
      <w:pPr>
        <w:pStyle w:val="BodyText"/>
        <w:spacing w:line="367" w:lineRule="auto"/>
        <w:ind w:left="220" w:right="504" w:firstLine="359"/>
        <w:jc w:val="both"/>
      </w:pPr>
      <w:r>
        <w:rPr/>
        <w:t>让渡资产使用权在同时满足相关的经济利益很可能流入、收入金额能够可靠计量时，确认让渡资产使 用权的收入。利息收入按照他人使用本公司货币资金的时间和实际利率计算确定；使用费收入按有关合同</w:t>
      </w:r>
      <w:r>
        <w:rPr>
          <w:spacing w:val="-73"/>
        </w:rPr>
        <w:t> </w:t>
      </w:r>
      <w:r>
        <w:rPr>
          <w:spacing w:val="-73"/>
        </w:rPr>
      </w:r>
      <w:r>
        <w:rPr/>
        <w:t>或协议约定的收费时间和方法计算确定。</w:t>
      </w:r>
    </w:p>
    <w:p>
      <w:pPr>
        <w:spacing w:line="240" w:lineRule="auto" w:before="2"/>
        <w:rPr>
          <w:rFonts w:ascii="宋体" w:hAnsi="宋体" w:cs="宋体" w:eastAsia="宋体" w:hint="default"/>
          <w:sz w:val="14"/>
          <w:szCs w:val="14"/>
        </w:rPr>
      </w:pPr>
    </w:p>
    <w:p>
      <w:pPr>
        <w:pStyle w:val="BodyText"/>
        <w:spacing w:line="240" w:lineRule="auto"/>
        <w:ind w:left="580" w:right="0"/>
        <w:jc w:val="left"/>
      </w:pPr>
      <w:r>
        <w:rPr>
          <w:rFonts w:ascii="Times New Roman" w:hAnsi="Times New Roman" w:cs="Times New Roman" w:eastAsia="Times New Roman" w:hint="default"/>
        </w:rPr>
        <w:t>4.</w:t>
      </w:r>
      <w:r>
        <w:rPr/>
        <w:t>游戏收入的确认</w:t>
      </w:r>
    </w:p>
    <w:p>
      <w:pPr>
        <w:spacing w:line="240" w:lineRule="auto" w:before="5"/>
        <w:rPr>
          <w:rFonts w:ascii="宋体" w:hAnsi="宋体" w:cs="宋体" w:eastAsia="宋体" w:hint="default"/>
          <w:sz w:val="20"/>
          <w:szCs w:val="20"/>
        </w:rPr>
      </w:pPr>
    </w:p>
    <w:p>
      <w:pPr>
        <w:pStyle w:val="BodyText"/>
        <w:spacing w:line="367" w:lineRule="auto"/>
        <w:ind w:left="220" w:right="494" w:firstLine="359"/>
        <w:jc w:val="both"/>
      </w:pPr>
      <w:r>
        <w:rPr/>
        <w:t>公司游戏产品主要采用按虚拟道具收费模式。虚拟道具收费模式是指游戏为玩家提供网络游戏的免费 </w:t>
      </w:r>
      <w:r>
        <w:rPr>
          <w:spacing w:val="3"/>
        </w:rPr>
        <w:t>下载和免费游戏娱乐体验，而游戏的收益则来自于游戏内虚拟道具的销售。游戏玩家注册一个游戏账户</w:t>
      </w:r>
      <w:r>
        <w:rPr>
          <w:spacing w:val="-52"/>
        </w:rPr>
        <w:t> </w:t>
      </w:r>
      <w:r>
        <w:rPr>
          <w:spacing w:val="-52"/>
        </w:rPr>
      </w:r>
      <w:r>
        <w:rPr/>
        <w:t>后，即可参与游戏而无须支付任何费用，若玩家希望进一步加强游戏体验，则需付费购买游戏中的虚拟道</w:t>
      </w:r>
      <w:r>
        <w:rPr>
          <w:spacing w:val="-73"/>
        </w:rPr>
        <w:t> </w:t>
      </w:r>
      <w:r>
        <w:rPr>
          <w:spacing w:val="-73"/>
        </w:rPr>
      </w:r>
      <w:r>
        <w:rPr/>
        <w:t>具。公司的运营模式分为自主运营和联合运营模式。</w:t>
      </w:r>
    </w:p>
    <w:p>
      <w:pPr>
        <w:spacing w:line="240" w:lineRule="auto" w:before="2"/>
        <w:rPr>
          <w:rFonts w:ascii="宋体" w:hAnsi="宋体" w:cs="宋体" w:eastAsia="宋体" w:hint="default"/>
          <w:sz w:val="14"/>
          <w:szCs w:val="14"/>
        </w:rPr>
      </w:pPr>
    </w:p>
    <w:p>
      <w:pPr>
        <w:pStyle w:val="BodyText"/>
        <w:spacing w:line="240" w:lineRule="auto"/>
        <w:ind w:left="580" w:right="0"/>
        <w:jc w:val="left"/>
      </w:pPr>
      <w:r>
        <w:rPr>
          <w:rFonts w:ascii="Times New Roman" w:hAnsi="Times New Roman" w:cs="Times New Roman" w:eastAsia="Times New Roman" w:hint="default"/>
        </w:rPr>
        <w:t>A</w:t>
      </w:r>
      <w:r>
        <w:rPr/>
        <w:t>、自主运营收入确认</w:t>
      </w:r>
    </w:p>
    <w:p>
      <w:pPr>
        <w:spacing w:line="240" w:lineRule="auto" w:before="5"/>
        <w:rPr>
          <w:rFonts w:ascii="宋体" w:hAnsi="宋体" w:cs="宋体" w:eastAsia="宋体" w:hint="default"/>
          <w:sz w:val="20"/>
          <w:szCs w:val="20"/>
        </w:rPr>
      </w:pPr>
    </w:p>
    <w:p>
      <w:pPr>
        <w:pStyle w:val="BodyText"/>
        <w:spacing w:line="367" w:lineRule="auto"/>
        <w:ind w:left="220" w:right="500" w:firstLine="359"/>
        <w:jc w:val="both"/>
      </w:pPr>
      <w:r>
        <w:rPr/>
        <w:t>自主运营模式是指游戏开发商负责进行游戏服务器的架设和维护，自主创造游戏产品上线运行所需的 相关条件并进行产品推广，玩家通过游戏开发商官方网站进入游戏产品，注册账号和进行游戏，由游戏开</w:t>
      </w:r>
      <w:r>
        <w:rPr>
          <w:spacing w:val="-73"/>
        </w:rPr>
        <w:t> </w:t>
      </w:r>
      <w:r>
        <w:rPr>
          <w:spacing w:val="-73"/>
        </w:rPr>
      </w:r>
      <w:r>
        <w:rPr/>
        <w:t>发商为玩家提供持续的客户服务、版本更新等。开发商负责游戏全部运营环节，承担运营成本。在自主运</w:t>
      </w:r>
      <w:r>
        <w:rPr>
          <w:spacing w:val="-73"/>
        </w:rPr>
        <w:t> </w:t>
      </w:r>
      <w:r>
        <w:rPr>
          <w:spacing w:val="-73"/>
        </w:rPr>
      </w:r>
      <w:r>
        <w:rPr/>
        <w:t>营模式下，玩家通过游戏开发商的支付系统进行充值获得游戏虚拟货币，游戏开发商在游戏玩家实际充值</w:t>
      </w:r>
      <w:r>
        <w:rPr>
          <w:spacing w:val="-70"/>
        </w:rPr>
        <w:t> </w:t>
      </w:r>
      <w:r>
        <w:rPr>
          <w:spacing w:val="-70"/>
        </w:rPr>
      </w:r>
      <w:r>
        <w:rPr/>
        <w:t>并消费时确认营业收入。</w:t>
      </w:r>
    </w:p>
    <w:p>
      <w:pPr>
        <w:spacing w:line="240" w:lineRule="auto" w:before="2"/>
        <w:rPr>
          <w:rFonts w:ascii="宋体" w:hAnsi="宋体" w:cs="宋体" w:eastAsia="宋体" w:hint="default"/>
          <w:sz w:val="14"/>
          <w:szCs w:val="14"/>
        </w:rPr>
      </w:pPr>
    </w:p>
    <w:p>
      <w:pPr>
        <w:pStyle w:val="BodyText"/>
        <w:spacing w:line="240" w:lineRule="auto"/>
        <w:ind w:left="580" w:right="0"/>
        <w:jc w:val="left"/>
      </w:pPr>
      <w:r>
        <w:rPr>
          <w:rFonts w:ascii="Times New Roman" w:hAnsi="Times New Roman" w:cs="Times New Roman" w:eastAsia="Times New Roman" w:hint="default"/>
        </w:rPr>
        <w:t>B</w:t>
      </w:r>
      <w:r>
        <w:rPr/>
        <w:t>、联合运营收入确认</w:t>
      </w:r>
    </w:p>
    <w:p>
      <w:pPr>
        <w:spacing w:line="240" w:lineRule="auto" w:before="5"/>
        <w:rPr>
          <w:rFonts w:ascii="宋体" w:hAnsi="宋体" w:cs="宋体" w:eastAsia="宋体" w:hint="default"/>
          <w:sz w:val="20"/>
          <w:szCs w:val="20"/>
        </w:rPr>
      </w:pPr>
    </w:p>
    <w:p>
      <w:pPr>
        <w:pStyle w:val="BodyText"/>
        <w:spacing w:line="367" w:lineRule="auto"/>
        <w:ind w:left="220" w:right="504" w:firstLine="359"/>
        <w:jc w:val="both"/>
      </w:pPr>
      <w:r>
        <w:rPr/>
        <w:t>联合运营模式主要指游戏开发商与一个或多个游戏推广平台商进行合作，共同运营一款移动网络游戏 产品。在这种模式下，开发商与平台商分工合作，开发商负责游戏的后续维护更新和协助平台商运营客服</w:t>
      </w:r>
      <w:r>
        <w:rPr>
          <w:spacing w:val="-73"/>
        </w:rPr>
        <w:t> </w:t>
      </w:r>
      <w:r>
        <w:rPr>
          <w:spacing w:val="-73"/>
        </w:rPr>
      </w:r>
      <w:r>
        <w:rPr/>
        <w:t>工作，平台商负责产品推广、运营及客服事宜，游戏玩家在平台商处注册、充值。游戏开发商根据协议从</w:t>
      </w:r>
      <w:r>
        <w:rPr>
          <w:spacing w:val="-73"/>
        </w:rPr>
        <w:t> </w:t>
      </w:r>
      <w:r>
        <w:rPr>
          <w:spacing w:val="-73"/>
        </w:rPr>
      </w:r>
      <w:r>
        <w:rPr/>
        <w:t>合作平台商以约定比例获得分成，双方核对数据确认无误后按游戏玩家实际充值并消费的金额确认营业收</w:t>
      </w:r>
      <w:r>
        <w:rPr>
          <w:spacing w:val="-73"/>
        </w:rPr>
        <w:t> </w:t>
      </w:r>
      <w:r>
        <w:rPr>
          <w:spacing w:val="-73"/>
        </w:rPr>
      </w:r>
      <w:r>
        <w:rPr/>
        <w:t>入。</w:t>
      </w:r>
    </w:p>
    <w:p>
      <w:pPr>
        <w:spacing w:line="240" w:lineRule="auto" w:before="2"/>
        <w:rPr>
          <w:rFonts w:ascii="宋体" w:hAnsi="宋体" w:cs="宋体" w:eastAsia="宋体" w:hint="default"/>
          <w:sz w:val="14"/>
          <w:szCs w:val="14"/>
        </w:rPr>
      </w:pPr>
    </w:p>
    <w:p>
      <w:pPr>
        <w:pStyle w:val="BodyText"/>
        <w:spacing w:line="240" w:lineRule="auto"/>
        <w:ind w:left="580" w:right="0"/>
        <w:jc w:val="left"/>
      </w:pPr>
      <w:r>
        <w:rPr/>
        <w:t>（二十五）政府补助</w:t>
      </w:r>
    </w:p>
    <w:p>
      <w:pPr>
        <w:spacing w:line="240" w:lineRule="auto" w:before="6"/>
        <w:rPr>
          <w:rFonts w:ascii="宋体" w:hAnsi="宋体" w:cs="宋体" w:eastAsia="宋体" w:hint="default"/>
          <w:sz w:val="21"/>
          <w:szCs w:val="21"/>
        </w:rPr>
      </w:pPr>
    </w:p>
    <w:p>
      <w:pPr>
        <w:pStyle w:val="BodyText"/>
        <w:spacing w:line="516" w:lineRule="auto"/>
        <w:ind w:left="580" w:right="866" w:firstLine="91"/>
        <w:jc w:val="left"/>
      </w:pPr>
      <w:r>
        <w:rPr>
          <w:rFonts w:ascii="Times New Roman" w:hAnsi="Times New Roman" w:cs="Times New Roman" w:eastAsia="Times New Roman" w:hint="default"/>
        </w:rPr>
        <w:t>1.</w:t>
      </w:r>
      <w:r>
        <w:rPr/>
        <w:t>区分与资产相关政府补助和与收益相关政府补助的标准 与资产相关的政府补助，是指企业取得的、用于购建或以其他方式形成的长期资产的政府补助。 与收益相关的政府补助，是指与资产相关的政府补助之外的政府补助。 </w:t>
      </w:r>
      <w:r>
        <w:rPr>
          <w:rFonts w:ascii="Times New Roman" w:hAnsi="Times New Roman" w:cs="Times New Roman" w:eastAsia="Times New Roman" w:hint="default"/>
        </w:rPr>
        <w:t>2.</w:t>
      </w:r>
      <w:r>
        <w:rPr/>
        <w:t>与政府补助相关的递延收益的摊销方法以及摊销期限的确认方法</w:t>
      </w:r>
    </w:p>
    <w:p>
      <w:pPr>
        <w:spacing w:line="240" w:lineRule="auto" w:before="6"/>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3835"/>
        <w:gridCol w:w="1300"/>
        <w:gridCol w:w="3662"/>
      </w:tblGrid>
      <w:tr>
        <w:trPr>
          <w:trHeight w:val="315" w:hRule="exact"/>
        </w:trPr>
        <w:tc>
          <w:tcPr>
            <w:tcW w:w="3835" w:type="dxa"/>
            <w:tcBorders>
              <w:top w:val="nil" w:sz="6" w:space="0" w:color="auto"/>
              <w:left w:val="nil" w:sz="6" w:space="0" w:color="auto"/>
              <w:bottom w:val="single" w:sz="4" w:space="0" w:color="000000"/>
              <w:right w:val="nil" w:sz="6" w:space="0" w:color="auto"/>
            </w:tcBorders>
          </w:tcPr>
          <w:p>
            <w:pPr>
              <w:pStyle w:val="TableParagraph"/>
              <w:spacing w:line="180" w:lineRule="exact"/>
              <w:ind w:right="42"/>
              <w:jc w:val="center"/>
              <w:rPr>
                <w:rFonts w:ascii="宋体" w:hAnsi="宋体" w:cs="宋体" w:eastAsia="宋体" w:hint="default"/>
                <w:sz w:val="18"/>
                <w:szCs w:val="18"/>
              </w:rPr>
            </w:pPr>
            <w:r>
              <w:rPr>
                <w:rFonts w:ascii="宋体" w:hAnsi="宋体" w:cs="宋体" w:eastAsia="宋体" w:hint="default"/>
                <w:b/>
                <w:bCs/>
                <w:sz w:val="18"/>
                <w:szCs w:val="18"/>
              </w:rPr>
              <w:t>列入递延收益项目</w:t>
            </w:r>
            <w:r>
              <w:rPr>
                <w:rFonts w:ascii="宋体" w:hAnsi="宋体" w:cs="宋体" w:eastAsia="宋体" w:hint="default"/>
                <w:sz w:val="18"/>
                <w:szCs w:val="18"/>
              </w:rPr>
            </w:r>
          </w:p>
        </w:tc>
        <w:tc>
          <w:tcPr>
            <w:tcW w:w="1300" w:type="dxa"/>
            <w:tcBorders>
              <w:top w:val="nil" w:sz="6" w:space="0" w:color="auto"/>
              <w:left w:val="nil" w:sz="6" w:space="0" w:color="auto"/>
              <w:bottom w:val="single" w:sz="4" w:space="0" w:color="000000"/>
              <w:right w:val="nil" w:sz="6" w:space="0" w:color="auto"/>
            </w:tcBorders>
          </w:tcPr>
          <w:p>
            <w:pPr>
              <w:pStyle w:val="TableParagraph"/>
              <w:spacing w:line="180" w:lineRule="exact"/>
              <w:ind w:left="32" w:right="0"/>
              <w:jc w:val="center"/>
              <w:rPr>
                <w:rFonts w:ascii="宋体" w:hAnsi="宋体" w:cs="宋体" w:eastAsia="宋体" w:hint="default"/>
                <w:sz w:val="18"/>
                <w:szCs w:val="18"/>
              </w:rPr>
            </w:pPr>
            <w:r>
              <w:rPr>
                <w:rFonts w:ascii="宋体" w:hAnsi="宋体" w:cs="宋体" w:eastAsia="宋体" w:hint="default"/>
                <w:b/>
                <w:bCs/>
                <w:sz w:val="18"/>
                <w:szCs w:val="18"/>
              </w:rPr>
              <w:t>摊销方法</w:t>
            </w:r>
            <w:r>
              <w:rPr>
                <w:rFonts w:ascii="宋体" w:hAnsi="宋体" w:cs="宋体" w:eastAsia="宋体" w:hint="default"/>
                <w:sz w:val="18"/>
                <w:szCs w:val="18"/>
              </w:rPr>
            </w:r>
          </w:p>
        </w:tc>
        <w:tc>
          <w:tcPr>
            <w:tcW w:w="3662" w:type="dxa"/>
            <w:tcBorders>
              <w:top w:val="nil" w:sz="6" w:space="0" w:color="auto"/>
              <w:left w:val="nil" w:sz="6" w:space="0" w:color="auto"/>
              <w:bottom w:val="single" w:sz="4" w:space="0" w:color="000000"/>
              <w:right w:val="nil" w:sz="6" w:space="0" w:color="auto"/>
            </w:tcBorders>
          </w:tcPr>
          <w:p>
            <w:pPr>
              <w:pStyle w:val="TableParagraph"/>
              <w:spacing w:line="180" w:lineRule="exact"/>
              <w:ind w:left="72" w:right="0"/>
              <w:jc w:val="center"/>
              <w:rPr>
                <w:rFonts w:ascii="宋体" w:hAnsi="宋体" w:cs="宋体" w:eastAsia="宋体" w:hint="default"/>
                <w:sz w:val="18"/>
                <w:szCs w:val="18"/>
              </w:rPr>
            </w:pPr>
            <w:r>
              <w:rPr>
                <w:rFonts w:ascii="宋体" w:hAnsi="宋体" w:cs="宋体" w:eastAsia="宋体" w:hint="default"/>
                <w:b/>
                <w:bCs/>
                <w:sz w:val="18"/>
                <w:szCs w:val="18"/>
              </w:rPr>
              <w:t>摊销期限</w:t>
            </w:r>
            <w:r>
              <w:rPr>
                <w:rFonts w:ascii="宋体" w:hAnsi="宋体" w:cs="宋体" w:eastAsia="宋体" w:hint="default"/>
                <w:sz w:val="18"/>
                <w:szCs w:val="18"/>
              </w:rPr>
            </w:r>
          </w:p>
        </w:tc>
      </w:tr>
      <w:tr>
        <w:trPr>
          <w:trHeight w:val="302" w:hRule="exact"/>
        </w:trPr>
        <w:tc>
          <w:tcPr>
            <w:tcW w:w="383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center"/>
              <w:rPr>
                <w:rFonts w:ascii="宋体" w:hAnsi="宋体" w:cs="宋体" w:eastAsia="宋体" w:hint="default"/>
                <w:sz w:val="18"/>
                <w:szCs w:val="18"/>
              </w:rPr>
            </w:pPr>
            <w:r>
              <w:rPr>
                <w:rFonts w:ascii="宋体" w:hAnsi="宋体" w:cs="宋体" w:eastAsia="宋体" w:hint="default"/>
                <w:sz w:val="18"/>
                <w:szCs w:val="18"/>
              </w:rPr>
              <w:t>湖南省新闻出版局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年文化产业专项资金</w:t>
            </w:r>
          </w:p>
        </w:tc>
        <w:tc>
          <w:tcPr>
            <w:tcW w:w="130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32" w:right="0"/>
              <w:jc w:val="center"/>
              <w:rPr>
                <w:rFonts w:ascii="宋体" w:hAnsi="宋体" w:cs="宋体" w:eastAsia="宋体" w:hint="default"/>
                <w:sz w:val="18"/>
                <w:szCs w:val="18"/>
              </w:rPr>
            </w:pPr>
            <w:r>
              <w:rPr>
                <w:rFonts w:ascii="宋体" w:hAnsi="宋体" w:cs="宋体" w:eastAsia="宋体" w:hint="default"/>
                <w:sz w:val="18"/>
                <w:szCs w:val="18"/>
              </w:rPr>
              <w:t>平均年限法</w:t>
            </w:r>
          </w:p>
        </w:tc>
        <w:tc>
          <w:tcPr>
            <w:tcW w:w="366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83" w:right="0"/>
              <w:jc w:val="left"/>
              <w:rPr>
                <w:rFonts w:ascii="宋体" w:hAnsi="宋体" w:cs="宋体" w:eastAsia="宋体" w:hint="default"/>
                <w:sz w:val="18"/>
                <w:szCs w:val="18"/>
              </w:rPr>
            </w:pPr>
            <w:r>
              <w:rPr>
                <w:rFonts w:ascii="宋体" w:hAnsi="宋体" w:cs="宋体" w:eastAsia="宋体" w:hint="default"/>
                <w:sz w:val="18"/>
                <w:szCs w:val="18"/>
              </w:rPr>
              <w:t>根据研发进度从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年起分三年摊销</w:t>
            </w:r>
          </w:p>
        </w:tc>
      </w:tr>
    </w:tbl>
    <w:p>
      <w:pPr>
        <w:spacing w:after="0" w:line="240" w:lineRule="auto"/>
        <w:jc w:val="left"/>
        <w:rPr>
          <w:rFonts w:ascii="宋体" w:hAnsi="宋体" w:cs="宋体" w:eastAsia="宋体" w:hint="default"/>
          <w:sz w:val="18"/>
          <w:szCs w:val="18"/>
        </w:rPr>
        <w:sectPr>
          <w:pgSz w:w="11910" w:h="16840"/>
          <w:pgMar w:header="0" w:footer="979" w:top="1480" w:bottom="1160" w:left="1580" w:right="1300"/>
        </w:sectPr>
      </w:pPr>
    </w:p>
    <w:p>
      <w:pPr>
        <w:spacing w:line="240" w:lineRule="auto" w:before="7"/>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3995"/>
        <w:gridCol w:w="1233"/>
        <w:gridCol w:w="3355"/>
      </w:tblGrid>
      <w:tr>
        <w:trPr>
          <w:trHeight w:val="323" w:hRule="exact"/>
        </w:trPr>
        <w:tc>
          <w:tcPr>
            <w:tcW w:w="3995"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（未来教室－云教育平台项目）</w:t>
            </w:r>
          </w:p>
        </w:tc>
        <w:tc>
          <w:tcPr>
            <w:tcW w:w="1233" w:type="dxa"/>
            <w:tcBorders>
              <w:top w:val="nil" w:sz="6" w:space="0" w:color="auto"/>
              <w:left w:val="nil" w:sz="6" w:space="0" w:color="auto"/>
              <w:bottom w:val="nil" w:sz="6" w:space="0" w:color="auto"/>
              <w:right w:val="nil" w:sz="6" w:space="0" w:color="auto"/>
            </w:tcBorders>
          </w:tcPr>
          <w:p>
            <w:pPr/>
          </w:p>
        </w:tc>
        <w:tc>
          <w:tcPr>
            <w:tcW w:w="3355" w:type="dxa"/>
            <w:tcBorders>
              <w:top w:val="nil" w:sz="6" w:space="0" w:color="auto"/>
              <w:left w:val="nil" w:sz="6" w:space="0" w:color="auto"/>
              <w:bottom w:val="nil" w:sz="6" w:space="0" w:color="auto"/>
              <w:right w:val="nil" w:sz="6" w:space="0" w:color="auto"/>
            </w:tcBorders>
          </w:tcPr>
          <w:p>
            <w:pPr/>
          </w:p>
        </w:tc>
      </w:tr>
      <w:tr>
        <w:trPr>
          <w:trHeight w:val="769" w:hRule="exact"/>
        </w:trPr>
        <w:tc>
          <w:tcPr>
            <w:tcW w:w="3995" w:type="dxa"/>
            <w:tcBorders>
              <w:top w:val="nil" w:sz="6" w:space="0" w:color="auto"/>
              <w:left w:val="nil" w:sz="6" w:space="0" w:color="auto"/>
              <w:bottom w:val="nil" w:sz="6" w:space="0" w:color="auto"/>
              <w:right w:val="nil" w:sz="6" w:space="0" w:color="auto"/>
            </w:tcBorders>
          </w:tcPr>
          <w:p>
            <w:pPr>
              <w:pStyle w:val="TableParagraph"/>
              <w:spacing w:line="345" w:lineRule="auto" w:before="87"/>
              <w:ind w:left="200" w:right="281"/>
              <w:jc w:val="left"/>
              <w:rPr>
                <w:rFonts w:ascii="宋体" w:hAnsi="宋体" w:cs="宋体" w:eastAsia="宋体" w:hint="default"/>
                <w:sz w:val="18"/>
                <w:szCs w:val="18"/>
              </w:rPr>
            </w:pPr>
            <w:r>
              <w:rPr>
                <w:rFonts w:ascii="宋体" w:hAnsi="宋体" w:cs="宋体" w:eastAsia="宋体" w:hint="default"/>
                <w:sz w:val="18"/>
                <w:szCs w:val="18"/>
              </w:rPr>
              <w:t>湖南省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年第一批移动互联网产业发展专 项资金（足球大逆袭项目）</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3"/>
              <w:jc w:val="center"/>
              <w:rPr>
                <w:rFonts w:ascii="宋体" w:hAnsi="宋体" w:cs="宋体" w:eastAsia="宋体" w:hint="default"/>
                <w:sz w:val="18"/>
                <w:szCs w:val="18"/>
              </w:rPr>
            </w:pPr>
            <w:r>
              <w:rPr>
                <w:rFonts w:ascii="宋体" w:hAnsi="宋体" w:cs="宋体" w:eastAsia="宋体" w:hint="default"/>
                <w:sz w:val="18"/>
                <w:szCs w:val="18"/>
              </w:rPr>
              <w:t>平均年限法</w:t>
            </w:r>
          </w:p>
        </w:tc>
        <w:tc>
          <w:tcPr>
            <w:tcW w:w="33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根据项目进度从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年起分二年摊销</w:t>
            </w:r>
          </w:p>
        </w:tc>
      </w:tr>
      <w:tr>
        <w:trPr>
          <w:trHeight w:val="322" w:hRule="exact"/>
        </w:trPr>
        <w:tc>
          <w:tcPr>
            <w:tcW w:w="399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年文化产业引导资金（话剧进校园项目）</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center"/>
              <w:rPr>
                <w:rFonts w:ascii="宋体" w:hAnsi="宋体" w:cs="宋体" w:eastAsia="宋体" w:hint="default"/>
                <w:sz w:val="18"/>
                <w:szCs w:val="18"/>
              </w:rPr>
            </w:pPr>
            <w:r>
              <w:rPr>
                <w:rFonts w:ascii="宋体" w:hAnsi="宋体" w:cs="宋体" w:eastAsia="宋体" w:hint="default"/>
                <w:sz w:val="18"/>
                <w:szCs w:val="18"/>
              </w:rPr>
              <w:t>平均年限法</w:t>
            </w:r>
          </w:p>
        </w:tc>
        <w:tc>
          <w:tcPr>
            <w:tcW w:w="33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8"/>
              <w:jc w:val="right"/>
              <w:rPr>
                <w:rFonts w:ascii="宋体" w:hAnsi="宋体" w:cs="宋体" w:eastAsia="宋体" w:hint="default"/>
                <w:sz w:val="18"/>
                <w:szCs w:val="18"/>
              </w:rPr>
            </w:pPr>
            <w:r>
              <w:rPr>
                <w:rFonts w:ascii="宋体" w:hAnsi="宋体" w:cs="宋体" w:eastAsia="宋体" w:hint="default"/>
                <w:sz w:val="18"/>
                <w:szCs w:val="18"/>
              </w:rPr>
              <w:t>根据项目进度从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年起分二年摊销</w:t>
            </w:r>
          </w:p>
        </w:tc>
      </w:tr>
    </w:tbl>
    <w:p>
      <w:pPr>
        <w:spacing w:line="240" w:lineRule="auto" w:before="12"/>
        <w:rPr>
          <w:rFonts w:ascii="宋体" w:hAnsi="宋体" w:cs="宋体" w:eastAsia="宋体" w:hint="default"/>
          <w:sz w:val="29"/>
          <w:szCs w:val="29"/>
        </w:rPr>
      </w:pPr>
    </w:p>
    <w:p>
      <w:pPr>
        <w:pStyle w:val="BodyText"/>
        <w:spacing w:line="494" w:lineRule="auto" w:before="44"/>
        <w:ind w:left="660" w:right="2166"/>
        <w:jc w:val="left"/>
      </w:pPr>
      <w:r>
        <w:rPr>
          <w:rFonts w:ascii="Times New Roman" w:hAnsi="Times New Roman" w:cs="Times New Roman" w:eastAsia="Times New Roman" w:hint="default"/>
        </w:rPr>
        <w:t>3.</w:t>
      </w:r>
      <w:r>
        <w:rPr/>
        <w:t>政府补助的确认时点 政府补助在本公司能够满足政府补助所附条件，且能够收到时，予以确认。</w:t>
      </w:r>
    </w:p>
    <w:p>
      <w:pPr>
        <w:pStyle w:val="BodyText"/>
        <w:spacing w:line="236" w:lineRule="exact"/>
        <w:ind w:left="660" w:right="2166"/>
        <w:jc w:val="left"/>
      </w:pPr>
      <w:r>
        <w:rPr>
          <w:rFonts w:ascii="Times New Roman" w:hAnsi="Times New Roman" w:cs="Times New Roman" w:eastAsia="Times New Roman" w:hint="default"/>
        </w:rPr>
        <w:t>4.</w:t>
      </w:r>
      <w:r>
        <w:rPr/>
        <w:t>政府补助的核算方法</w:t>
      </w:r>
    </w:p>
    <w:p>
      <w:pPr>
        <w:spacing w:line="240" w:lineRule="auto" w:before="6"/>
        <w:rPr>
          <w:rFonts w:ascii="宋体" w:hAnsi="宋体" w:cs="宋体" w:eastAsia="宋体" w:hint="default"/>
          <w:sz w:val="20"/>
          <w:szCs w:val="20"/>
        </w:rPr>
      </w:pPr>
    </w:p>
    <w:p>
      <w:pPr>
        <w:pStyle w:val="BodyText"/>
        <w:spacing w:line="240" w:lineRule="auto"/>
        <w:ind w:left="660" w:right="2166"/>
        <w:jc w:val="left"/>
      </w:pPr>
      <w:r>
        <w:rPr/>
        <w:t>政府补助按照收到或应收的金额计量。</w:t>
      </w:r>
    </w:p>
    <w:p>
      <w:pPr>
        <w:spacing w:line="240" w:lineRule="auto" w:before="6"/>
        <w:rPr>
          <w:rFonts w:ascii="宋体" w:hAnsi="宋体" w:cs="宋体" w:eastAsia="宋体" w:hint="default"/>
          <w:sz w:val="21"/>
          <w:szCs w:val="21"/>
        </w:rPr>
      </w:pPr>
    </w:p>
    <w:p>
      <w:pPr>
        <w:pStyle w:val="BodyText"/>
        <w:spacing w:line="345" w:lineRule="auto"/>
        <w:ind w:left="300" w:right="307" w:firstLine="359"/>
        <w:jc w:val="left"/>
      </w:pPr>
      <w:r>
        <w:rPr/>
        <w:t>与资产相关的政府补助，确认为其他非流动负债</w:t>
      </w:r>
      <w:r>
        <w:rPr>
          <w:rFonts w:ascii="Times New Roman" w:hAnsi="Times New Roman" w:cs="Times New Roman" w:eastAsia="Times New Roman" w:hint="default"/>
        </w:rPr>
        <w:t>-</w:t>
      </w:r>
      <w:r>
        <w:rPr/>
        <w:t>递延收益，并在相关资产使用寿命内平均分配，计 入当期损益。按照名义金额计量的政府补助，直接计入当期损益。</w:t>
      </w:r>
    </w:p>
    <w:p>
      <w:pPr>
        <w:pStyle w:val="BodyText"/>
        <w:spacing w:line="345" w:lineRule="auto" w:before="98"/>
        <w:ind w:left="300" w:right="127" w:firstLine="359"/>
        <w:jc w:val="left"/>
      </w:pPr>
      <w:r>
        <w:rPr/>
        <w:t>与收益相关的政府补助，用于补偿以后期间的相关费用或损失的，确认为其他非流动负债</w:t>
      </w:r>
      <w:r>
        <w:rPr>
          <w:rFonts w:ascii="Times New Roman" w:hAnsi="Times New Roman" w:cs="Times New Roman" w:eastAsia="Times New Roman" w:hint="default"/>
        </w:rPr>
        <w:t>-</w:t>
      </w:r>
      <w:r>
        <w:rPr/>
        <w:t>递延收益， 并在确认相关费用的期间，计入当期损益；用于补偿已发生的相关费用或损失的，直接计入当期损益。</w:t>
      </w:r>
    </w:p>
    <w:p>
      <w:pPr>
        <w:spacing w:line="240" w:lineRule="auto" w:before="5"/>
        <w:rPr>
          <w:rFonts w:ascii="宋体" w:hAnsi="宋体" w:cs="宋体" w:eastAsia="宋体" w:hint="default"/>
          <w:sz w:val="15"/>
          <w:szCs w:val="15"/>
        </w:rPr>
      </w:pPr>
    </w:p>
    <w:p>
      <w:pPr>
        <w:pStyle w:val="BodyText"/>
        <w:spacing w:line="240" w:lineRule="auto"/>
        <w:ind w:left="660" w:right="2166"/>
        <w:jc w:val="left"/>
      </w:pPr>
      <w:r>
        <w:rPr/>
        <w:t>（二十六）递延所得税资产和递延所得税负债</w:t>
      </w:r>
    </w:p>
    <w:p>
      <w:pPr>
        <w:spacing w:line="240" w:lineRule="auto" w:before="6"/>
        <w:rPr>
          <w:rFonts w:ascii="宋体" w:hAnsi="宋体" w:cs="宋体" w:eastAsia="宋体" w:hint="default"/>
          <w:sz w:val="21"/>
          <w:szCs w:val="21"/>
        </w:rPr>
      </w:pPr>
    </w:p>
    <w:p>
      <w:pPr>
        <w:pStyle w:val="BodyText"/>
        <w:spacing w:line="367" w:lineRule="auto"/>
        <w:ind w:left="300" w:right="203" w:firstLine="359"/>
        <w:jc w:val="both"/>
      </w:pPr>
      <w:r>
        <w:rPr/>
        <w:t>某些资产、负债项目的账面价值与其计税基础之间的差额，以及未作为资产和负债确认但按照税法规 定可以确定其计税基础的项目的账面价值与计税基础之间的差额产生的暂时性差异，采用资产负债表债务 法确认递延所得税资产及递延所得税负债。</w:t>
      </w:r>
    </w:p>
    <w:p>
      <w:pPr>
        <w:spacing w:line="240" w:lineRule="auto" w:before="2"/>
        <w:rPr>
          <w:rFonts w:ascii="宋体" w:hAnsi="宋体" w:cs="宋体" w:eastAsia="宋体" w:hint="default"/>
          <w:sz w:val="14"/>
          <w:szCs w:val="14"/>
        </w:rPr>
      </w:pPr>
    </w:p>
    <w:p>
      <w:pPr>
        <w:pStyle w:val="BodyText"/>
        <w:spacing w:line="367" w:lineRule="auto"/>
        <w:ind w:left="300" w:right="186" w:firstLine="359"/>
        <w:jc w:val="left"/>
      </w:pPr>
      <w:r>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差异转回的时间，而且该暂时性差异在可预见的未来很可能不会转回，也不予确认有关的递延所得税负 债。除上述例外情况，本公司确认其他所有应纳税暂时性差异产生的递延所得税负债。</w:t>
      </w:r>
    </w:p>
    <w:p>
      <w:pPr>
        <w:spacing w:line="240" w:lineRule="auto" w:before="2"/>
        <w:rPr>
          <w:rFonts w:ascii="宋体" w:hAnsi="宋体" w:cs="宋体" w:eastAsia="宋体" w:hint="default"/>
          <w:sz w:val="14"/>
          <w:szCs w:val="14"/>
        </w:rPr>
      </w:pPr>
    </w:p>
    <w:p>
      <w:pPr>
        <w:pStyle w:val="BodyText"/>
        <w:spacing w:line="367" w:lineRule="auto"/>
        <w:ind w:left="300" w:right="203" w:firstLine="359"/>
        <w:jc w:val="both"/>
      </w:pPr>
      <w:r>
        <w:rPr/>
        <w:t>与既不是企业合并、发生时也不影响会计利润和应纳税所得额（或可抵扣亏损）的交易中产生的资产 或负债的初始确认有关的可抵扣暂时性差异，不予确认有关的递延所得税资产。此外，对与子公司、联营 企业及合营企业投资相关的可抵扣暂时性差异，如果暂时性差异在可预见的未来不是很可能转回，或者未 来不是很可能获得用来抵扣可抵扣暂时性差异的应纳税所得额，不予确认有关的递延所得税资产。除上述 例外情况，本公司以很可能取得用来抵扣可抵扣暂时性差异的应纳税所得额为限，确认其他可抵扣暂时性 差异产生的递延所得税资产。</w:t>
      </w:r>
    </w:p>
    <w:p>
      <w:pPr>
        <w:spacing w:line="240" w:lineRule="auto" w:before="2"/>
        <w:rPr>
          <w:rFonts w:ascii="宋体" w:hAnsi="宋体" w:cs="宋体" w:eastAsia="宋体" w:hint="default"/>
          <w:sz w:val="14"/>
          <w:szCs w:val="14"/>
        </w:rPr>
      </w:pPr>
    </w:p>
    <w:p>
      <w:pPr>
        <w:pStyle w:val="BodyText"/>
        <w:spacing w:line="367" w:lineRule="auto"/>
        <w:ind w:left="300" w:right="187" w:firstLine="359"/>
        <w:jc w:val="left"/>
      </w:pPr>
      <w:r>
        <w:rPr/>
        <w:t>对于能够结转以后年度的可抵扣亏损和税款抵减，以很可能获得用来抵扣可抵扣亏损和税款抵减的未 来应纳税所得额为限，确认相应的递延所得税资产。</w:t>
      </w:r>
    </w:p>
    <w:p>
      <w:pPr>
        <w:spacing w:line="240" w:lineRule="auto" w:before="2"/>
        <w:rPr>
          <w:rFonts w:ascii="宋体" w:hAnsi="宋体" w:cs="宋体" w:eastAsia="宋体" w:hint="default"/>
          <w:sz w:val="14"/>
          <w:szCs w:val="14"/>
        </w:rPr>
      </w:pPr>
    </w:p>
    <w:p>
      <w:pPr>
        <w:pStyle w:val="BodyText"/>
        <w:spacing w:line="367" w:lineRule="auto"/>
        <w:ind w:left="300" w:right="187" w:firstLine="359"/>
        <w:jc w:val="left"/>
      </w:pPr>
      <w:r>
        <w:rPr/>
        <w:t>资产负债表日，对于递延所得税资产和递延所得税负债，根据税法规定，按照预期收回相关资产或清 偿相关负债期间的适用税率计量。</w:t>
      </w:r>
    </w:p>
    <w:p>
      <w:pPr>
        <w:spacing w:line="240" w:lineRule="auto" w:before="2"/>
        <w:rPr>
          <w:rFonts w:ascii="宋体" w:hAnsi="宋体" w:cs="宋体" w:eastAsia="宋体" w:hint="default"/>
          <w:sz w:val="14"/>
          <w:szCs w:val="14"/>
        </w:rPr>
      </w:pPr>
    </w:p>
    <w:p>
      <w:pPr>
        <w:pStyle w:val="BodyText"/>
        <w:spacing w:line="367" w:lineRule="auto"/>
        <w:ind w:left="300" w:right="127" w:firstLine="359"/>
        <w:jc w:val="left"/>
      </w:pPr>
      <w:r>
        <w:rPr/>
        <w:t>于资产负债表日，对递延所得税资产的账面价值进行复核，如果未来很可能无法获得足够的应纳税所 得额用以抵扣递延所得税资产的利益，则减记递延所得税资产的账面价值。在很可能获得足够的应纳税所</w:t>
      </w:r>
    </w:p>
    <w:p>
      <w:pPr>
        <w:spacing w:after="0" w:line="367" w:lineRule="auto"/>
        <w:jc w:val="left"/>
        <w:sectPr>
          <w:pgSz w:w="11910" w:h="16840"/>
          <w:pgMar w:header="0" w:footer="979" w:top="1400" w:bottom="1160" w:left="1500" w:right="1620"/>
        </w:sectPr>
      </w:pPr>
    </w:p>
    <w:p>
      <w:pPr>
        <w:pStyle w:val="BodyText"/>
        <w:spacing w:line="240" w:lineRule="auto" w:before="19"/>
        <w:ind w:right="0"/>
        <w:jc w:val="left"/>
      </w:pPr>
      <w:r>
        <w:rPr/>
        <w:t>得额时，减记的金额予以转回。</w:t>
      </w:r>
    </w:p>
    <w:p>
      <w:pPr>
        <w:pStyle w:val="BodyText"/>
        <w:spacing w:line="510" w:lineRule="atLeast" w:before="6"/>
        <w:ind w:left="480" w:right="0"/>
        <w:jc w:val="left"/>
      </w:pPr>
      <w:r>
        <w:rPr/>
        <w:t>（二十七）经营租赁 本公司为承租人时，在租赁期内各个期间按照直线法将租金计入相关资产成本或确认为当期损益，发</w:t>
      </w:r>
    </w:p>
    <w:p>
      <w:pPr>
        <w:pStyle w:val="BodyText"/>
        <w:spacing w:line="240" w:lineRule="auto" w:before="124"/>
        <w:ind w:right="0"/>
        <w:jc w:val="left"/>
      </w:pPr>
      <w:r>
        <w:rPr/>
        <w:t>生的初始直接费用，直接计入当期损益。或有租金在实际发生时计入当期损益。</w:t>
      </w:r>
    </w:p>
    <w:p>
      <w:pPr>
        <w:spacing w:line="240" w:lineRule="auto" w:before="6"/>
        <w:rPr>
          <w:rFonts w:ascii="宋体" w:hAnsi="宋体" w:cs="宋体" w:eastAsia="宋体" w:hint="default"/>
          <w:sz w:val="21"/>
          <w:szCs w:val="21"/>
        </w:rPr>
      </w:pPr>
    </w:p>
    <w:p>
      <w:pPr>
        <w:pStyle w:val="BodyText"/>
        <w:spacing w:line="367" w:lineRule="auto"/>
        <w:ind w:right="113" w:firstLine="359"/>
        <w:jc w:val="both"/>
      </w:pPr>
      <w:r>
        <w:rPr/>
        <w:t>本公司为出租人时，在租赁期内各个期间按照直线法将租金确认为当期损益，发生的初始直接费用， </w:t>
      </w:r>
      <w:r>
        <w:rPr>
          <w:spacing w:val="3"/>
        </w:rPr>
        <w:t>除金额较大的予以资本化并分期计入损益外，均直接计入当期损益。或有租金在实际发生时计入当期损</w:t>
      </w:r>
      <w:r>
        <w:rPr>
          <w:spacing w:val="-50"/>
        </w:rPr>
        <w:t> </w:t>
      </w:r>
      <w:r>
        <w:rPr>
          <w:spacing w:val="-50"/>
        </w:rPr>
      </w:r>
      <w:r>
        <w:rPr/>
        <w:t>益。</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t>（二十八）分部报告</w:t>
      </w:r>
    </w:p>
    <w:p>
      <w:pPr>
        <w:spacing w:line="240" w:lineRule="auto" w:before="6"/>
        <w:rPr>
          <w:rFonts w:ascii="宋体" w:hAnsi="宋体" w:cs="宋体" w:eastAsia="宋体" w:hint="default"/>
          <w:sz w:val="21"/>
          <w:szCs w:val="21"/>
        </w:rPr>
      </w:pPr>
    </w:p>
    <w:p>
      <w:pPr>
        <w:pStyle w:val="BodyText"/>
        <w:spacing w:line="367" w:lineRule="auto"/>
        <w:ind w:right="124" w:firstLine="359"/>
        <w:jc w:val="both"/>
      </w:pPr>
      <w:r>
        <w:rPr/>
        <w:t>本公司以内部组织结构、管理要求、内部报告制度为依据确定经营分部，以经营分部为基础确定报告 分部并披露分部信息。</w:t>
      </w:r>
    </w:p>
    <w:p>
      <w:pPr>
        <w:spacing w:line="240" w:lineRule="auto" w:before="2"/>
        <w:rPr>
          <w:rFonts w:ascii="宋体" w:hAnsi="宋体" w:cs="宋体" w:eastAsia="宋体" w:hint="default"/>
          <w:sz w:val="14"/>
          <w:szCs w:val="14"/>
        </w:rPr>
      </w:pPr>
    </w:p>
    <w:p>
      <w:pPr>
        <w:pStyle w:val="BodyText"/>
        <w:spacing w:line="352" w:lineRule="auto"/>
        <w:ind w:right="116" w:firstLine="359"/>
        <w:jc w:val="both"/>
      </w:pPr>
      <w:r>
        <w:rPr/>
        <w:t>经营分部是指本公司内同时满足下列条件的组成部分：</w:t>
      </w:r>
      <w:r>
        <w:rPr>
          <w:rFonts w:ascii="Times New Roman" w:hAnsi="Times New Roman" w:cs="Times New Roman" w:eastAsia="Times New Roman" w:hint="default"/>
        </w:rPr>
        <w:t>(1)</w:t>
      </w:r>
      <w:r>
        <w:rPr/>
        <w:t>该组成部分能够在日常活动中产生收入、发 </w:t>
      </w:r>
      <w:r>
        <w:rPr>
          <w:spacing w:val="2"/>
        </w:rPr>
        <w:t>生费用；</w:t>
      </w:r>
      <w:r>
        <w:rPr>
          <w:rFonts w:ascii="Times New Roman" w:hAnsi="Times New Roman" w:cs="Times New Roman" w:eastAsia="Times New Roman" w:hint="default"/>
          <w:spacing w:val="2"/>
        </w:rPr>
        <w:t>(2)</w:t>
      </w:r>
      <w:r>
        <w:rPr>
          <w:spacing w:val="2"/>
        </w:rPr>
        <w:t>本公司管理层能够定期评价该组成部分的经营成果，以决定向其配置资源、评价其业绩；</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本公司能够取得该组成部分的财务状况、经营成果和现金流量等有关会计信息。两个或多个经营分部具有</w:t>
      </w:r>
      <w:r>
        <w:rPr>
          <w:spacing w:val="-73"/>
        </w:rPr>
        <w:t> </w:t>
      </w:r>
      <w:r>
        <w:rPr>
          <w:spacing w:val="-73"/>
        </w:rPr>
      </w:r>
      <w:r>
        <w:rPr/>
        <w:t>相似的经济特征，并且满足一定条件的，则可合并为一个经营分部。</w:t>
      </w:r>
    </w:p>
    <w:p>
      <w:pPr>
        <w:spacing w:line="240" w:lineRule="auto" w:before="13"/>
        <w:rPr>
          <w:rFonts w:ascii="宋体" w:hAnsi="宋体" w:cs="宋体" w:eastAsia="宋体" w:hint="default"/>
          <w:sz w:val="14"/>
          <w:szCs w:val="14"/>
        </w:rPr>
      </w:pPr>
    </w:p>
    <w:p>
      <w:pPr>
        <w:pStyle w:val="BodyText"/>
        <w:spacing w:line="240" w:lineRule="auto"/>
        <w:ind w:left="480" w:right="0"/>
        <w:jc w:val="left"/>
      </w:pPr>
      <w:r>
        <w:rPr/>
        <w:t>（二十九）重大会计判断和估计</w:t>
      </w:r>
    </w:p>
    <w:p>
      <w:pPr>
        <w:spacing w:line="240" w:lineRule="auto" w:before="6"/>
        <w:rPr>
          <w:rFonts w:ascii="宋体" w:hAnsi="宋体" w:cs="宋体" w:eastAsia="宋体" w:hint="default"/>
          <w:sz w:val="21"/>
          <w:szCs w:val="21"/>
        </w:rPr>
      </w:pPr>
    </w:p>
    <w:p>
      <w:pPr>
        <w:pStyle w:val="BodyText"/>
        <w:spacing w:line="367" w:lineRule="auto"/>
        <w:ind w:right="124" w:firstLine="359"/>
        <w:jc w:val="both"/>
      </w:pPr>
      <w:r>
        <w:rPr/>
        <w:t>本公司在运用会计政策过程中，由于经营活动内在的不确定性，本公司需要对无法准确计量的报表项 目的账面价值进行判断、估计和假设。这些判断、估计和假设是基于本公司管理层过去的历史经验，并在</w:t>
      </w:r>
      <w:r>
        <w:rPr>
          <w:spacing w:val="-73"/>
        </w:rPr>
        <w:t> </w:t>
      </w:r>
      <w:r>
        <w:rPr>
          <w:spacing w:val="-73"/>
        </w:rPr>
      </w:r>
      <w:r>
        <w:rPr/>
        <w:t>考虑其他相关因素的基础上做出的。这些判断、估计和假设会影响收入、费用、资产和负债的报告金额以</w:t>
      </w:r>
      <w:r>
        <w:rPr>
          <w:spacing w:val="-73"/>
        </w:rPr>
        <w:t> </w:t>
      </w:r>
      <w:r>
        <w:rPr>
          <w:spacing w:val="-73"/>
        </w:rPr>
      </w:r>
      <w:r>
        <w:rPr/>
        <w:t>及资产负债表日或有负债的披露。然而，这些估计的不确定性所导致的实际结果可能与本公司管理层当前</w:t>
      </w:r>
      <w:r>
        <w:rPr>
          <w:spacing w:val="-73"/>
        </w:rPr>
        <w:t> </w:t>
      </w:r>
      <w:r>
        <w:rPr>
          <w:spacing w:val="-73"/>
        </w:rPr>
      </w:r>
      <w:r>
        <w:rPr/>
        <w:t>的估计存在差异，进而造成对未来受影响的资产或负债的账面金额进行重大调整。</w:t>
      </w:r>
    </w:p>
    <w:p>
      <w:pPr>
        <w:spacing w:line="240" w:lineRule="auto" w:before="2"/>
        <w:rPr>
          <w:rFonts w:ascii="宋体" w:hAnsi="宋体" w:cs="宋体" w:eastAsia="宋体" w:hint="default"/>
          <w:sz w:val="14"/>
          <w:szCs w:val="14"/>
        </w:rPr>
      </w:pPr>
    </w:p>
    <w:p>
      <w:pPr>
        <w:pStyle w:val="BodyText"/>
        <w:spacing w:line="367" w:lineRule="auto"/>
        <w:ind w:right="121" w:firstLine="359"/>
        <w:jc w:val="both"/>
      </w:pPr>
      <w:r>
        <w:rPr/>
        <w:t>本公司对前述判断、估计和假设在持续经营的基础上进行定期复核，会计估计的变更仅影响变更当期 的，其影响数在变更当期予以确认；既影响变更当期又影响未来期间的，其影响数在变更当期和未来期间</w:t>
      </w:r>
      <w:r>
        <w:rPr>
          <w:spacing w:val="-73"/>
        </w:rPr>
        <w:t> </w:t>
      </w:r>
      <w:r>
        <w:rPr>
          <w:spacing w:val="-73"/>
        </w:rPr>
      </w:r>
      <w:r>
        <w:rPr/>
        <w:t>予以确认。</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t>于资产负债表日，本公司需对财务报表项目金额进行判断、估计和假设的重要领域如下：</w:t>
      </w:r>
    </w:p>
    <w:p>
      <w:pPr>
        <w:pStyle w:val="BodyText"/>
        <w:spacing w:line="500" w:lineRule="atLeast" w:before="29"/>
        <w:ind w:left="480" w:right="0" w:firstLine="60"/>
        <w:jc w:val="left"/>
      </w:pPr>
      <w:r>
        <w:rPr>
          <w:rFonts w:ascii="Times New Roman" w:hAnsi="Times New Roman" w:cs="Times New Roman" w:eastAsia="Times New Roman" w:hint="default"/>
        </w:rPr>
        <w:t>1.</w:t>
      </w:r>
      <w:r>
        <w:rPr/>
        <w:t>坏账准备计提 本公司根据应收款项的会计政策，采用备抵法核算坏账损失。应收款项减值是基于评估应收款项的可</w:t>
      </w:r>
    </w:p>
    <w:p>
      <w:pPr>
        <w:pStyle w:val="BodyText"/>
        <w:spacing w:line="367" w:lineRule="auto" w:before="124"/>
        <w:ind w:right="0"/>
        <w:jc w:val="left"/>
      </w:pPr>
      <w:r>
        <w:rPr/>
        <w:t>收回性。鉴定应收款项减值要求管理层的判断和估计。实际的结果与原先估计的差异将在估计被改变的期</w:t>
      </w:r>
      <w:r>
        <w:rPr>
          <w:spacing w:val="-73"/>
        </w:rPr>
        <w:t> </w:t>
      </w:r>
      <w:r>
        <w:rPr>
          <w:spacing w:val="-73"/>
        </w:rPr>
      </w:r>
      <w:r>
        <w:rPr/>
        <w:t>间影响应收款项的账面价值及应收款项坏账准备的计提或转回。</w:t>
      </w:r>
    </w:p>
    <w:p>
      <w:pPr>
        <w:spacing w:line="240" w:lineRule="auto" w:before="2"/>
        <w:rPr>
          <w:rFonts w:ascii="宋体" w:hAnsi="宋体" w:cs="宋体" w:eastAsia="宋体" w:hint="default"/>
          <w:sz w:val="14"/>
          <w:szCs w:val="14"/>
        </w:rPr>
      </w:pPr>
    </w:p>
    <w:p>
      <w:pPr>
        <w:pStyle w:val="BodyText"/>
        <w:spacing w:line="240" w:lineRule="auto"/>
        <w:ind w:left="540" w:right="0"/>
        <w:jc w:val="left"/>
      </w:pPr>
      <w:r>
        <w:rPr>
          <w:rFonts w:ascii="Times New Roman" w:hAnsi="Times New Roman" w:cs="Times New Roman" w:eastAsia="Times New Roman" w:hint="default"/>
        </w:rPr>
        <w:t>2.</w:t>
      </w:r>
      <w:r>
        <w:rPr/>
        <w:t>存货跌价准备</w:t>
      </w:r>
    </w:p>
    <w:p>
      <w:pPr>
        <w:spacing w:line="240" w:lineRule="auto" w:before="5"/>
        <w:rPr>
          <w:rFonts w:ascii="宋体" w:hAnsi="宋体" w:cs="宋体" w:eastAsia="宋体" w:hint="default"/>
          <w:sz w:val="20"/>
          <w:szCs w:val="20"/>
        </w:rPr>
      </w:pPr>
    </w:p>
    <w:p>
      <w:pPr>
        <w:pStyle w:val="BodyText"/>
        <w:spacing w:line="367" w:lineRule="auto"/>
        <w:ind w:right="124" w:firstLine="359"/>
        <w:jc w:val="both"/>
      </w:pPr>
      <w:r>
        <w:rPr/>
        <w:t>本公司根据存货会计政策，按照成本与可变现净值孰低计量，对成本高于可变现净值及陈旧和滞销的 存货，计提存货跌价准备。存货减值至可变现净值是基于评估存货的可售性及其可变现净值。鉴定存货减</w:t>
      </w:r>
      <w:r>
        <w:rPr>
          <w:spacing w:val="-73"/>
        </w:rPr>
        <w:t> </w:t>
      </w:r>
      <w:r>
        <w:rPr>
          <w:spacing w:val="-73"/>
        </w:rPr>
      </w:r>
      <w:r>
        <w:rPr/>
        <w:t>值要求管理层在取得确凿证据，并且考虑持有存货的目的、资产负债表日后事项的影响等因素的基础上作</w:t>
      </w:r>
    </w:p>
    <w:p>
      <w:pPr>
        <w:spacing w:after="0" w:line="367" w:lineRule="auto"/>
        <w:jc w:val="both"/>
        <w:sectPr>
          <w:pgSz w:w="11910" w:h="16840"/>
          <w:pgMar w:header="0" w:footer="979" w:top="1480" w:bottom="1160" w:left="1680" w:right="1680"/>
        </w:sectPr>
      </w:pPr>
    </w:p>
    <w:p>
      <w:pPr>
        <w:pStyle w:val="BodyText"/>
        <w:spacing w:line="367" w:lineRule="auto" w:before="19"/>
        <w:ind w:left="360" w:right="0"/>
        <w:jc w:val="left"/>
      </w:pPr>
      <w:r>
        <w:rPr/>
        <w:t>出判断和估计。实际的结果与原先估计的差异将在估计被改变的期间影响存货的账面价值及存货跌价准备</w:t>
      </w:r>
      <w:r>
        <w:rPr>
          <w:spacing w:val="-73"/>
        </w:rPr>
        <w:t> </w:t>
      </w:r>
      <w:r>
        <w:rPr>
          <w:spacing w:val="-73"/>
        </w:rPr>
      </w:r>
      <w:r>
        <w:rPr/>
        <w:t>的计提或转回。</w:t>
      </w:r>
    </w:p>
    <w:p>
      <w:pPr>
        <w:spacing w:line="240" w:lineRule="auto" w:before="2"/>
        <w:rPr>
          <w:rFonts w:ascii="宋体" w:hAnsi="宋体" w:cs="宋体" w:eastAsia="宋体" w:hint="default"/>
          <w:sz w:val="14"/>
          <w:szCs w:val="14"/>
        </w:rPr>
      </w:pPr>
    </w:p>
    <w:p>
      <w:pPr>
        <w:pStyle w:val="BodyText"/>
        <w:spacing w:line="240" w:lineRule="auto"/>
        <w:ind w:left="720" w:right="0"/>
        <w:jc w:val="left"/>
      </w:pPr>
      <w:r>
        <w:rPr>
          <w:rFonts w:ascii="Times New Roman" w:hAnsi="Times New Roman" w:cs="Times New Roman" w:eastAsia="Times New Roman" w:hint="default"/>
        </w:rPr>
        <w:t>3.</w:t>
      </w:r>
      <w:r>
        <w:rPr/>
        <w:t>非金融非流动资产减值准备</w:t>
      </w:r>
    </w:p>
    <w:p>
      <w:pPr>
        <w:spacing w:line="240" w:lineRule="auto" w:before="5"/>
        <w:rPr>
          <w:rFonts w:ascii="宋体" w:hAnsi="宋体" w:cs="宋体" w:eastAsia="宋体" w:hint="default"/>
          <w:sz w:val="20"/>
          <w:szCs w:val="20"/>
        </w:rPr>
      </w:pPr>
    </w:p>
    <w:p>
      <w:pPr>
        <w:pStyle w:val="BodyText"/>
        <w:spacing w:line="367" w:lineRule="auto"/>
        <w:ind w:left="360" w:right="362" w:firstLine="359"/>
        <w:jc w:val="both"/>
      </w:pPr>
      <w:r>
        <w:rPr/>
        <w:t>本公司于资产负债表日对除金融资产之外的非流动资产判断是否存在可能发生减值的迹象。对使用寿 命不确定的无形资产，除每年进行的减值测试外，当其存在减值迹象时，也进行减值测试。其他除金融资</w:t>
      </w:r>
      <w:r>
        <w:rPr>
          <w:spacing w:val="-71"/>
        </w:rPr>
        <w:t> </w:t>
      </w:r>
      <w:r>
        <w:rPr>
          <w:spacing w:val="-71"/>
        </w:rPr>
      </w:r>
      <w:r>
        <w:rPr/>
        <w:t>产之外的非流动资产，当存在迹象表明其账面金额不可收回时，进行减值测试。当资产或资产组的账面价</w:t>
      </w:r>
      <w:r>
        <w:rPr>
          <w:spacing w:val="-73"/>
        </w:rPr>
        <w:t> </w:t>
      </w:r>
      <w:r>
        <w:rPr>
          <w:spacing w:val="-73"/>
        </w:rPr>
      </w:r>
      <w:r>
        <w:rPr/>
        <w:t>值高于可收回金额，即公允价值减去处置费用后的净额和预计未来现金流量的现值中的较高者，表明发生</w:t>
      </w:r>
      <w:r>
        <w:rPr>
          <w:spacing w:val="-73"/>
        </w:rPr>
        <w:t> </w:t>
      </w:r>
      <w:r>
        <w:rPr>
          <w:spacing w:val="-73"/>
        </w:rPr>
      </w:r>
      <w:r>
        <w:rPr/>
        <w:t>了减值。公允价值减去处置费用后的净额，参考公平交易中类似资产的销售协议价格或可观察到的市场价</w:t>
      </w:r>
      <w:r>
        <w:rPr>
          <w:spacing w:val="-73"/>
        </w:rPr>
        <w:t> </w:t>
      </w:r>
      <w:r>
        <w:rPr>
          <w:spacing w:val="-73"/>
        </w:rPr>
      </w:r>
      <w:r>
        <w:rPr/>
        <w:t>格，减去可直接归属于该资产处置的增量成本确定。在预计未来现金流量现值时，需要对该资产（或资产</w:t>
      </w:r>
      <w:r>
        <w:rPr>
          <w:spacing w:val="-73"/>
        </w:rPr>
        <w:t> </w:t>
      </w:r>
      <w:r>
        <w:rPr>
          <w:spacing w:val="-73"/>
        </w:rPr>
      </w:r>
      <w:r>
        <w:rPr/>
        <w:t>组）的产量、售价、相关经营成本以及计算现值时使用的折现率等作出重大判断。本公司在估计可收回金</w:t>
      </w:r>
      <w:r>
        <w:rPr>
          <w:spacing w:val="-73"/>
        </w:rPr>
        <w:t> </w:t>
      </w:r>
      <w:r>
        <w:rPr>
          <w:spacing w:val="-73"/>
        </w:rPr>
      </w:r>
      <w:r>
        <w:rPr/>
        <w:t>额时会采用所有能够获得的相关资料，包括根据合理和可支持的假设所作出有关产量、售价和相关经营成</w:t>
      </w:r>
      <w:r>
        <w:rPr>
          <w:spacing w:val="-73"/>
        </w:rPr>
        <w:t> </w:t>
      </w:r>
      <w:r>
        <w:rPr>
          <w:spacing w:val="-73"/>
        </w:rPr>
      </w:r>
      <w:r>
        <w:rPr/>
        <w:t>本的预测。本公司至少每年测试商誉是否发生减值。这要求对分配了商誉的资产组或者资产组组合的未来</w:t>
      </w:r>
      <w:r>
        <w:rPr>
          <w:spacing w:val="-73"/>
        </w:rPr>
        <w:t> </w:t>
      </w:r>
      <w:r>
        <w:rPr>
          <w:spacing w:val="-73"/>
        </w:rPr>
      </w:r>
      <w:r>
        <w:rPr/>
        <w:t>现金流量的现值进行预计。对未来现金流量的现值进行预计时，本公司需要预计未来资产组或者资产组组</w:t>
      </w:r>
      <w:r>
        <w:rPr>
          <w:spacing w:val="-73"/>
        </w:rPr>
        <w:t> </w:t>
      </w:r>
      <w:r>
        <w:rPr>
          <w:spacing w:val="-73"/>
        </w:rPr>
      </w:r>
      <w:r>
        <w:rPr/>
        <w:t>合产生的现金流量，同时选择恰当的折现率确定未来现金流量的现值。</w:t>
      </w:r>
    </w:p>
    <w:p>
      <w:pPr>
        <w:spacing w:line="240" w:lineRule="auto" w:before="2"/>
        <w:rPr>
          <w:rFonts w:ascii="宋体" w:hAnsi="宋体" w:cs="宋体" w:eastAsia="宋体" w:hint="default"/>
          <w:sz w:val="14"/>
          <w:szCs w:val="14"/>
        </w:rPr>
      </w:pPr>
    </w:p>
    <w:p>
      <w:pPr>
        <w:pStyle w:val="BodyText"/>
        <w:spacing w:line="240" w:lineRule="auto"/>
        <w:ind w:left="720" w:right="0"/>
        <w:jc w:val="left"/>
      </w:pPr>
      <w:r>
        <w:rPr>
          <w:rFonts w:ascii="Times New Roman" w:hAnsi="Times New Roman" w:cs="Times New Roman" w:eastAsia="Times New Roman" w:hint="default"/>
        </w:rPr>
        <w:t>4.</w:t>
      </w:r>
      <w:r>
        <w:rPr/>
        <w:t>折旧和摊销</w:t>
      </w:r>
    </w:p>
    <w:p>
      <w:pPr>
        <w:spacing w:line="240" w:lineRule="auto" w:before="5"/>
        <w:rPr>
          <w:rFonts w:ascii="宋体" w:hAnsi="宋体" w:cs="宋体" w:eastAsia="宋体" w:hint="default"/>
          <w:sz w:val="20"/>
          <w:szCs w:val="20"/>
        </w:rPr>
      </w:pPr>
    </w:p>
    <w:p>
      <w:pPr>
        <w:pStyle w:val="BodyText"/>
        <w:spacing w:line="367" w:lineRule="auto"/>
        <w:ind w:left="360" w:right="360" w:firstLine="359"/>
        <w:jc w:val="both"/>
      </w:pPr>
      <w:r>
        <w:rPr/>
        <w:t>本公司对固定资产和无形资产在考虑其残值后，在使用寿命内按直线法计提折旧和摊销。本公司定期 复核使用寿命，以决定将计入每个报告期的折旧和摊销费用数额。使用寿命是本公司根据对同类资产的以</w:t>
      </w:r>
      <w:r>
        <w:rPr>
          <w:spacing w:val="-70"/>
        </w:rPr>
        <w:t> </w:t>
      </w:r>
      <w:r>
        <w:rPr>
          <w:spacing w:val="-70"/>
        </w:rPr>
      </w:r>
      <w:r>
        <w:rPr/>
        <w:t>往经验并结合预期的技术更新而确定的。如果以前的估计发生重大变化，则会在未来期间对折旧和摊销费</w:t>
      </w:r>
      <w:r>
        <w:rPr>
          <w:spacing w:val="-73"/>
        </w:rPr>
        <w:t> </w:t>
      </w:r>
      <w:r>
        <w:rPr>
          <w:spacing w:val="-73"/>
        </w:rPr>
      </w:r>
      <w:r>
        <w:rPr/>
        <w:t>用进行调整。</w:t>
      </w:r>
    </w:p>
    <w:p>
      <w:pPr>
        <w:spacing w:line="240" w:lineRule="auto" w:before="2"/>
        <w:rPr>
          <w:rFonts w:ascii="宋体" w:hAnsi="宋体" w:cs="宋体" w:eastAsia="宋体" w:hint="default"/>
          <w:sz w:val="14"/>
          <w:szCs w:val="14"/>
        </w:rPr>
      </w:pPr>
    </w:p>
    <w:p>
      <w:pPr>
        <w:pStyle w:val="BodyText"/>
        <w:spacing w:line="240" w:lineRule="auto"/>
        <w:ind w:left="720" w:right="0"/>
        <w:jc w:val="left"/>
      </w:pPr>
      <w:r>
        <w:rPr>
          <w:rFonts w:ascii="Times New Roman" w:hAnsi="Times New Roman" w:cs="Times New Roman" w:eastAsia="Times New Roman" w:hint="default"/>
        </w:rPr>
        <w:t>5.</w:t>
      </w:r>
      <w:r>
        <w:rPr/>
        <w:t>所得税</w:t>
      </w:r>
    </w:p>
    <w:p>
      <w:pPr>
        <w:spacing w:line="240" w:lineRule="auto" w:before="5"/>
        <w:rPr>
          <w:rFonts w:ascii="宋体" w:hAnsi="宋体" w:cs="宋体" w:eastAsia="宋体" w:hint="default"/>
          <w:sz w:val="20"/>
          <w:szCs w:val="20"/>
        </w:rPr>
      </w:pPr>
    </w:p>
    <w:p>
      <w:pPr>
        <w:pStyle w:val="BodyText"/>
        <w:spacing w:line="367" w:lineRule="auto"/>
        <w:ind w:left="360" w:right="364" w:firstLine="359"/>
        <w:jc w:val="both"/>
      </w:pPr>
      <w:r>
        <w:rPr/>
        <w:t>本公司在正常的经营活动中，有部分交易其最终的税务处理和计算存在一定的不确定性。部分项目是 否能够在税前列支需要税收主管机关的审批。如果这些税务事项的最终认定结果同最初估计的金额存在差</w:t>
      </w:r>
      <w:r>
        <w:rPr>
          <w:spacing w:val="-73"/>
        </w:rPr>
        <w:t> </w:t>
      </w:r>
      <w:r>
        <w:rPr>
          <w:spacing w:val="-73"/>
        </w:rPr>
      </w:r>
      <w:r>
        <w:rPr/>
        <w:t>异，则该差异将对其最终认定期间的当期所得税和递延所得税产生影响。</w:t>
      </w:r>
    </w:p>
    <w:p>
      <w:pPr>
        <w:spacing w:line="240" w:lineRule="auto" w:before="1"/>
        <w:rPr>
          <w:rFonts w:ascii="宋体" w:hAnsi="宋体" w:cs="宋体" w:eastAsia="宋体" w:hint="default"/>
          <w:sz w:val="17"/>
          <w:szCs w:val="17"/>
        </w:rPr>
      </w:pPr>
    </w:p>
    <w:p>
      <w:pPr>
        <w:pStyle w:val="Heading3"/>
        <w:spacing w:line="240" w:lineRule="auto"/>
        <w:ind w:left="360" w:right="0"/>
        <w:jc w:val="left"/>
        <w:rPr>
          <w:b w:val="0"/>
          <w:bCs w:val="0"/>
        </w:rPr>
      </w:pPr>
      <w:r>
        <w:rPr/>
        <w:t>四、税项</w:t>
      </w:r>
      <w:r>
        <w:rPr>
          <w:b w:val="0"/>
          <w:bCs w:val="0"/>
        </w:rPr>
      </w:r>
    </w:p>
    <w:p>
      <w:pPr>
        <w:spacing w:line="240" w:lineRule="auto" w:before="10"/>
        <w:rPr>
          <w:rFonts w:ascii="宋体" w:hAnsi="宋体" w:cs="宋体" w:eastAsia="宋体" w:hint="default"/>
          <w:b/>
          <w:bCs/>
          <w:sz w:val="32"/>
          <w:szCs w:val="32"/>
        </w:rPr>
      </w:pPr>
    </w:p>
    <w:p>
      <w:pPr>
        <w:pStyle w:val="BodyText"/>
        <w:spacing w:line="240" w:lineRule="auto"/>
        <w:ind w:left="720" w:right="0"/>
        <w:jc w:val="left"/>
      </w:pPr>
      <w:r>
        <w:rPr/>
        <w:t>（一）主要税种及税率</w:t>
      </w:r>
    </w:p>
    <w:p>
      <w:pPr>
        <w:spacing w:line="240" w:lineRule="auto" w:before="6"/>
        <w:rPr>
          <w:rFonts w:ascii="宋体" w:hAnsi="宋体" w:cs="宋体" w:eastAsia="宋体"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2108"/>
        <w:gridCol w:w="4521"/>
        <w:gridCol w:w="2168"/>
      </w:tblGrid>
      <w:tr>
        <w:trPr>
          <w:trHeight w:val="272" w:hRule="exact"/>
        </w:trPr>
        <w:tc>
          <w:tcPr>
            <w:tcW w:w="2108"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4521" w:type="dxa"/>
            <w:tcBorders>
              <w:top w:val="nil" w:sz="6" w:space="0" w:color="auto"/>
              <w:left w:val="nil" w:sz="6" w:space="0" w:color="auto"/>
              <w:bottom w:val="single" w:sz="4" w:space="0" w:color="000000"/>
              <w:right w:val="nil" w:sz="6" w:space="0" w:color="auto"/>
            </w:tcBorders>
          </w:tcPr>
          <w:p>
            <w:pPr>
              <w:pStyle w:val="TableParagraph"/>
              <w:spacing w:line="180" w:lineRule="exact"/>
              <w:ind w:right="53"/>
              <w:jc w:val="center"/>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sz w:val="18"/>
                <w:szCs w:val="18"/>
              </w:rPr>
            </w:r>
          </w:p>
        </w:tc>
        <w:tc>
          <w:tcPr>
            <w:tcW w:w="2168" w:type="dxa"/>
            <w:tcBorders>
              <w:top w:val="nil" w:sz="6" w:space="0" w:color="auto"/>
              <w:left w:val="nil" w:sz="6" w:space="0" w:color="auto"/>
              <w:bottom w:val="single" w:sz="4" w:space="0" w:color="000000"/>
              <w:right w:val="nil" w:sz="6" w:space="0" w:color="auto"/>
            </w:tcBorders>
          </w:tcPr>
          <w:p>
            <w:pPr>
              <w:pStyle w:val="TableParagraph"/>
              <w:spacing w:line="180" w:lineRule="exact"/>
              <w:ind w:right="51"/>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432" w:hRule="exact"/>
        </w:trPr>
        <w:tc>
          <w:tcPr>
            <w:tcW w:w="210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52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pacing w:val="13"/>
                <w:sz w:val="18"/>
                <w:szCs w:val="18"/>
              </w:rPr>
              <w:t>销售货物或提供应税劳务</w:t>
            </w:r>
          </w:p>
        </w:tc>
        <w:tc>
          <w:tcPr>
            <w:tcW w:w="216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47"/>
              <w:jc w:val="center"/>
              <w:rPr>
                <w:rFonts w:ascii="Times New Roman" w:hAnsi="Times New Roman" w:cs="Times New Roman" w:eastAsia="Times New Roman" w:hint="default"/>
                <w:sz w:val="18"/>
                <w:szCs w:val="18"/>
              </w:rPr>
            </w:pPr>
            <w:r>
              <w:rPr>
                <w:rFonts w:ascii="宋体" w:hAnsi="宋体" w:cs="宋体" w:eastAsia="宋体" w:hint="default"/>
                <w:sz w:val="18"/>
                <w:szCs w:val="18"/>
              </w:rPr>
              <w:t>免征、</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1" w:hRule="exact"/>
        </w:trPr>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52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pacing w:val="13"/>
                <w:sz w:val="18"/>
                <w:szCs w:val="18"/>
              </w:rPr>
              <w:t>应纳税营业额</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9"/>
              <w:jc w:val="center"/>
              <w:rPr>
                <w:rFonts w:ascii="Times New Roman" w:hAnsi="Times New Roman" w:cs="Times New Roman" w:eastAsia="Times New Roman" w:hint="default"/>
                <w:sz w:val="18"/>
                <w:szCs w:val="18"/>
              </w:rPr>
            </w:pPr>
            <w:r>
              <w:rPr>
                <w:rFonts w:ascii="Times New Roman"/>
                <w:sz w:val="18"/>
              </w:rPr>
              <w:t>5%</w:t>
            </w:r>
          </w:p>
        </w:tc>
      </w:tr>
      <w:tr>
        <w:trPr>
          <w:trHeight w:val="760" w:hRule="exact"/>
        </w:trPr>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452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从价计征的，按房产原值一次减除 </w:t>
            </w:r>
            <w:r>
              <w:rPr>
                <w:rFonts w:ascii="Times New Roman" w:hAnsi="Times New Roman" w:cs="Times New Roman" w:eastAsia="Times New Roman" w:hint="default"/>
                <w:sz w:val="18"/>
                <w:szCs w:val="18"/>
              </w:rPr>
              <w:t>20%</w:t>
            </w:r>
            <w:r>
              <w:rPr>
                <w:rFonts w:ascii="宋体" w:hAnsi="宋体" w:cs="宋体" w:eastAsia="宋体" w:hint="default"/>
                <w:sz w:val="18"/>
                <w:szCs w:val="18"/>
              </w:rPr>
              <w:t>后余值的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108"/>
              <w:ind w:left="104" w:right="0"/>
              <w:jc w:val="left"/>
              <w:rPr>
                <w:rFonts w:ascii="宋体" w:hAnsi="宋体" w:cs="宋体" w:eastAsia="宋体" w:hint="default"/>
                <w:sz w:val="18"/>
                <w:szCs w:val="18"/>
              </w:rPr>
            </w:pPr>
            <w:r>
              <w:rPr>
                <w:rFonts w:ascii="宋体" w:hAnsi="宋体" w:cs="宋体" w:eastAsia="宋体" w:hint="default"/>
                <w:sz w:val="18"/>
                <w:szCs w:val="18"/>
              </w:rPr>
              <w:t>计缴；从租计征的，按租金收入的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按税法规定执行</w:t>
            </w:r>
          </w:p>
        </w:tc>
      </w:tr>
      <w:tr>
        <w:trPr>
          <w:trHeight w:val="401" w:hRule="exact"/>
        </w:trPr>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52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643" w:hRule="exact"/>
        </w:trPr>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pacing w:val="9"/>
                <w:sz w:val="18"/>
                <w:szCs w:val="18"/>
              </w:rPr>
              <w:t>教育费附加及地方教育</w:t>
            </w:r>
            <w:r>
              <w:rPr>
                <w:rFonts w:ascii="宋体" w:hAnsi="宋体" w:cs="宋体" w:eastAsia="宋体" w:hint="default"/>
                <w:sz w:val="18"/>
                <w:szCs w:val="18"/>
              </w:rPr>
            </w:r>
          </w:p>
          <w:p>
            <w:pPr>
              <w:pStyle w:val="TableParagraph"/>
              <w:spacing w:line="240" w:lineRule="auto" w:before="122"/>
              <w:ind w:left="107" w:right="0"/>
              <w:jc w:val="left"/>
              <w:rPr>
                <w:rFonts w:ascii="宋体" w:hAnsi="宋体" w:cs="宋体" w:eastAsia="宋体" w:hint="default"/>
                <w:sz w:val="18"/>
                <w:szCs w:val="18"/>
              </w:rPr>
            </w:pPr>
            <w:r>
              <w:rPr>
                <w:rFonts w:ascii="宋体" w:hAnsi="宋体" w:cs="宋体" w:eastAsia="宋体" w:hint="default"/>
                <w:sz w:val="18"/>
                <w:szCs w:val="18"/>
              </w:rPr>
              <w:t>附加</w:t>
            </w:r>
          </w:p>
        </w:tc>
        <w:tc>
          <w:tcPr>
            <w:tcW w:w="45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9"/>
              <w:jc w:val="center"/>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480" w:bottom="1160" w:left="1440" w:right="1440"/>
        </w:sectPr>
      </w:pPr>
    </w:p>
    <w:p>
      <w:pPr>
        <w:spacing w:line="240" w:lineRule="auto" w:before="7"/>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702"/>
        <w:gridCol w:w="3694"/>
        <w:gridCol w:w="3053"/>
      </w:tblGrid>
      <w:tr>
        <w:trPr>
          <w:trHeight w:val="19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694" w:type="dxa"/>
            <w:tcBorders>
              <w:top w:val="nil" w:sz="6" w:space="0" w:color="auto"/>
              <w:left w:val="nil" w:sz="6" w:space="0" w:color="auto"/>
              <w:bottom w:val="nil" w:sz="6" w:space="0" w:color="auto"/>
              <w:right w:val="nil" w:sz="6" w:space="0" w:color="auto"/>
            </w:tcBorders>
          </w:tcPr>
          <w:p>
            <w:pPr>
              <w:pStyle w:val="TableParagraph"/>
              <w:spacing w:line="180" w:lineRule="exact"/>
              <w:ind w:left="60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53" w:type="dxa"/>
            <w:tcBorders>
              <w:top w:val="nil" w:sz="6" w:space="0" w:color="auto"/>
              <w:left w:val="nil" w:sz="6" w:space="0" w:color="auto"/>
              <w:bottom w:val="nil" w:sz="6" w:space="0" w:color="auto"/>
              <w:right w:val="nil" w:sz="6" w:space="0" w:color="auto"/>
            </w:tcBorders>
          </w:tcPr>
          <w:p>
            <w:pPr>
              <w:pStyle w:val="TableParagraph"/>
              <w:spacing w:line="194" w:lineRule="exact"/>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spacing w:line="240" w:lineRule="auto" w:before="12"/>
        <w:rPr>
          <w:rFonts w:ascii="宋体" w:hAnsi="宋体" w:cs="宋体" w:eastAsia="宋体" w:hint="default"/>
          <w:sz w:val="29"/>
          <w:szCs w:val="29"/>
        </w:rPr>
      </w:pPr>
    </w:p>
    <w:p>
      <w:pPr>
        <w:pStyle w:val="BodyText"/>
        <w:spacing w:line="345" w:lineRule="auto" w:before="44"/>
        <w:ind w:left="440" w:right="191" w:firstLine="359"/>
        <w:jc w:val="left"/>
      </w:pPr>
      <w:r>
        <w:rPr/>
        <w:t>注</w:t>
      </w:r>
      <w:r>
        <w:rPr>
          <w:spacing w:val="16"/>
        </w:rPr>
        <w:t> </w:t>
      </w:r>
      <w:r>
        <w:rPr>
          <w:rFonts w:ascii="Times New Roman" w:hAnsi="Times New Roman" w:cs="Times New Roman" w:eastAsia="Times New Roman" w:hint="default"/>
        </w:rPr>
        <w:t>1</w:t>
      </w:r>
      <w:r>
        <w:rPr/>
        <w:t>：本期图书销售收入免征增值税；期刊收入按销售商品或提供劳务的增值额计缴增值税，税率为 </w:t>
      </w:r>
      <w:r>
        <w:rPr>
          <w:rFonts w:ascii="Times New Roman" w:hAnsi="Times New Roman" w:cs="Times New Roman" w:eastAsia="Times New Roman" w:hint="default"/>
        </w:rPr>
        <w:t>13%</w:t>
      </w:r>
      <w:r>
        <w:rPr/>
        <w:t>；其他货物销售收入增值税税率为</w:t>
      </w:r>
      <w:r>
        <w:rPr>
          <w:spacing w:val="-44"/>
        </w:rPr>
        <w:t> </w:t>
      </w:r>
      <w:r>
        <w:rPr>
          <w:rFonts w:ascii="Times New Roman" w:hAnsi="Times New Roman" w:cs="Times New Roman" w:eastAsia="Times New Roman" w:hint="default"/>
        </w:rPr>
        <w:t>17%</w:t>
      </w:r>
      <w:r>
        <w:rPr/>
        <w:t>。</w:t>
      </w:r>
    </w:p>
    <w:p>
      <w:pPr>
        <w:spacing w:line="240" w:lineRule="auto" w:before="9"/>
        <w:rPr>
          <w:rFonts w:ascii="宋体" w:hAnsi="宋体" w:cs="宋体" w:eastAsia="宋体" w:hint="default"/>
          <w:sz w:val="13"/>
          <w:szCs w:val="13"/>
        </w:rPr>
      </w:pPr>
    </w:p>
    <w:p>
      <w:pPr>
        <w:pStyle w:val="BodyText"/>
        <w:spacing w:line="357" w:lineRule="auto"/>
        <w:ind w:left="440" w:right="196" w:firstLine="359"/>
        <w:jc w:val="both"/>
      </w:pPr>
      <w:r>
        <w:rPr/>
        <w:t>根据《财政部国家税务总局关于在全国开展交通运输业和部分现代服务业营业税改征增值税试点税收 </w:t>
      </w:r>
      <w:r>
        <w:rPr>
          <w:spacing w:val="-6"/>
        </w:rPr>
        <w:t>政策的通知》（财税〔</w:t>
      </w:r>
      <w:r>
        <w:rPr>
          <w:rFonts w:ascii="Times New Roman" w:hAnsi="Times New Roman" w:cs="Times New Roman" w:eastAsia="Times New Roman" w:hint="default"/>
          <w:spacing w:val="-6"/>
        </w:rPr>
        <w:t>2013</w:t>
      </w:r>
      <w:r>
        <w:rPr>
          <w:spacing w:val="-6"/>
        </w:rPr>
        <w:t>〕</w:t>
      </w:r>
      <w:r>
        <w:rPr>
          <w:rFonts w:ascii="Times New Roman" w:hAnsi="Times New Roman" w:cs="Times New Roman" w:eastAsia="Times New Roman" w:hint="default"/>
          <w:spacing w:val="-6"/>
        </w:rPr>
        <w:t>37</w:t>
      </w:r>
      <w:r>
        <w:rPr>
          <w:rFonts w:ascii="Times New Roman" w:hAnsi="Times New Roman" w:cs="Times New Roman" w:eastAsia="Times New Roman" w:hint="default"/>
          <w:spacing w:val="43"/>
        </w:rPr>
        <w:t> </w:t>
      </w:r>
      <w:r>
        <w:rPr>
          <w:spacing w:val="-4"/>
        </w:rPr>
        <w:t>号），本公司图书推广劳务收入缴纳增值税，适应增值税税率为</w:t>
      </w:r>
      <w:r>
        <w:rPr>
          <w:spacing w:val="-2"/>
        </w:rPr>
        <w:t> </w:t>
      </w:r>
      <w:r>
        <w:rPr>
          <w:rFonts w:ascii="Times New Roman" w:hAnsi="Times New Roman" w:cs="Times New Roman" w:eastAsia="Times New Roman" w:hint="default"/>
          <w:spacing w:val="-1"/>
        </w:rPr>
        <w:t>6%</w:t>
      </w:r>
      <w:r>
        <w:rPr>
          <w:spacing w:val="-1"/>
        </w:rPr>
        <w:t>；本公</w:t>
      </w:r>
      <w:r>
        <w:rPr>
          <w:spacing w:val="-88"/>
        </w:rPr>
        <w:t> </w:t>
      </w:r>
      <w:r>
        <w:rPr/>
        <w:t>司取得的文化创意及数字信息服务收入缴纳增值税，适应增值税税率为</w:t>
      </w:r>
      <w:r>
        <w:rPr>
          <w:spacing w:val="-45"/>
        </w:rPr>
        <w:t> </w:t>
      </w:r>
      <w:r>
        <w:rPr>
          <w:rFonts w:ascii="Times New Roman" w:hAnsi="Times New Roman" w:cs="Times New Roman" w:eastAsia="Times New Roman" w:hint="default"/>
        </w:rPr>
        <w:t>6%</w:t>
      </w:r>
      <w:r>
        <w:rPr/>
        <w:t>；</w:t>
      </w:r>
    </w:p>
    <w:p>
      <w:pPr>
        <w:spacing w:line="240" w:lineRule="auto" w:before="12"/>
        <w:rPr>
          <w:rFonts w:ascii="宋体" w:hAnsi="宋体" w:cs="宋体" w:eastAsia="宋体" w:hint="default"/>
          <w:sz w:val="12"/>
          <w:szCs w:val="12"/>
        </w:rPr>
      </w:pPr>
    </w:p>
    <w:p>
      <w:pPr>
        <w:pStyle w:val="BodyText"/>
        <w:spacing w:line="348" w:lineRule="auto"/>
        <w:ind w:left="440" w:right="196" w:firstLine="359"/>
        <w:jc w:val="both"/>
      </w:pPr>
      <w:r>
        <w:rPr/>
        <w:t>注</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5"/>
        </w:rPr>
        <w:t>根据《财政部国家税务总局关于在北京等</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省市开展交通运输业和部分现代服务业营业税改征增 </w:t>
      </w:r>
      <w:r>
        <w:rPr>
          <w:spacing w:val="-5"/>
        </w:rPr>
        <w:t>值税试点的通知》（财税〔</w:t>
      </w:r>
      <w:r>
        <w:rPr>
          <w:rFonts w:ascii="Times New Roman" w:hAnsi="Times New Roman" w:cs="Times New Roman" w:eastAsia="Times New Roman" w:hint="default"/>
          <w:spacing w:val="-5"/>
        </w:rPr>
        <w:t>2012</w:t>
      </w:r>
      <w:r>
        <w:rPr>
          <w:spacing w:val="-5"/>
        </w:rPr>
        <w:t>〕</w:t>
      </w:r>
      <w:r>
        <w:rPr>
          <w:rFonts w:ascii="Times New Roman" w:hAnsi="Times New Roman" w:cs="Times New Roman" w:eastAsia="Times New Roman" w:hint="default"/>
          <w:spacing w:val="-5"/>
        </w:rPr>
        <w:t>71</w:t>
      </w:r>
      <w:r>
        <w:rPr>
          <w:rFonts w:ascii="Times New Roman" w:hAnsi="Times New Roman" w:cs="Times New Roman" w:eastAsia="Times New Roman" w:hint="default"/>
          <w:spacing w:val="20"/>
        </w:rPr>
        <w:t> </w:t>
      </w:r>
      <w:r>
        <w:rPr/>
        <w:t>号）及《交通运输业和部分现代服务业营业税改征增值税试点实施办</w:t>
      </w:r>
      <w:r>
        <w:rPr>
          <w:spacing w:val="-87"/>
        </w:rPr>
        <w:t> </w:t>
      </w:r>
      <w:r>
        <w:rPr>
          <w:spacing w:val="-87"/>
        </w:rPr>
      </w:r>
      <w:r>
        <w:rPr/>
        <w:t>法》</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111</w:t>
      </w:r>
      <w:r>
        <w:rPr>
          <w:rFonts w:ascii="Times New Roman" w:hAnsi="Times New Roman" w:cs="Times New Roman" w:eastAsia="Times New Roman" w:hint="default"/>
          <w:spacing w:val="11"/>
        </w:rPr>
        <w:t> </w:t>
      </w:r>
      <w:r>
        <w:rPr/>
        <w:t>号）的相关规定，本公司之子公司北京神奇时代网络有限公司的信息技术服务收入 适用</w:t>
      </w:r>
      <w:r>
        <w:rPr>
          <w:spacing w:val="-46"/>
        </w:rPr>
        <w:t> </w:t>
      </w:r>
      <w:r>
        <w:rPr>
          <w:rFonts w:ascii="Times New Roman" w:hAnsi="Times New Roman" w:cs="Times New Roman" w:eastAsia="Times New Roman" w:hint="default"/>
        </w:rPr>
        <w:t>6%</w:t>
      </w:r>
      <w:r>
        <w:rPr/>
        <w:t>的增值税率。</w:t>
      </w:r>
    </w:p>
    <w:p>
      <w:pPr>
        <w:spacing w:line="240" w:lineRule="auto" w:before="7"/>
        <w:rPr>
          <w:rFonts w:ascii="宋体" w:hAnsi="宋体" w:cs="宋体" w:eastAsia="宋体" w:hint="default"/>
          <w:sz w:val="13"/>
          <w:szCs w:val="13"/>
        </w:rPr>
      </w:pPr>
    </w:p>
    <w:p>
      <w:pPr>
        <w:pStyle w:val="BodyText"/>
        <w:spacing w:line="367" w:lineRule="auto"/>
        <w:ind w:left="440" w:right="191" w:firstLine="359"/>
        <w:jc w:val="left"/>
      </w:pPr>
      <w:r>
        <w:rPr/>
        <w:t>由于本公司之孙公司神奇时代信息技术（天津）有限公司成立之日在天津市实施营业税改征增值税试 点日之后，自该公司成立之日起的信息技术服务收入适用</w:t>
      </w:r>
      <w:r>
        <w:rPr>
          <w:spacing w:val="-45"/>
        </w:rPr>
        <w:t> </w:t>
      </w:r>
      <w:r>
        <w:rPr>
          <w:rFonts w:ascii="Times New Roman" w:hAnsi="Times New Roman" w:cs="Times New Roman" w:eastAsia="Times New Roman" w:hint="default"/>
        </w:rPr>
        <w:t>6%</w:t>
      </w:r>
      <w:r>
        <w:rPr/>
        <w:t>的增值税。</w:t>
      </w:r>
    </w:p>
    <w:p>
      <w:pPr>
        <w:pStyle w:val="BodyText"/>
        <w:spacing w:line="240" w:lineRule="auto" w:before="161"/>
        <w:ind w:left="800" w:right="191"/>
        <w:jc w:val="left"/>
      </w:pPr>
      <w:r>
        <w:rPr/>
        <w:t>（二）重要税收优惠政策及其依据</w:t>
      </w:r>
    </w:p>
    <w:p>
      <w:pPr>
        <w:spacing w:line="240" w:lineRule="auto" w:before="6"/>
        <w:rPr>
          <w:rFonts w:ascii="宋体" w:hAnsi="宋体" w:cs="宋体" w:eastAsia="宋体" w:hint="default"/>
          <w:sz w:val="21"/>
          <w:szCs w:val="21"/>
        </w:rPr>
      </w:pPr>
    </w:p>
    <w:p>
      <w:pPr>
        <w:pStyle w:val="BodyText"/>
        <w:spacing w:line="348" w:lineRule="auto"/>
        <w:ind w:left="440" w:right="0" w:firstLine="359"/>
        <w:jc w:val="left"/>
      </w:pPr>
      <w:r>
        <w:rPr>
          <w:rFonts w:ascii="Times New Roman" w:hAnsi="Times New Roman" w:cs="Times New Roman" w:eastAsia="Times New Roman" w:hint="default"/>
        </w:rPr>
        <w:t>1. </w:t>
      </w:r>
      <w:r>
        <w:rPr/>
        <w:t>本公司之子公司北京神奇时代网络有限公司于</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30 </w:t>
      </w:r>
      <w:r>
        <w:rPr/>
        <w:t>日被认定为高新技术企业</w:t>
      </w:r>
      <w:r>
        <w:rPr>
          <w:rFonts w:ascii="Times New Roman" w:hAnsi="Times New Roman" w:cs="Times New Roman" w:eastAsia="Times New Roman" w:hint="default"/>
        </w:rPr>
        <w:t>(</w:t>
      </w:r>
      <w:r>
        <w:rPr/>
        <w:t>证书编号： </w:t>
      </w:r>
      <w:r>
        <w:rPr>
          <w:rFonts w:ascii="Times New Roman" w:hAnsi="Times New Roman" w:cs="Times New Roman" w:eastAsia="Times New Roman" w:hint="default"/>
          <w:spacing w:val="-2"/>
        </w:rPr>
        <w:t>GF201411000093)</w:t>
      </w:r>
      <w:r>
        <w:rPr>
          <w:spacing w:val="-2"/>
        </w:rPr>
        <w:t>，有效期三年。根据《中华人民共和国所得税法》规定，公司享受高新技术企业所得税优</w:t>
      </w:r>
      <w:r>
        <w:rPr>
          <w:spacing w:val="-75"/>
        </w:rPr>
        <w:t> </w:t>
      </w:r>
      <w:r>
        <w:rPr>
          <w:spacing w:val="-75"/>
        </w:rPr>
      </w:r>
      <w:r>
        <w:rPr/>
        <w:t>惠政策。</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2016 </w:t>
      </w:r>
      <w:r>
        <w:rPr/>
        <w:t>年按</w:t>
      </w:r>
      <w:r>
        <w:rPr>
          <w:spacing w:val="-50"/>
        </w:rPr>
        <w:t> </w:t>
      </w:r>
      <w:r>
        <w:rPr>
          <w:rFonts w:ascii="Times New Roman" w:hAnsi="Times New Roman" w:cs="Times New Roman" w:eastAsia="Times New Roman" w:hint="default"/>
        </w:rPr>
        <w:t>15%</w:t>
      </w:r>
      <w:r>
        <w:rPr/>
        <w:t>税率计缴企业所得税。</w:t>
      </w:r>
    </w:p>
    <w:p>
      <w:pPr>
        <w:spacing w:line="240" w:lineRule="auto" w:before="7"/>
        <w:rPr>
          <w:rFonts w:ascii="宋体" w:hAnsi="宋体" w:cs="宋体" w:eastAsia="宋体" w:hint="default"/>
          <w:sz w:val="13"/>
          <w:szCs w:val="13"/>
        </w:rPr>
      </w:pPr>
    </w:p>
    <w:p>
      <w:pPr>
        <w:pStyle w:val="BodyText"/>
        <w:spacing w:line="240" w:lineRule="auto"/>
        <w:ind w:left="800"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日财政部国家税务总局联合发布了《关于延续宣传文化增值税和营业税优惠政策的</w:t>
      </w:r>
    </w:p>
    <w:p>
      <w:pPr>
        <w:pStyle w:val="BodyText"/>
        <w:spacing w:line="345" w:lineRule="auto" w:before="111"/>
        <w:ind w:left="440" w:right="191"/>
        <w:jc w:val="left"/>
      </w:pPr>
      <w:r>
        <w:rPr>
          <w:spacing w:val="-3"/>
        </w:rPr>
        <w:t>通知》</w:t>
      </w:r>
      <w:r>
        <w:rPr>
          <w:rFonts w:ascii="Times New Roman" w:hAnsi="Times New Roman" w:cs="Times New Roman" w:eastAsia="Times New Roman" w:hint="default"/>
          <w:spacing w:val="-3"/>
        </w:rPr>
        <w:t>(</w:t>
      </w:r>
      <w:r>
        <w:rPr>
          <w:spacing w:val="-3"/>
        </w:rPr>
        <w:t>财税</w:t>
      </w:r>
      <w:r>
        <w:rPr>
          <w:rFonts w:ascii="Times New Roman" w:hAnsi="Times New Roman" w:cs="Times New Roman" w:eastAsia="Times New Roman" w:hint="default"/>
          <w:spacing w:val="-3"/>
        </w:rPr>
        <w:t>[2013]87</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，根据该通知第二条规定自</w:t>
      </w:r>
      <w:r>
        <w:rPr>
          <w:spacing w:val="-4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日起至</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5"/>
        </w:rPr>
        <w:t>日，免征图书批</w:t>
      </w:r>
      <w:r>
        <w:rPr/>
        <w:t> 发、零售环节增值税。</w:t>
      </w:r>
    </w:p>
    <w:p>
      <w:pPr>
        <w:spacing w:line="240" w:lineRule="auto" w:before="8"/>
        <w:rPr>
          <w:rFonts w:ascii="宋体" w:hAnsi="宋体" w:cs="宋体" w:eastAsia="宋体" w:hint="default"/>
          <w:sz w:val="18"/>
          <w:szCs w:val="18"/>
        </w:rPr>
      </w:pPr>
    </w:p>
    <w:p>
      <w:pPr>
        <w:pStyle w:val="Heading3"/>
        <w:spacing w:line="240" w:lineRule="auto"/>
        <w:ind w:left="440" w:right="191"/>
        <w:jc w:val="left"/>
        <w:rPr>
          <w:b w:val="0"/>
          <w:bCs w:val="0"/>
        </w:rPr>
      </w:pPr>
      <w:r>
        <w:rPr/>
        <w:t>五、会计政策和会计估计变更以及前期差错更正的说明</w:t>
      </w:r>
      <w:r>
        <w:rPr>
          <w:b w:val="0"/>
          <w:bCs w:val="0"/>
        </w:rPr>
      </w:r>
    </w:p>
    <w:p>
      <w:pPr>
        <w:spacing w:line="240" w:lineRule="auto" w:before="7"/>
        <w:rPr>
          <w:rFonts w:ascii="宋体" w:hAnsi="宋体" w:cs="宋体" w:eastAsia="宋体" w:hint="default"/>
          <w:b/>
          <w:bCs/>
          <w:sz w:val="32"/>
          <w:szCs w:val="32"/>
        </w:rPr>
      </w:pPr>
    </w:p>
    <w:p>
      <w:pPr>
        <w:pStyle w:val="BodyText"/>
        <w:spacing w:line="508" w:lineRule="auto"/>
        <w:ind w:left="800" w:right="497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会计政策的变更 本公司报告期内未发生会计政策变更。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会计估计的变更 本公司报告期内未发生会计估计变更。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前期会计差错更正 本公司报告期内无前期会计差错更正。</w:t>
      </w:r>
    </w:p>
    <w:p>
      <w:pPr>
        <w:pStyle w:val="Heading3"/>
        <w:spacing w:line="240" w:lineRule="auto" w:before="116"/>
        <w:ind w:left="440" w:right="191"/>
        <w:jc w:val="left"/>
        <w:rPr>
          <w:b w:val="0"/>
          <w:bCs w:val="0"/>
        </w:rPr>
      </w:pPr>
      <w:r>
        <w:rPr/>
        <w:t>六、合并财务报表主要项目注释</w:t>
      </w:r>
      <w:r>
        <w:rPr>
          <w:b w:val="0"/>
          <w:bCs w:val="0"/>
        </w:rPr>
      </w:r>
    </w:p>
    <w:p>
      <w:pPr>
        <w:spacing w:line="240" w:lineRule="auto" w:before="9"/>
        <w:rPr>
          <w:rFonts w:ascii="宋体" w:hAnsi="宋体" w:cs="宋体" w:eastAsia="宋体" w:hint="default"/>
          <w:b/>
          <w:bCs/>
          <w:sz w:val="32"/>
          <w:szCs w:val="32"/>
        </w:rPr>
      </w:pPr>
    </w:p>
    <w:p>
      <w:pPr>
        <w:pStyle w:val="BodyText"/>
        <w:spacing w:line="240" w:lineRule="auto"/>
        <w:ind w:left="800" w:right="191"/>
        <w:jc w:val="left"/>
      </w:pPr>
      <w:r>
        <w:rPr/>
        <w:t>说明：期初指</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日，期末指</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日，上期指</w:t>
      </w:r>
      <w:r>
        <w:rPr>
          <w:rFonts w:ascii="Times New Roman" w:hAnsi="Times New Roman" w:cs="Times New Roman" w:eastAsia="Times New Roman" w:hint="default"/>
        </w:rPr>
        <w:t>2014</w:t>
      </w:r>
      <w:r>
        <w:rPr/>
        <w:t>年度，本期指</w:t>
      </w:r>
      <w:r>
        <w:rPr>
          <w:rFonts w:ascii="Times New Roman" w:hAnsi="Times New Roman" w:cs="Times New Roman" w:eastAsia="Times New Roman" w:hint="default"/>
        </w:rPr>
        <w:t>2015</w:t>
      </w:r>
      <w:r>
        <w:rPr/>
        <w:t>年度。</w:t>
      </w:r>
    </w:p>
    <w:p>
      <w:pPr>
        <w:spacing w:line="240" w:lineRule="auto" w:before="6"/>
        <w:rPr>
          <w:rFonts w:ascii="宋体" w:hAnsi="宋体" w:cs="宋体" w:eastAsia="宋体" w:hint="default"/>
          <w:sz w:val="20"/>
          <w:szCs w:val="20"/>
        </w:rPr>
      </w:pPr>
    </w:p>
    <w:p>
      <w:pPr>
        <w:pStyle w:val="BodyText"/>
        <w:spacing w:line="240" w:lineRule="auto"/>
        <w:ind w:left="800" w:right="191"/>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货币资金</w:t>
      </w:r>
    </w:p>
    <w:p>
      <w:pPr>
        <w:spacing w:after="0" w:line="240" w:lineRule="auto"/>
        <w:jc w:val="left"/>
        <w:sectPr>
          <w:pgSz w:w="11910" w:h="16840"/>
          <w:pgMar w:header="0" w:footer="979" w:top="1480" w:bottom="1160" w:left="1360" w:right="1600"/>
        </w:sectPr>
      </w:pPr>
    </w:p>
    <w:p>
      <w:pPr>
        <w:pStyle w:val="BodyText"/>
        <w:spacing w:line="240" w:lineRule="auto" w:before="19"/>
        <w:ind w:left="720" w:right="0"/>
        <w:jc w:val="left"/>
      </w:pPr>
      <w:r>
        <w:rPr/>
        <w:t>（</w:t>
      </w:r>
      <w:r>
        <w:rPr>
          <w:rFonts w:ascii="Times New Roman" w:hAnsi="Times New Roman" w:cs="Times New Roman" w:eastAsia="Times New Roman" w:hint="default"/>
        </w:rPr>
        <w:t>1</w:t>
      </w:r>
      <w:r>
        <w:rPr/>
        <w:t>）分类列示</w:t>
      </w:r>
    </w:p>
    <w:p>
      <w:pPr>
        <w:spacing w:line="240" w:lineRule="auto" w:before="11"/>
        <w:rPr>
          <w:rFonts w:ascii="宋体" w:hAnsi="宋体" w:cs="宋体" w:eastAsia="宋体" w:hint="default"/>
          <w:sz w:val="16"/>
          <w:szCs w:val="16"/>
        </w:rPr>
      </w:pPr>
    </w:p>
    <w:tbl>
      <w:tblPr>
        <w:tblW w:w="0" w:type="auto"/>
        <w:jc w:val="left"/>
        <w:tblInd w:w="252" w:type="dxa"/>
        <w:tblLayout w:type="fixed"/>
        <w:tblCellMar>
          <w:top w:w="0" w:type="dxa"/>
          <w:left w:w="0" w:type="dxa"/>
          <w:bottom w:w="0" w:type="dxa"/>
          <w:right w:w="0" w:type="dxa"/>
        </w:tblCellMar>
        <w:tblLook w:val="01E0"/>
      </w:tblPr>
      <w:tblGrid>
        <w:gridCol w:w="1320"/>
        <w:gridCol w:w="1367"/>
        <w:gridCol w:w="962"/>
        <w:gridCol w:w="1411"/>
        <w:gridCol w:w="1383"/>
        <w:gridCol w:w="977"/>
        <w:gridCol w:w="1378"/>
      </w:tblGrid>
      <w:tr>
        <w:trPr>
          <w:trHeight w:val="799" w:hRule="exact"/>
        </w:trPr>
        <w:tc>
          <w:tcPr>
            <w:tcW w:w="1320"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67"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962"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41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383"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977"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10" w:right="0" w:hanging="8"/>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37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436" w:hRule="exact"/>
        </w:trPr>
        <w:tc>
          <w:tcPr>
            <w:tcW w:w="1320"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367" w:type="dxa"/>
            <w:tcBorders>
              <w:top w:val="single" w:sz="8" w:space="0" w:color="000000"/>
              <w:left w:val="nil" w:sz="6" w:space="0" w:color="auto"/>
              <w:bottom w:val="nil" w:sz="6" w:space="0" w:color="auto"/>
              <w:right w:val="nil" w:sz="6" w:space="0" w:color="auto"/>
            </w:tcBorders>
          </w:tcPr>
          <w:p>
            <w:pPr/>
          </w:p>
        </w:tc>
        <w:tc>
          <w:tcPr>
            <w:tcW w:w="962" w:type="dxa"/>
            <w:tcBorders>
              <w:top w:val="single" w:sz="8" w:space="0" w:color="000000"/>
              <w:left w:val="nil" w:sz="6" w:space="0" w:color="auto"/>
              <w:bottom w:val="nil" w:sz="6" w:space="0" w:color="auto"/>
              <w:right w:val="nil" w:sz="6" w:space="0" w:color="auto"/>
            </w:tcBorders>
          </w:tcPr>
          <w:p>
            <w:pPr/>
          </w:p>
        </w:tc>
        <w:tc>
          <w:tcPr>
            <w:tcW w:w="1411"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15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157,807.71</w:t>
            </w:r>
            <w:r>
              <w:rPr>
                <w:rFonts w:ascii="Times New Roman"/>
                <w:spacing w:val="-1"/>
                <w:sz w:val="18"/>
              </w:rPr>
            </w:r>
          </w:p>
        </w:tc>
        <w:tc>
          <w:tcPr>
            <w:tcW w:w="1383" w:type="dxa"/>
            <w:tcBorders>
              <w:top w:val="single" w:sz="8" w:space="0" w:color="000000"/>
              <w:left w:val="nil" w:sz="6" w:space="0" w:color="auto"/>
              <w:bottom w:val="nil" w:sz="6" w:space="0" w:color="auto"/>
              <w:right w:val="nil" w:sz="6" w:space="0" w:color="auto"/>
            </w:tcBorders>
          </w:tcPr>
          <w:p>
            <w:pPr/>
          </w:p>
        </w:tc>
        <w:tc>
          <w:tcPr>
            <w:tcW w:w="977" w:type="dxa"/>
            <w:tcBorders>
              <w:top w:val="single" w:sz="8" w:space="0" w:color="000000"/>
              <w:left w:val="nil" w:sz="6" w:space="0" w:color="auto"/>
              <w:bottom w:val="nil" w:sz="6" w:space="0" w:color="auto"/>
              <w:right w:val="nil" w:sz="6" w:space="0" w:color="auto"/>
            </w:tcBorders>
          </w:tcPr>
          <w:p>
            <w:pPr/>
          </w:p>
        </w:tc>
        <w:tc>
          <w:tcPr>
            <w:tcW w:w="1378"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189,850.59</w:t>
            </w:r>
            <w:r>
              <w:rPr>
                <w:rFonts w:ascii="Times New Roman"/>
                <w:spacing w:val="-1"/>
                <w:sz w:val="18"/>
              </w:rPr>
            </w:r>
          </w:p>
        </w:tc>
      </w:tr>
      <w:tr>
        <w:trPr>
          <w:trHeight w:val="400" w:hRule="exact"/>
        </w:trPr>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157,807.71</w:t>
            </w:r>
          </w:p>
        </w:tc>
        <w:tc>
          <w:tcPr>
            <w:tcW w:w="96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51"/>
              <w:jc w:val="right"/>
              <w:rPr>
                <w:rFonts w:ascii="Times New Roman" w:hAnsi="Times New Roman" w:cs="Times New Roman" w:eastAsia="Times New Roman" w:hint="default"/>
                <w:sz w:val="18"/>
                <w:szCs w:val="18"/>
              </w:rPr>
            </w:pPr>
            <w:r>
              <w:rPr>
                <w:rFonts w:ascii="Times New Roman"/>
                <w:spacing w:val="-1"/>
                <w:sz w:val="18"/>
              </w:rPr>
              <w:t>157,807.71</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189,850.59</w:t>
            </w:r>
          </w:p>
        </w:tc>
        <w:tc>
          <w:tcPr>
            <w:tcW w:w="97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189,850.59</w:t>
            </w:r>
          </w:p>
        </w:tc>
      </w:tr>
      <w:tr>
        <w:trPr>
          <w:trHeight w:val="400" w:hRule="exact"/>
        </w:trPr>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67"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497,534,762.80</w:t>
            </w:r>
            <w:r>
              <w:rPr>
                <w:rFonts w:ascii="Times New Roman"/>
                <w:spacing w:val="-1"/>
                <w:sz w:val="18"/>
              </w:rPr>
            </w:r>
          </w:p>
        </w:tc>
        <w:tc>
          <w:tcPr>
            <w:tcW w:w="1383"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495,803,373.12</w:t>
            </w:r>
            <w:r>
              <w:rPr>
                <w:rFonts w:ascii="Times New Roman"/>
                <w:spacing w:val="-1"/>
                <w:sz w:val="18"/>
              </w:rPr>
            </w:r>
          </w:p>
        </w:tc>
      </w:tr>
      <w:tr>
        <w:trPr>
          <w:trHeight w:val="401" w:hRule="exact"/>
        </w:trPr>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7"/>
              <w:jc w:val="right"/>
              <w:rPr>
                <w:rFonts w:ascii="Times New Roman" w:hAnsi="Times New Roman" w:cs="Times New Roman" w:eastAsia="Times New Roman" w:hint="default"/>
                <w:sz w:val="18"/>
                <w:szCs w:val="18"/>
              </w:rPr>
            </w:pPr>
            <w:r>
              <w:rPr>
                <w:rFonts w:ascii="Times New Roman"/>
                <w:spacing w:val="-1"/>
                <w:sz w:val="18"/>
              </w:rPr>
              <w:t>497,507,570.09</w:t>
            </w:r>
          </w:p>
        </w:tc>
        <w:tc>
          <w:tcPr>
            <w:tcW w:w="96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52"/>
              <w:jc w:val="right"/>
              <w:rPr>
                <w:rFonts w:ascii="Times New Roman" w:hAnsi="Times New Roman" w:cs="Times New Roman" w:eastAsia="Times New Roman" w:hint="default"/>
                <w:sz w:val="18"/>
                <w:szCs w:val="18"/>
              </w:rPr>
            </w:pPr>
            <w:r>
              <w:rPr>
                <w:rFonts w:ascii="Times New Roman"/>
                <w:spacing w:val="-1"/>
                <w:sz w:val="18"/>
              </w:rPr>
              <w:t>497,507,570.09</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495,795,545.74</w:t>
            </w:r>
          </w:p>
        </w:tc>
        <w:tc>
          <w:tcPr>
            <w:tcW w:w="97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495,795,545.74</w:t>
            </w:r>
          </w:p>
        </w:tc>
      </w:tr>
      <w:tr>
        <w:trPr>
          <w:trHeight w:val="400" w:hRule="exact"/>
        </w:trPr>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249.61</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9"/>
              <w:jc w:val="right"/>
              <w:rPr>
                <w:rFonts w:ascii="Times New Roman" w:hAnsi="Times New Roman" w:cs="Times New Roman" w:eastAsia="Times New Roman" w:hint="default"/>
                <w:sz w:val="18"/>
                <w:szCs w:val="18"/>
              </w:rPr>
            </w:pPr>
            <w:r>
              <w:rPr>
                <w:rFonts w:ascii="Times New Roman"/>
                <w:spacing w:val="-1"/>
                <w:sz w:val="18"/>
              </w:rPr>
              <w:t>6.4936</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51"/>
              <w:jc w:val="right"/>
              <w:rPr>
                <w:rFonts w:ascii="Times New Roman" w:hAnsi="Times New Roman" w:cs="Times New Roman" w:eastAsia="Times New Roman" w:hint="default"/>
                <w:sz w:val="18"/>
                <w:szCs w:val="18"/>
              </w:rPr>
            </w:pPr>
            <w:r>
              <w:rPr>
                <w:rFonts w:ascii="Times New Roman"/>
                <w:w w:val="95"/>
                <w:sz w:val="18"/>
              </w:rPr>
              <w:t>1,620.86</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1,279.19</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27" w:right="0"/>
              <w:jc w:val="left"/>
              <w:rPr>
                <w:rFonts w:ascii="Times New Roman" w:hAnsi="Times New Roman" w:cs="Times New Roman" w:eastAsia="Times New Roman" w:hint="default"/>
                <w:sz w:val="18"/>
                <w:szCs w:val="18"/>
              </w:rPr>
            </w:pPr>
            <w:r>
              <w:rPr>
                <w:rFonts w:ascii="Times New Roman"/>
                <w:sz w:val="18"/>
              </w:rPr>
              <w:t>6.1190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w w:val="95"/>
                <w:sz w:val="18"/>
              </w:rPr>
              <w:t>7,827.38</w:t>
            </w:r>
          </w:p>
        </w:tc>
      </w:tr>
      <w:tr>
        <w:trPr>
          <w:trHeight w:val="400" w:hRule="exact"/>
        </w:trPr>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30,522.62</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9"/>
              <w:jc w:val="right"/>
              <w:rPr>
                <w:rFonts w:ascii="Times New Roman" w:hAnsi="Times New Roman" w:cs="Times New Roman" w:eastAsia="Times New Roman" w:hint="default"/>
                <w:sz w:val="18"/>
                <w:szCs w:val="18"/>
              </w:rPr>
            </w:pPr>
            <w:r>
              <w:rPr>
                <w:rFonts w:ascii="Times New Roman"/>
                <w:spacing w:val="-1"/>
                <w:sz w:val="18"/>
              </w:rPr>
              <w:t>0.8378</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1"/>
              <w:jc w:val="right"/>
              <w:rPr>
                <w:rFonts w:ascii="Times New Roman" w:hAnsi="Times New Roman" w:cs="Times New Roman" w:eastAsia="Times New Roman" w:hint="default"/>
                <w:sz w:val="18"/>
                <w:szCs w:val="18"/>
              </w:rPr>
            </w:pPr>
            <w:r>
              <w:rPr>
                <w:rFonts w:ascii="Times New Roman"/>
                <w:spacing w:val="-1"/>
                <w:sz w:val="18"/>
              </w:rPr>
              <w:t>25,571.85</w:t>
            </w:r>
          </w:p>
        </w:tc>
        <w:tc>
          <w:tcPr>
            <w:tcW w:w="1383"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395" w:hRule="exact"/>
        </w:trPr>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5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497,692,570.51</w:t>
            </w:r>
            <w:r>
              <w:rPr>
                <w:rFonts w:ascii="Times New Roman"/>
                <w:spacing w:val="-1"/>
                <w:sz w:val="18"/>
              </w:rPr>
            </w:r>
          </w:p>
        </w:tc>
        <w:tc>
          <w:tcPr>
            <w:tcW w:w="1383"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495,993,223.71</w:t>
            </w:r>
            <w:r>
              <w:rPr>
                <w:rFonts w:ascii="Times New Roman"/>
                <w:spacing w:val="-1"/>
                <w:sz w:val="18"/>
              </w:rPr>
            </w:r>
          </w:p>
        </w:tc>
      </w:tr>
    </w:tbl>
    <w:p>
      <w:pPr>
        <w:spacing w:line="240" w:lineRule="auto" w:before="4"/>
        <w:rPr>
          <w:rFonts w:ascii="宋体" w:hAnsi="宋体" w:cs="宋体" w:eastAsia="宋体" w:hint="default"/>
          <w:sz w:val="22"/>
          <w:szCs w:val="22"/>
        </w:rPr>
      </w:pPr>
    </w:p>
    <w:p>
      <w:pPr>
        <w:pStyle w:val="BodyText"/>
        <w:spacing w:line="240" w:lineRule="auto" w:before="44"/>
        <w:ind w:left="720" w:right="0"/>
        <w:jc w:val="left"/>
      </w:pPr>
      <w:r>
        <w:rPr/>
        <w:t>（</w:t>
      </w:r>
      <w:r>
        <w:rPr>
          <w:rFonts w:ascii="Times New Roman" w:hAnsi="Times New Roman" w:cs="Times New Roman" w:eastAsia="Times New Roman" w:hint="default"/>
        </w:rPr>
        <w:t>2</w:t>
      </w:r>
      <w:r>
        <w:rPr/>
        <w:t>）期末不存在因抵押、质押、冻结等对使用有限制的货币资金。</w:t>
      </w:r>
    </w:p>
    <w:p>
      <w:pPr>
        <w:spacing w:line="240" w:lineRule="auto" w:before="5"/>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3</w:t>
      </w:r>
      <w:r>
        <w:rPr/>
        <w:t>）期末存放在境外的款项为美元</w:t>
      </w:r>
      <w:r>
        <w:rPr>
          <w:rFonts w:ascii="Times New Roman" w:hAnsi="Times New Roman" w:cs="Times New Roman" w:eastAsia="Times New Roman" w:hint="default"/>
        </w:rPr>
        <w:t>249.61</w:t>
      </w:r>
      <w:r>
        <w:rPr/>
        <w:t>元，折合人民币</w:t>
      </w:r>
      <w:r>
        <w:rPr>
          <w:rFonts w:ascii="Times New Roman" w:hAnsi="Times New Roman" w:cs="Times New Roman" w:eastAsia="Times New Roman" w:hint="default"/>
        </w:rPr>
        <w:t>1,620.86</w:t>
      </w:r>
      <w:r>
        <w:rPr/>
        <w:t>元，港币</w:t>
      </w:r>
      <w:r>
        <w:rPr>
          <w:rFonts w:ascii="Times New Roman" w:hAnsi="Times New Roman" w:cs="Times New Roman" w:eastAsia="Times New Roman" w:hint="default"/>
        </w:rPr>
        <w:t>30,522.62</w:t>
      </w:r>
      <w:r>
        <w:rPr/>
        <w:t>元，折合人民币</w:t>
      </w:r>
    </w:p>
    <w:p>
      <w:pPr>
        <w:pStyle w:val="BodyText"/>
        <w:spacing w:line="240" w:lineRule="auto" w:before="111"/>
        <w:ind w:left="360" w:right="0"/>
        <w:jc w:val="left"/>
      </w:pPr>
      <w:r>
        <w:rPr>
          <w:rFonts w:ascii="Times New Roman" w:hAnsi="Times New Roman" w:cs="Times New Roman" w:eastAsia="Times New Roman" w:hint="default"/>
        </w:rPr>
        <w:t>25,571.85</w:t>
      </w:r>
      <w:r>
        <w:rPr/>
        <w:t>元。</w:t>
      </w:r>
    </w:p>
    <w:p>
      <w:pPr>
        <w:spacing w:line="240" w:lineRule="auto" w:before="5"/>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4</w:t>
      </w:r>
      <w:r>
        <w:rPr/>
        <w:t>）期末募集资金银行定期存款余额为</w:t>
      </w:r>
      <w:r>
        <w:rPr>
          <w:rFonts w:ascii="Times New Roman" w:hAnsi="Times New Roman" w:cs="Times New Roman" w:eastAsia="Times New Roman" w:hint="default"/>
        </w:rPr>
        <w:t>3,100.00</w:t>
      </w:r>
      <w:r>
        <w:rPr/>
        <w:t>万元。</w:t>
      </w:r>
    </w:p>
    <w:p>
      <w:pPr>
        <w:spacing w:line="240" w:lineRule="auto" w:before="5"/>
        <w:rPr>
          <w:rFonts w:ascii="宋体" w:hAnsi="宋体" w:cs="宋体" w:eastAsia="宋体" w:hint="default"/>
          <w:sz w:val="20"/>
          <w:szCs w:val="20"/>
        </w:rPr>
      </w:pPr>
    </w:p>
    <w:p>
      <w:pPr>
        <w:pStyle w:val="BodyText"/>
        <w:spacing w:line="240" w:lineRule="auto"/>
        <w:ind w:left="720"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应收票据</w:t>
      </w:r>
    </w:p>
    <w:p>
      <w:pPr>
        <w:spacing w:line="240" w:lineRule="auto" w:before="6"/>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1</w:t>
      </w:r>
      <w:r>
        <w:rPr/>
        <w:t>）分类列示</w:t>
      </w:r>
    </w:p>
    <w:p>
      <w:pPr>
        <w:spacing w:line="240" w:lineRule="auto" w:before="6"/>
        <w:rPr>
          <w:rFonts w:ascii="宋体" w:hAnsi="宋体" w:cs="宋体" w:eastAsia="宋体" w:hint="default"/>
          <w:sz w:val="24"/>
          <w:szCs w:val="24"/>
        </w:rPr>
      </w:pPr>
    </w:p>
    <w:tbl>
      <w:tblPr>
        <w:tblW w:w="0" w:type="auto"/>
        <w:jc w:val="left"/>
        <w:tblInd w:w="262" w:type="dxa"/>
        <w:tblLayout w:type="fixed"/>
        <w:tblCellMar>
          <w:top w:w="0" w:type="dxa"/>
          <w:left w:w="0" w:type="dxa"/>
          <w:bottom w:w="0" w:type="dxa"/>
          <w:right w:w="0" w:type="dxa"/>
        </w:tblCellMar>
        <w:tblLook w:val="01E0"/>
      </w:tblPr>
      <w:tblGrid>
        <w:gridCol w:w="2923"/>
        <w:gridCol w:w="2746"/>
        <w:gridCol w:w="2835"/>
      </w:tblGrid>
      <w:tr>
        <w:trPr>
          <w:trHeight w:val="275" w:hRule="exact"/>
        </w:trPr>
        <w:tc>
          <w:tcPr>
            <w:tcW w:w="2923" w:type="dxa"/>
            <w:tcBorders>
              <w:top w:val="nil" w:sz="6" w:space="0" w:color="auto"/>
              <w:left w:val="nil" w:sz="6" w:space="0" w:color="auto"/>
              <w:bottom w:val="single" w:sz="4" w:space="0" w:color="000000"/>
              <w:right w:val="nil" w:sz="6" w:space="0" w:color="auto"/>
            </w:tcBorders>
          </w:tcPr>
          <w:p>
            <w:pPr>
              <w:pStyle w:val="TableParagraph"/>
              <w:spacing w:line="180" w:lineRule="exact"/>
              <w:ind w:right="8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46" w:type="dxa"/>
            <w:tcBorders>
              <w:top w:val="nil" w:sz="6" w:space="0" w:color="auto"/>
              <w:left w:val="nil" w:sz="6" w:space="0" w:color="auto"/>
              <w:bottom w:val="single" w:sz="4" w:space="0" w:color="000000"/>
              <w:right w:val="nil" w:sz="6" w:space="0" w:color="auto"/>
            </w:tcBorders>
          </w:tcPr>
          <w:p>
            <w:pPr>
              <w:pStyle w:val="TableParagraph"/>
              <w:spacing w:line="180" w:lineRule="exact"/>
              <w:ind w:right="86"/>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3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1" w:hRule="exact"/>
        </w:trPr>
        <w:tc>
          <w:tcPr>
            <w:tcW w:w="292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89"/>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746" w:type="dxa"/>
            <w:tcBorders>
              <w:top w:val="single" w:sz="4" w:space="0" w:color="000000"/>
              <w:left w:val="nil" w:sz="6" w:space="0" w:color="auto"/>
              <w:bottom w:val="nil" w:sz="6" w:space="0" w:color="auto"/>
              <w:right w:val="nil" w:sz="6" w:space="0" w:color="auto"/>
            </w:tcBorders>
          </w:tcPr>
          <w:p>
            <w:pPr/>
          </w:p>
        </w:tc>
        <w:tc>
          <w:tcPr>
            <w:tcW w:w="283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895"/>
              <w:jc w:val="right"/>
              <w:rPr>
                <w:rFonts w:ascii="Times New Roman" w:hAnsi="Times New Roman" w:cs="Times New Roman" w:eastAsia="Times New Roman" w:hint="default"/>
                <w:sz w:val="18"/>
                <w:szCs w:val="18"/>
              </w:rPr>
            </w:pPr>
            <w:r>
              <w:rPr>
                <w:rFonts w:ascii="Times New Roman"/>
                <w:spacing w:val="-1"/>
                <w:sz w:val="18"/>
              </w:rPr>
              <w:t>63,325.00</w:t>
            </w:r>
          </w:p>
        </w:tc>
      </w:tr>
      <w:tr>
        <w:trPr>
          <w:trHeight w:val="295" w:hRule="exact"/>
        </w:trPr>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9"/>
              <w:jc w:val="center"/>
              <w:rPr>
                <w:rFonts w:ascii="宋体" w:hAnsi="宋体" w:cs="宋体" w:eastAsia="宋体" w:hint="default"/>
                <w:sz w:val="18"/>
                <w:szCs w:val="18"/>
              </w:rPr>
            </w:pPr>
            <w:r>
              <w:rPr>
                <w:rFonts w:ascii="宋体" w:hAnsi="宋体" w:cs="宋体" w:eastAsia="宋体" w:hint="default"/>
                <w:sz w:val="18"/>
                <w:szCs w:val="18"/>
              </w:rPr>
              <w:t>合计</w:t>
            </w:r>
          </w:p>
        </w:tc>
        <w:tc>
          <w:tcPr>
            <w:tcW w:w="2746"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63,325.00</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720" w:right="0"/>
        <w:jc w:val="left"/>
      </w:pPr>
      <w:r>
        <w:rPr/>
        <w:t>（</w:t>
      </w:r>
      <w:r>
        <w:rPr>
          <w:rFonts w:ascii="Times New Roman" w:hAnsi="Times New Roman" w:cs="Times New Roman" w:eastAsia="Times New Roman" w:hint="default"/>
        </w:rPr>
        <w:t>2</w:t>
      </w:r>
      <w:r>
        <w:rPr/>
        <w:t>）期末无已质押的应收票据。</w:t>
      </w:r>
    </w:p>
    <w:p>
      <w:pPr>
        <w:spacing w:line="240" w:lineRule="auto" w:before="5"/>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3</w:t>
      </w:r>
      <w:r>
        <w:rPr/>
        <w:t>）期末无已背书或贴现但尚未到期的应收票据。</w:t>
      </w:r>
    </w:p>
    <w:p>
      <w:pPr>
        <w:spacing w:line="240" w:lineRule="auto" w:before="6"/>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4</w:t>
      </w:r>
      <w:r>
        <w:rPr/>
        <w:t>）报告期无因出票人无力履约而转为应收账款的应收票据。</w:t>
      </w:r>
    </w:p>
    <w:p>
      <w:pPr>
        <w:spacing w:line="240" w:lineRule="auto" w:before="5"/>
        <w:rPr>
          <w:rFonts w:ascii="宋体" w:hAnsi="宋体" w:cs="宋体" w:eastAsia="宋体" w:hint="default"/>
          <w:sz w:val="20"/>
          <w:szCs w:val="20"/>
        </w:rPr>
      </w:pPr>
    </w:p>
    <w:p>
      <w:pPr>
        <w:pStyle w:val="BodyText"/>
        <w:spacing w:line="240" w:lineRule="auto"/>
        <w:ind w:left="720"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2"/>
        </w:rPr>
        <w:t> </w:t>
      </w:r>
      <w:r>
        <w:rPr/>
        <w:t>应收账款</w:t>
      </w:r>
    </w:p>
    <w:p>
      <w:pPr>
        <w:spacing w:line="240" w:lineRule="auto" w:before="5"/>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1</w:t>
      </w:r>
      <w:r>
        <w:rPr/>
        <w:t>）分类列示</w:t>
      </w:r>
    </w:p>
    <w:p>
      <w:pPr>
        <w:spacing w:line="240" w:lineRule="auto" w:before="7"/>
        <w:rPr>
          <w:rFonts w:ascii="宋体" w:hAnsi="宋体" w:cs="宋体" w:eastAsia="宋体"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2792"/>
        <w:gridCol w:w="1130"/>
        <w:gridCol w:w="541"/>
        <w:gridCol w:w="1024"/>
        <w:gridCol w:w="743"/>
        <w:gridCol w:w="1018"/>
        <w:gridCol w:w="672"/>
        <w:gridCol w:w="877"/>
      </w:tblGrid>
      <w:tr>
        <w:trPr>
          <w:trHeight w:val="245" w:hRule="exact"/>
        </w:trPr>
        <w:tc>
          <w:tcPr>
            <w:tcW w:w="2792"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130" w:lineRule="exact"/>
              <w:ind w:left="583" w:right="0"/>
              <w:jc w:val="left"/>
              <w:rPr>
                <w:rFonts w:ascii="宋体" w:hAnsi="宋体" w:cs="宋体" w:eastAsia="宋体" w:hint="default"/>
                <w:sz w:val="13"/>
                <w:szCs w:val="13"/>
              </w:rPr>
            </w:pPr>
            <w:r>
              <w:rPr>
                <w:rFonts w:ascii="宋体" w:hAnsi="宋体" w:cs="宋体" w:eastAsia="宋体" w:hint="default"/>
                <w:b/>
                <w:bCs/>
                <w:sz w:val="13"/>
                <w:szCs w:val="13"/>
              </w:rPr>
              <w:t>期末余额</w:t>
            </w:r>
            <w:r>
              <w:rPr>
                <w:rFonts w:ascii="宋体" w:hAnsi="宋体" w:cs="宋体" w:eastAsia="宋体" w:hint="default"/>
                <w:sz w:val="13"/>
                <w:szCs w:val="13"/>
              </w:rPr>
            </w:r>
          </w:p>
        </w:tc>
        <w:tc>
          <w:tcPr>
            <w:tcW w:w="541"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1690" w:type="dxa"/>
            <w:gridSpan w:val="2"/>
            <w:tcBorders>
              <w:top w:val="nil" w:sz="6" w:space="0" w:color="auto"/>
              <w:left w:val="nil" w:sz="6" w:space="0" w:color="auto"/>
              <w:bottom w:val="nil" w:sz="6" w:space="0" w:color="auto"/>
              <w:right w:val="nil" w:sz="6" w:space="0" w:color="auto"/>
            </w:tcBorders>
          </w:tcPr>
          <w:p>
            <w:pPr>
              <w:pStyle w:val="TableParagraph"/>
              <w:spacing w:line="130" w:lineRule="exact"/>
              <w:ind w:left="20" w:right="0"/>
              <w:jc w:val="center"/>
              <w:rPr>
                <w:rFonts w:ascii="宋体" w:hAnsi="宋体" w:cs="宋体" w:eastAsia="宋体" w:hint="default"/>
                <w:sz w:val="13"/>
                <w:szCs w:val="13"/>
              </w:rPr>
            </w:pPr>
            <w:r>
              <w:rPr>
                <w:rFonts w:ascii="宋体" w:hAnsi="宋体" w:cs="宋体" w:eastAsia="宋体" w:hint="default"/>
                <w:b/>
                <w:bCs/>
                <w:sz w:val="13"/>
                <w:szCs w:val="13"/>
              </w:rPr>
              <w:t>期初余额</w:t>
            </w:r>
            <w:r>
              <w:rPr>
                <w:rFonts w:ascii="宋体" w:hAnsi="宋体" w:cs="宋体" w:eastAsia="宋体" w:hint="default"/>
                <w:sz w:val="13"/>
                <w:szCs w:val="13"/>
              </w:rPr>
            </w:r>
          </w:p>
        </w:tc>
        <w:tc>
          <w:tcPr>
            <w:tcW w:w="877" w:type="dxa"/>
            <w:tcBorders>
              <w:top w:val="nil" w:sz="6" w:space="0" w:color="auto"/>
              <w:left w:val="nil" w:sz="6" w:space="0" w:color="auto"/>
              <w:bottom w:val="nil" w:sz="6" w:space="0" w:color="auto"/>
              <w:right w:val="nil" w:sz="6" w:space="0" w:color="auto"/>
            </w:tcBorders>
          </w:tcPr>
          <w:p>
            <w:pPr/>
          </w:p>
        </w:tc>
      </w:tr>
      <w:tr>
        <w:trPr>
          <w:trHeight w:val="431" w:hRule="exact"/>
        </w:trPr>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818" w:right="0"/>
              <w:jc w:val="left"/>
              <w:rPr>
                <w:rFonts w:ascii="宋体" w:hAnsi="宋体" w:cs="宋体" w:eastAsia="宋体" w:hint="default"/>
                <w:sz w:val="13"/>
                <w:szCs w:val="13"/>
              </w:rPr>
            </w:pPr>
            <w:r>
              <w:rPr>
                <w:rFonts w:ascii="宋体" w:hAnsi="宋体" w:cs="宋体" w:eastAsia="宋体" w:hint="default"/>
                <w:b/>
                <w:bCs/>
                <w:sz w:val="13"/>
                <w:szCs w:val="13"/>
              </w:rPr>
              <w:t>类别</w:t>
            </w:r>
            <w:r>
              <w:rPr>
                <w:rFonts w:ascii="宋体" w:hAnsi="宋体" w:cs="宋体" w:eastAsia="宋体" w:hint="default"/>
                <w:sz w:val="13"/>
                <w:szCs w:val="13"/>
              </w:rPr>
            </w:r>
          </w:p>
        </w:tc>
        <w:tc>
          <w:tcPr>
            <w:tcW w:w="1130" w:type="dxa"/>
            <w:vMerge w:val="restart"/>
            <w:tcBorders>
              <w:top w:val="nil" w:sz="6" w:space="0" w:color="auto"/>
              <w:left w:val="nil" w:sz="6" w:space="0" w:color="auto"/>
              <w:right w:val="nil" w:sz="6" w:space="0" w:color="auto"/>
            </w:tcBorders>
          </w:tcPr>
          <w:p>
            <w:pPr>
              <w:pStyle w:val="TableParagraph"/>
              <w:spacing w:line="508" w:lineRule="auto" w:before="74"/>
              <w:ind w:left="319" w:right="482" w:hanging="65"/>
              <w:jc w:val="left"/>
              <w:rPr>
                <w:rFonts w:ascii="宋体" w:hAnsi="宋体" w:cs="宋体" w:eastAsia="宋体" w:hint="default"/>
                <w:sz w:val="13"/>
                <w:szCs w:val="13"/>
              </w:rPr>
            </w:pPr>
            <w:r>
              <w:rPr>
                <w:rFonts w:ascii="宋体" w:hAnsi="宋体" w:cs="宋体" w:eastAsia="宋体" w:hint="default"/>
                <w:b/>
                <w:bCs/>
                <w:sz w:val="13"/>
                <w:szCs w:val="13"/>
              </w:rPr>
              <w:t>占总额</w:t>
            </w:r>
            <w:r>
              <w:rPr>
                <w:rFonts w:ascii="宋体" w:hAnsi="宋体" w:cs="宋体" w:eastAsia="宋体" w:hint="default"/>
                <w:b/>
                <w:bCs/>
                <w:w w:val="99"/>
                <w:sz w:val="13"/>
                <w:szCs w:val="13"/>
              </w:rPr>
              <w:t> </w:t>
            </w:r>
            <w:r>
              <w:rPr>
                <w:rFonts w:ascii="宋体" w:hAnsi="宋体" w:cs="宋体" w:eastAsia="宋体" w:hint="default"/>
                <w:b/>
                <w:bCs/>
                <w:sz w:val="13"/>
                <w:szCs w:val="13"/>
              </w:rPr>
              <w:t>比例</w:t>
            </w:r>
            <w:r>
              <w:rPr>
                <w:rFonts w:ascii="宋体" w:hAnsi="宋体" w:cs="宋体" w:eastAsia="宋体" w:hint="default"/>
                <w:sz w:val="13"/>
                <w:szCs w:val="13"/>
              </w:rPr>
            </w:r>
          </w:p>
          <w:p>
            <w:pPr>
              <w:pStyle w:val="TableParagraph"/>
              <w:spacing w:line="240" w:lineRule="auto" w:before="6"/>
              <w:ind w:left="254" w:right="0"/>
              <w:jc w:val="left"/>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541" w:type="dxa"/>
            <w:vMerge w:val="restart"/>
            <w:tcBorders>
              <w:top w:val="nil" w:sz="6" w:space="0" w:color="auto"/>
              <w:left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508" w:lineRule="auto"/>
              <w:ind w:left="24" w:right="251"/>
              <w:jc w:val="left"/>
              <w:rPr>
                <w:rFonts w:ascii="宋体" w:hAnsi="宋体" w:cs="宋体" w:eastAsia="宋体" w:hint="default"/>
                <w:sz w:val="13"/>
                <w:szCs w:val="13"/>
              </w:rPr>
            </w:pPr>
            <w:r>
              <w:rPr>
                <w:rFonts w:ascii="宋体" w:hAnsi="宋体" w:cs="宋体" w:eastAsia="宋体" w:hint="default"/>
                <w:b/>
                <w:bCs/>
                <w:sz w:val="13"/>
                <w:szCs w:val="13"/>
              </w:rPr>
              <w:t>坏账</w:t>
            </w:r>
            <w:r>
              <w:rPr>
                <w:rFonts w:ascii="宋体" w:hAnsi="宋体" w:cs="宋体" w:eastAsia="宋体" w:hint="default"/>
                <w:b/>
                <w:bCs/>
                <w:spacing w:val="-64"/>
                <w:sz w:val="13"/>
                <w:szCs w:val="13"/>
              </w:rPr>
              <w:t> </w:t>
            </w:r>
            <w:r>
              <w:rPr>
                <w:rFonts w:ascii="宋体" w:hAnsi="宋体" w:cs="宋体" w:eastAsia="宋体" w:hint="default"/>
                <w:b/>
                <w:bCs/>
                <w:sz w:val="13"/>
                <w:szCs w:val="13"/>
              </w:rPr>
              <w:t>准备</w:t>
            </w:r>
            <w:r>
              <w:rPr>
                <w:rFonts w:ascii="宋体" w:hAnsi="宋体" w:cs="宋体" w:eastAsia="宋体" w:hint="default"/>
                <w:sz w:val="13"/>
                <w:szCs w:val="13"/>
              </w:rPr>
            </w:r>
          </w:p>
        </w:tc>
        <w:tc>
          <w:tcPr>
            <w:tcW w:w="1024" w:type="dxa"/>
            <w:vMerge w:val="restart"/>
            <w:tcBorders>
              <w:top w:val="nil" w:sz="6" w:space="0" w:color="auto"/>
              <w:left w:val="nil" w:sz="6" w:space="0" w:color="auto"/>
              <w:right w:val="nil" w:sz="6" w:space="0" w:color="auto"/>
            </w:tcBorders>
          </w:tcPr>
          <w:p>
            <w:pPr>
              <w:pStyle w:val="TableParagraph"/>
              <w:spacing w:line="451" w:lineRule="auto" w:before="96"/>
              <w:ind w:left="253" w:right="245"/>
              <w:jc w:val="left"/>
              <w:rPr>
                <w:rFonts w:ascii="宋体" w:hAnsi="宋体" w:cs="宋体" w:eastAsia="宋体" w:hint="default"/>
                <w:sz w:val="13"/>
                <w:szCs w:val="13"/>
              </w:rPr>
            </w:pPr>
            <w:r>
              <w:rPr>
                <w:rFonts w:ascii="宋体" w:hAnsi="宋体" w:cs="宋体" w:eastAsia="宋体" w:hint="default"/>
                <w:b/>
                <w:bCs/>
                <w:sz w:val="13"/>
                <w:szCs w:val="13"/>
              </w:rPr>
              <w:t>坏账准备</w:t>
            </w:r>
            <w:r>
              <w:rPr>
                <w:rFonts w:ascii="宋体" w:hAnsi="宋体" w:cs="宋体" w:eastAsia="宋体" w:hint="default"/>
                <w:b/>
                <w:bCs/>
                <w:w w:val="99"/>
                <w:sz w:val="13"/>
                <w:szCs w:val="13"/>
              </w:rPr>
              <w:t> </w:t>
            </w:r>
            <w:r>
              <w:rPr>
                <w:rFonts w:ascii="宋体" w:hAnsi="宋体" w:cs="宋体" w:eastAsia="宋体" w:hint="default"/>
                <w:b/>
                <w:bCs/>
                <w:sz w:val="13"/>
                <w:szCs w:val="13"/>
              </w:rPr>
              <w:t>计提比例</w:t>
            </w:r>
            <w:r>
              <w:rPr>
                <w:rFonts w:ascii="宋体" w:hAnsi="宋体" w:cs="宋体" w:eastAsia="宋体" w:hint="default"/>
                <w:sz w:val="13"/>
                <w:szCs w:val="13"/>
              </w:rPr>
            </w:r>
          </w:p>
          <w:p>
            <w:pPr>
              <w:pStyle w:val="TableParagraph"/>
              <w:spacing w:line="240" w:lineRule="auto" w:before="34"/>
              <w:ind w:left="320" w:right="0"/>
              <w:jc w:val="left"/>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743" w:type="dxa"/>
            <w:tcBorders>
              <w:top w:val="nil" w:sz="6" w:space="0" w:color="auto"/>
              <w:left w:val="nil" w:sz="6" w:space="0" w:color="auto"/>
              <w:bottom w:val="nil" w:sz="6" w:space="0" w:color="auto"/>
              <w:right w:val="nil" w:sz="6" w:space="0" w:color="auto"/>
            </w:tcBorders>
          </w:tcPr>
          <w:p>
            <w:pPr/>
          </w:p>
        </w:tc>
        <w:tc>
          <w:tcPr>
            <w:tcW w:w="1018" w:type="dxa"/>
            <w:vMerge w:val="restart"/>
            <w:tcBorders>
              <w:top w:val="nil" w:sz="6" w:space="0" w:color="auto"/>
              <w:left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508" w:lineRule="auto"/>
              <w:ind w:left="231" w:right="181" w:firstLine="74"/>
              <w:jc w:val="left"/>
              <w:rPr>
                <w:rFonts w:ascii="宋体" w:hAnsi="宋体" w:cs="宋体" w:eastAsia="宋体" w:hint="default"/>
                <w:sz w:val="13"/>
                <w:szCs w:val="13"/>
              </w:rPr>
            </w:pPr>
            <w:r>
              <w:rPr>
                <w:rFonts w:ascii="宋体" w:hAnsi="宋体" w:cs="宋体" w:eastAsia="宋体" w:hint="default"/>
                <w:b/>
                <w:bCs/>
                <w:sz w:val="13"/>
                <w:szCs w:val="13"/>
              </w:rPr>
              <w:t>占总额</w:t>
            </w:r>
            <w:r>
              <w:rPr>
                <w:rFonts w:ascii="宋体" w:hAnsi="宋体" w:cs="宋体" w:eastAsia="宋体" w:hint="default"/>
                <w:b/>
                <w:bCs/>
                <w:w w:val="99"/>
                <w:sz w:val="13"/>
                <w:szCs w:val="13"/>
              </w:rPr>
              <w:t> </w:t>
            </w:r>
            <w:r>
              <w:rPr>
                <w:rFonts w:ascii="宋体" w:hAnsi="宋体" w:cs="宋体" w:eastAsia="宋体" w:hint="default"/>
                <w:b/>
                <w:bCs/>
                <w:spacing w:val="-10"/>
                <w:sz w:val="13"/>
                <w:szCs w:val="13"/>
              </w:rPr>
              <w:t>比例（</w:t>
            </w:r>
            <w:r>
              <w:rPr>
                <w:rFonts w:ascii="Times New Roman" w:hAnsi="Times New Roman" w:cs="Times New Roman" w:eastAsia="Times New Roman" w:hint="default"/>
                <w:b/>
                <w:bCs/>
                <w:spacing w:val="-10"/>
                <w:sz w:val="13"/>
                <w:szCs w:val="13"/>
              </w:rPr>
              <w:t>%</w:t>
            </w:r>
            <w:r>
              <w:rPr>
                <w:rFonts w:ascii="宋体" w:hAnsi="宋体" w:cs="宋体" w:eastAsia="宋体" w:hint="default"/>
                <w:b/>
                <w:bCs/>
                <w:spacing w:val="-10"/>
                <w:sz w:val="13"/>
                <w:szCs w:val="13"/>
              </w:rPr>
              <w:t>）</w:t>
            </w:r>
            <w:r>
              <w:rPr>
                <w:rFonts w:ascii="宋体" w:hAnsi="宋体" w:cs="宋体" w:eastAsia="宋体" w:hint="default"/>
                <w:spacing w:val="-10"/>
                <w:sz w:val="13"/>
                <w:szCs w:val="13"/>
              </w:rPr>
            </w:r>
          </w:p>
        </w:tc>
        <w:tc>
          <w:tcPr>
            <w:tcW w:w="672" w:type="dxa"/>
            <w:vMerge w:val="restart"/>
            <w:tcBorders>
              <w:top w:val="nil" w:sz="6" w:space="0" w:color="auto"/>
              <w:left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508" w:lineRule="auto"/>
              <w:ind w:left="183" w:right="222"/>
              <w:jc w:val="left"/>
              <w:rPr>
                <w:rFonts w:ascii="宋体" w:hAnsi="宋体" w:cs="宋体" w:eastAsia="宋体" w:hint="default"/>
                <w:sz w:val="13"/>
                <w:szCs w:val="13"/>
              </w:rPr>
            </w:pPr>
            <w:r>
              <w:rPr>
                <w:rFonts w:ascii="宋体" w:hAnsi="宋体" w:cs="宋体" w:eastAsia="宋体" w:hint="default"/>
                <w:b/>
                <w:bCs/>
                <w:sz w:val="13"/>
                <w:szCs w:val="13"/>
              </w:rPr>
              <w:t>坏账</w:t>
            </w:r>
            <w:r>
              <w:rPr>
                <w:rFonts w:ascii="宋体" w:hAnsi="宋体" w:cs="宋体" w:eastAsia="宋体" w:hint="default"/>
                <w:b/>
                <w:bCs/>
                <w:spacing w:val="-64"/>
                <w:sz w:val="13"/>
                <w:szCs w:val="13"/>
              </w:rPr>
              <w:t> </w:t>
            </w:r>
            <w:r>
              <w:rPr>
                <w:rFonts w:ascii="宋体" w:hAnsi="宋体" w:cs="宋体" w:eastAsia="宋体" w:hint="default"/>
                <w:b/>
                <w:bCs/>
                <w:sz w:val="13"/>
                <w:szCs w:val="13"/>
              </w:rPr>
              <w:t>准备</w:t>
            </w:r>
            <w:r>
              <w:rPr>
                <w:rFonts w:ascii="宋体" w:hAnsi="宋体" w:cs="宋体" w:eastAsia="宋体" w:hint="default"/>
                <w:sz w:val="13"/>
                <w:szCs w:val="13"/>
              </w:rPr>
            </w:r>
          </w:p>
        </w:tc>
        <w:tc>
          <w:tcPr>
            <w:tcW w:w="877" w:type="dxa"/>
            <w:vMerge w:val="restart"/>
            <w:tcBorders>
              <w:top w:val="nil" w:sz="6" w:space="0" w:color="auto"/>
              <w:left w:val="nil" w:sz="6" w:space="0" w:color="auto"/>
              <w:right w:val="nil" w:sz="6" w:space="0" w:color="auto"/>
            </w:tcBorders>
          </w:tcPr>
          <w:p>
            <w:pPr>
              <w:pStyle w:val="TableParagraph"/>
              <w:spacing w:line="451" w:lineRule="auto" w:before="96"/>
              <w:ind w:left="224" w:right="127"/>
              <w:jc w:val="left"/>
              <w:rPr>
                <w:rFonts w:ascii="宋体" w:hAnsi="宋体" w:cs="宋体" w:eastAsia="宋体" w:hint="default"/>
                <w:sz w:val="13"/>
                <w:szCs w:val="13"/>
              </w:rPr>
            </w:pPr>
            <w:r>
              <w:rPr>
                <w:rFonts w:ascii="宋体" w:hAnsi="宋体" w:cs="宋体" w:eastAsia="宋体" w:hint="default"/>
                <w:b/>
                <w:bCs/>
                <w:sz w:val="13"/>
                <w:szCs w:val="13"/>
              </w:rPr>
              <w:t>坏账准备</w:t>
            </w:r>
            <w:r>
              <w:rPr>
                <w:rFonts w:ascii="宋体" w:hAnsi="宋体" w:cs="宋体" w:eastAsia="宋体" w:hint="default"/>
                <w:b/>
                <w:bCs/>
                <w:w w:val="99"/>
                <w:sz w:val="13"/>
                <w:szCs w:val="13"/>
              </w:rPr>
              <w:t> </w:t>
            </w:r>
            <w:r>
              <w:rPr>
                <w:rFonts w:ascii="宋体" w:hAnsi="宋体" w:cs="宋体" w:eastAsia="宋体" w:hint="default"/>
                <w:b/>
                <w:bCs/>
                <w:sz w:val="13"/>
                <w:szCs w:val="13"/>
              </w:rPr>
              <w:t>计提比例</w:t>
            </w:r>
            <w:r>
              <w:rPr>
                <w:rFonts w:ascii="宋体" w:hAnsi="宋体" w:cs="宋体" w:eastAsia="宋体" w:hint="default"/>
                <w:sz w:val="13"/>
                <w:szCs w:val="13"/>
              </w:rPr>
            </w:r>
          </w:p>
          <w:p>
            <w:pPr>
              <w:pStyle w:val="TableParagraph"/>
              <w:spacing w:line="240" w:lineRule="auto" w:before="34"/>
              <w:ind w:left="291" w:right="0"/>
              <w:jc w:val="left"/>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r>
      <w:tr>
        <w:trPr>
          <w:trHeight w:val="585" w:hRule="exact"/>
        </w:trPr>
        <w:tc>
          <w:tcPr>
            <w:tcW w:w="2792" w:type="dxa"/>
            <w:tcBorders>
              <w:top w:val="nil" w:sz="6" w:space="0" w:color="auto"/>
              <w:left w:val="nil" w:sz="6" w:space="0" w:color="auto"/>
              <w:bottom w:val="single" w:sz="4" w:space="0" w:color="000000"/>
              <w:right w:val="nil" w:sz="6" w:space="0" w:color="auto"/>
            </w:tcBorders>
          </w:tcPr>
          <w:p>
            <w:pPr>
              <w:pStyle w:val="TableParagraph"/>
              <w:spacing w:line="155" w:lineRule="exact"/>
              <w:ind w:right="252"/>
              <w:jc w:val="right"/>
              <w:rPr>
                <w:rFonts w:ascii="宋体" w:hAnsi="宋体" w:cs="宋体" w:eastAsia="宋体" w:hint="default"/>
                <w:sz w:val="13"/>
                <w:szCs w:val="13"/>
              </w:rPr>
            </w:pPr>
            <w:r>
              <w:rPr>
                <w:rFonts w:ascii="宋体" w:hAnsi="宋体" w:cs="宋体" w:eastAsia="宋体" w:hint="default"/>
                <w:b/>
                <w:bCs/>
                <w:sz w:val="13"/>
                <w:szCs w:val="13"/>
              </w:rPr>
              <w:t>金额</w:t>
            </w:r>
            <w:r>
              <w:rPr>
                <w:rFonts w:ascii="宋体" w:hAnsi="宋体" w:cs="宋体" w:eastAsia="宋体" w:hint="default"/>
                <w:sz w:val="13"/>
                <w:szCs w:val="13"/>
              </w:rPr>
            </w:r>
          </w:p>
        </w:tc>
        <w:tc>
          <w:tcPr>
            <w:tcW w:w="1130" w:type="dxa"/>
            <w:vMerge/>
            <w:tcBorders>
              <w:left w:val="nil" w:sz="6" w:space="0" w:color="auto"/>
              <w:bottom w:val="single" w:sz="4" w:space="0" w:color="000000"/>
              <w:right w:val="nil" w:sz="6" w:space="0" w:color="auto"/>
            </w:tcBorders>
          </w:tcPr>
          <w:p>
            <w:pPr/>
          </w:p>
        </w:tc>
        <w:tc>
          <w:tcPr>
            <w:tcW w:w="541" w:type="dxa"/>
            <w:vMerge/>
            <w:tcBorders>
              <w:left w:val="nil" w:sz="6" w:space="0" w:color="auto"/>
              <w:bottom w:val="single" w:sz="4" w:space="0" w:color="000000"/>
              <w:right w:val="nil" w:sz="6" w:space="0" w:color="auto"/>
            </w:tcBorders>
          </w:tcPr>
          <w:p>
            <w:pPr/>
          </w:p>
        </w:tc>
        <w:tc>
          <w:tcPr>
            <w:tcW w:w="1024" w:type="dxa"/>
            <w:vMerge/>
            <w:tcBorders>
              <w:left w:val="nil" w:sz="6" w:space="0" w:color="auto"/>
              <w:bottom w:val="single" w:sz="4" w:space="0" w:color="000000"/>
              <w:right w:val="nil" w:sz="6" w:space="0" w:color="auto"/>
            </w:tcBorders>
          </w:tcPr>
          <w:p>
            <w:pPr/>
          </w:p>
        </w:tc>
        <w:tc>
          <w:tcPr>
            <w:tcW w:w="743" w:type="dxa"/>
            <w:tcBorders>
              <w:top w:val="nil" w:sz="6" w:space="0" w:color="auto"/>
              <w:left w:val="nil" w:sz="6" w:space="0" w:color="auto"/>
              <w:bottom w:val="single" w:sz="4" w:space="0" w:color="000000"/>
              <w:right w:val="nil" w:sz="6" w:space="0" w:color="auto"/>
            </w:tcBorders>
          </w:tcPr>
          <w:p>
            <w:pPr>
              <w:pStyle w:val="TableParagraph"/>
              <w:spacing w:line="155" w:lineRule="exact"/>
              <w:ind w:left="247" w:right="0"/>
              <w:jc w:val="left"/>
              <w:rPr>
                <w:rFonts w:ascii="宋体" w:hAnsi="宋体" w:cs="宋体" w:eastAsia="宋体" w:hint="default"/>
                <w:sz w:val="13"/>
                <w:szCs w:val="13"/>
              </w:rPr>
            </w:pPr>
            <w:r>
              <w:rPr>
                <w:rFonts w:ascii="宋体" w:hAnsi="宋体" w:cs="宋体" w:eastAsia="宋体" w:hint="default"/>
                <w:b/>
                <w:bCs/>
                <w:sz w:val="13"/>
                <w:szCs w:val="13"/>
              </w:rPr>
              <w:t>金额</w:t>
            </w:r>
            <w:r>
              <w:rPr>
                <w:rFonts w:ascii="宋体" w:hAnsi="宋体" w:cs="宋体" w:eastAsia="宋体" w:hint="default"/>
                <w:sz w:val="13"/>
                <w:szCs w:val="13"/>
              </w:rPr>
            </w:r>
          </w:p>
        </w:tc>
        <w:tc>
          <w:tcPr>
            <w:tcW w:w="1018" w:type="dxa"/>
            <w:vMerge/>
            <w:tcBorders>
              <w:left w:val="nil" w:sz="6" w:space="0" w:color="auto"/>
              <w:bottom w:val="single" w:sz="4" w:space="0" w:color="000000"/>
              <w:right w:val="nil" w:sz="6" w:space="0" w:color="auto"/>
            </w:tcBorders>
          </w:tcPr>
          <w:p>
            <w:pPr/>
          </w:p>
        </w:tc>
        <w:tc>
          <w:tcPr>
            <w:tcW w:w="672" w:type="dxa"/>
            <w:vMerge/>
            <w:tcBorders>
              <w:left w:val="nil" w:sz="6" w:space="0" w:color="auto"/>
              <w:bottom w:val="single" w:sz="4" w:space="0" w:color="000000"/>
              <w:right w:val="nil" w:sz="6" w:space="0" w:color="auto"/>
            </w:tcBorders>
          </w:tcPr>
          <w:p>
            <w:pPr/>
          </w:p>
        </w:tc>
        <w:tc>
          <w:tcPr>
            <w:tcW w:w="877" w:type="dxa"/>
            <w:vMerge/>
            <w:tcBorders>
              <w:left w:val="nil" w:sz="6" w:space="0" w:color="auto"/>
              <w:bottom w:val="single" w:sz="4" w:space="0" w:color="000000"/>
              <w:right w:val="nil" w:sz="6" w:space="0" w:color="auto"/>
            </w:tcBorders>
          </w:tcPr>
          <w:p>
            <w:pPr/>
          </w:p>
        </w:tc>
      </w:tr>
      <w:tr>
        <w:trPr>
          <w:trHeight w:val="724" w:hRule="exact"/>
        </w:trPr>
        <w:tc>
          <w:tcPr>
            <w:tcW w:w="2792" w:type="dxa"/>
            <w:tcBorders>
              <w:top w:val="single" w:sz="4" w:space="0" w:color="000000"/>
              <w:left w:val="nil" w:sz="6" w:space="0" w:color="auto"/>
              <w:bottom w:val="nil" w:sz="6" w:space="0" w:color="auto"/>
              <w:right w:val="nil" w:sz="6" w:space="0" w:color="auto"/>
            </w:tcBorders>
          </w:tcPr>
          <w:p>
            <w:pPr>
              <w:pStyle w:val="TableParagraph"/>
              <w:spacing w:line="451" w:lineRule="auto" w:before="105"/>
              <w:ind w:left="23" w:right="1040" w:firstLine="38"/>
              <w:jc w:val="left"/>
              <w:rPr>
                <w:rFonts w:ascii="宋体" w:hAnsi="宋体" w:cs="宋体" w:eastAsia="宋体" w:hint="default"/>
                <w:sz w:val="13"/>
                <w:szCs w:val="13"/>
              </w:rPr>
            </w:pPr>
            <w:r>
              <w:rPr>
                <w:rFonts w:ascii="宋体" w:hAnsi="宋体" w:cs="宋体" w:eastAsia="宋体" w:hint="default"/>
                <w:w w:val="95"/>
                <w:sz w:val="13"/>
                <w:szCs w:val="13"/>
              </w:rPr>
              <w:t>单项金额重大并单项计提坏账</w:t>
            </w:r>
            <w:r>
              <w:rPr>
                <w:rFonts w:ascii="宋体" w:hAnsi="宋体" w:cs="宋体" w:eastAsia="宋体" w:hint="default"/>
                <w:spacing w:val="-19"/>
                <w:w w:val="95"/>
                <w:sz w:val="13"/>
                <w:szCs w:val="13"/>
              </w:rPr>
              <w:t> </w:t>
            </w:r>
            <w:r>
              <w:rPr>
                <w:rFonts w:ascii="宋体" w:hAnsi="宋体" w:cs="宋体" w:eastAsia="宋体" w:hint="default"/>
                <w:spacing w:val="-19"/>
                <w:w w:val="95"/>
                <w:sz w:val="13"/>
                <w:szCs w:val="13"/>
              </w:rPr>
            </w:r>
            <w:r>
              <w:rPr>
                <w:rFonts w:ascii="宋体" w:hAnsi="宋体" w:cs="宋体" w:eastAsia="宋体" w:hint="default"/>
                <w:sz w:val="13"/>
                <w:szCs w:val="13"/>
              </w:rPr>
              <w:t>准备的应收账款</w:t>
            </w:r>
          </w:p>
        </w:tc>
        <w:tc>
          <w:tcPr>
            <w:tcW w:w="1130" w:type="dxa"/>
            <w:tcBorders>
              <w:top w:val="single" w:sz="4" w:space="0" w:color="000000"/>
              <w:left w:val="nil" w:sz="6" w:space="0" w:color="auto"/>
              <w:bottom w:val="nil" w:sz="6" w:space="0" w:color="auto"/>
              <w:right w:val="nil" w:sz="6" w:space="0" w:color="auto"/>
            </w:tcBorders>
          </w:tcPr>
          <w:p>
            <w:pPr/>
          </w:p>
        </w:tc>
        <w:tc>
          <w:tcPr>
            <w:tcW w:w="541" w:type="dxa"/>
            <w:tcBorders>
              <w:top w:val="single" w:sz="4" w:space="0" w:color="000000"/>
              <w:left w:val="nil" w:sz="6" w:space="0" w:color="auto"/>
              <w:bottom w:val="nil" w:sz="6" w:space="0" w:color="auto"/>
              <w:right w:val="nil" w:sz="6" w:space="0" w:color="auto"/>
            </w:tcBorders>
          </w:tcPr>
          <w:p>
            <w:pPr/>
          </w:p>
        </w:tc>
        <w:tc>
          <w:tcPr>
            <w:tcW w:w="1024" w:type="dxa"/>
            <w:tcBorders>
              <w:top w:val="single" w:sz="4" w:space="0" w:color="000000"/>
              <w:left w:val="nil" w:sz="6" w:space="0" w:color="auto"/>
              <w:bottom w:val="nil" w:sz="6" w:space="0" w:color="auto"/>
              <w:right w:val="nil" w:sz="6" w:space="0" w:color="auto"/>
            </w:tcBorders>
          </w:tcPr>
          <w:p>
            <w:pPr/>
          </w:p>
        </w:tc>
        <w:tc>
          <w:tcPr>
            <w:tcW w:w="743" w:type="dxa"/>
            <w:tcBorders>
              <w:top w:val="single" w:sz="4" w:space="0" w:color="000000"/>
              <w:left w:val="nil" w:sz="6" w:space="0" w:color="auto"/>
              <w:bottom w:val="nil" w:sz="6" w:space="0" w:color="auto"/>
              <w:right w:val="nil" w:sz="6" w:space="0" w:color="auto"/>
            </w:tcBorders>
          </w:tcPr>
          <w:p>
            <w:pPr/>
          </w:p>
        </w:tc>
        <w:tc>
          <w:tcPr>
            <w:tcW w:w="1018" w:type="dxa"/>
            <w:tcBorders>
              <w:top w:val="single" w:sz="4" w:space="0" w:color="000000"/>
              <w:left w:val="nil" w:sz="6" w:space="0" w:color="auto"/>
              <w:bottom w:val="nil" w:sz="6" w:space="0" w:color="auto"/>
              <w:right w:val="nil" w:sz="6" w:space="0" w:color="auto"/>
            </w:tcBorders>
          </w:tcPr>
          <w:p>
            <w:pPr/>
          </w:p>
        </w:tc>
        <w:tc>
          <w:tcPr>
            <w:tcW w:w="672" w:type="dxa"/>
            <w:tcBorders>
              <w:top w:val="single" w:sz="4" w:space="0" w:color="000000"/>
              <w:left w:val="nil" w:sz="6" w:space="0" w:color="auto"/>
              <w:bottom w:val="nil" w:sz="6" w:space="0" w:color="auto"/>
              <w:right w:val="nil" w:sz="6" w:space="0" w:color="auto"/>
            </w:tcBorders>
          </w:tcPr>
          <w:p>
            <w:pPr/>
          </w:p>
        </w:tc>
        <w:tc>
          <w:tcPr>
            <w:tcW w:w="877" w:type="dxa"/>
            <w:tcBorders>
              <w:top w:val="single" w:sz="4" w:space="0" w:color="000000"/>
              <w:left w:val="nil" w:sz="6" w:space="0" w:color="auto"/>
              <w:bottom w:val="nil" w:sz="6" w:space="0" w:color="auto"/>
              <w:right w:val="nil" w:sz="6" w:space="0" w:color="auto"/>
            </w:tcBorders>
          </w:tcPr>
          <w:p>
            <w:pPr/>
          </w:p>
        </w:tc>
      </w:tr>
      <w:tr>
        <w:trPr>
          <w:trHeight w:val="254" w:hRule="exact"/>
        </w:trPr>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2" w:right="0"/>
              <w:jc w:val="left"/>
              <w:rPr>
                <w:rFonts w:ascii="宋体" w:hAnsi="宋体" w:cs="宋体" w:eastAsia="宋体" w:hint="default"/>
                <w:sz w:val="13"/>
                <w:szCs w:val="13"/>
              </w:rPr>
            </w:pPr>
            <w:r>
              <w:rPr>
                <w:rFonts w:ascii="宋体" w:hAnsi="宋体" w:cs="宋体" w:eastAsia="宋体" w:hint="default"/>
                <w:sz w:val="13"/>
                <w:szCs w:val="13"/>
              </w:rPr>
              <w:t>按组合计提坏账准备的应收账</w:t>
            </w:r>
          </w:p>
        </w:tc>
        <w:tc>
          <w:tcPr>
            <w:tcW w:w="1130" w:type="dxa"/>
            <w:tcBorders>
              <w:top w:val="nil" w:sz="6" w:space="0" w:color="auto"/>
              <w:left w:val="nil" w:sz="6" w:space="0" w:color="auto"/>
              <w:bottom w:val="nil" w:sz="6" w:space="0" w:color="auto"/>
              <w:right w:val="nil" w:sz="6" w:space="0" w:color="auto"/>
            </w:tcBorders>
          </w:tcPr>
          <w:p>
            <w:pPr/>
          </w:p>
        </w:tc>
        <w:tc>
          <w:tcPr>
            <w:tcW w:w="541"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79" w:top="1480" w:bottom="1160" w:left="1440" w:right="1300"/>
        </w:sectPr>
      </w:pPr>
    </w:p>
    <w:p>
      <w:pPr>
        <w:tabs>
          <w:tab w:pos="6939" w:val="left" w:leader="none"/>
        </w:tabs>
        <w:spacing w:before="47"/>
        <w:ind w:left="3490" w:right="0" w:firstLine="0"/>
        <w:jc w:val="left"/>
        <w:rPr>
          <w:rFonts w:ascii="宋体" w:hAnsi="宋体" w:cs="宋体" w:eastAsia="宋体" w:hint="default"/>
          <w:sz w:val="13"/>
          <w:szCs w:val="13"/>
        </w:rPr>
      </w:pPr>
      <w:r>
        <w:rPr>
          <w:rFonts w:ascii="宋体" w:hAnsi="宋体" w:cs="宋体" w:eastAsia="宋体" w:hint="default"/>
          <w:b/>
          <w:bCs/>
          <w:sz w:val="13"/>
          <w:szCs w:val="13"/>
        </w:rPr>
        <w:t>期末余额</w:t>
        <w:tab/>
        <w:t>期初余额</w:t>
      </w:r>
      <w:r>
        <w:rPr>
          <w:rFonts w:ascii="宋体" w:hAnsi="宋体" w:cs="宋体" w:eastAsia="宋体" w:hint="default"/>
          <w:sz w:val="13"/>
          <w:szCs w:val="13"/>
        </w:rPr>
      </w:r>
    </w:p>
    <w:p>
      <w:pPr>
        <w:spacing w:line="240" w:lineRule="auto" w:before="13"/>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0" w:footer="979" w:top="1480" w:bottom="1160" w:left="1440" w:right="1300"/>
        </w:sectPr>
      </w:pPr>
    </w:p>
    <w:p>
      <w:pPr>
        <w:spacing w:line="165" w:lineRule="exact" w:before="59"/>
        <w:ind w:left="0" w:right="0" w:firstLine="0"/>
        <w:jc w:val="right"/>
        <w:rPr>
          <w:rFonts w:ascii="宋体" w:hAnsi="宋体" w:cs="宋体" w:eastAsia="宋体" w:hint="default"/>
          <w:sz w:val="13"/>
          <w:szCs w:val="13"/>
        </w:rPr>
      </w:pPr>
      <w:r>
        <w:rPr>
          <w:rFonts w:ascii="宋体" w:hAnsi="宋体" w:cs="宋体" w:eastAsia="宋体" w:hint="default"/>
          <w:b/>
          <w:bCs/>
          <w:w w:val="95"/>
          <w:sz w:val="13"/>
          <w:szCs w:val="13"/>
        </w:rPr>
        <w:t>占总额</w:t>
      </w:r>
      <w:r>
        <w:rPr>
          <w:rFonts w:ascii="宋体" w:hAnsi="宋体" w:cs="宋体" w:eastAsia="宋体" w:hint="default"/>
          <w:sz w:val="13"/>
          <w:szCs w:val="13"/>
        </w:rPr>
      </w:r>
    </w:p>
    <w:p>
      <w:pPr>
        <w:spacing w:line="165" w:lineRule="exact" w:before="0"/>
        <w:ind w:left="934" w:right="0" w:firstLine="0"/>
        <w:jc w:val="left"/>
        <w:rPr>
          <w:rFonts w:ascii="宋体" w:hAnsi="宋体" w:cs="宋体" w:eastAsia="宋体" w:hint="default"/>
          <w:sz w:val="13"/>
          <w:szCs w:val="13"/>
        </w:rPr>
      </w:pPr>
      <w:r>
        <w:rPr>
          <w:rFonts w:ascii="宋体" w:hAnsi="宋体" w:cs="宋体" w:eastAsia="宋体" w:hint="default"/>
          <w:b/>
          <w:bCs/>
          <w:sz w:val="13"/>
          <w:szCs w:val="13"/>
        </w:rPr>
        <w:t>类别</w:t>
      </w:r>
      <w:r>
        <w:rPr>
          <w:rFonts w:ascii="宋体" w:hAnsi="宋体" w:cs="宋体" w:eastAsia="宋体" w:hint="default"/>
          <w:sz w:val="13"/>
          <w:szCs w:val="13"/>
        </w:rPr>
      </w:r>
    </w:p>
    <w:p>
      <w:pPr>
        <w:tabs>
          <w:tab w:pos="837" w:val="left" w:leader="none"/>
        </w:tabs>
        <w:spacing w:before="9"/>
        <w:ind w:left="0" w:right="60" w:firstLine="0"/>
        <w:jc w:val="right"/>
        <w:rPr>
          <w:rFonts w:ascii="宋体" w:hAnsi="宋体" w:cs="宋体" w:eastAsia="宋体" w:hint="default"/>
          <w:sz w:val="13"/>
          <w:szCs w:val="13"/>
        </w:rPr>
      </w:pPr>
      <w:r>
        <w:rPr>
          <w:rFonts w:ascii="宋体" w:hAnsi="宋体" w:cs="宋体" w:eastAsia="宋体" w:hint="default"/>
          <w:b/>
          <w:bCs/>
          <w:position w:val="2"/>
          <w:sz w:val="13"/>
          <w:szCs w:val="13"/>
        </w:rPr>
        <w:t>金额</w:t>
        <w:tab/>
      </w:r>
      <w:r>
        <w:rPr>
          <w:rFonts w:ascii="宋体" w:hAnsi="宋体" w:cs="宋体" w:eastAsia="宋体" w:hint="default"/>
          <w:b/>
          <w:bCs/>
          <w:sz w:val="13"/>
          <w:szCs w:val="13"/>
        </w:rPr>
        <w:t>比例</w:t>
      </w:r>
      <w:r>
        <w:rPr>
          <w:rFonts w:ascii="宋体" w:hAnsi="宋体" w:cs="宋体" w:eastAsia="宋体" w:hint="default"/>
          <w:sz w:val="13"/>
          <w:szCs w:val="13"/>
        </w:rPr>
      </w:r>
    </w:p>
    <w:p>
      <w:pPr>
        <w:spacing w:line="240" w:lineRule="auto" w:before="5"/>
        <w:rPr>
          <w:rFonts w:ascii="宋体" w:hAnsi="宋体" w:cs="宋体" w:eastAsia="宋体" w:hint="default"/>
          <w:b/>
          <w:bCs/>
          <w:sz w:val="11"/>
          <w:szCs w:val="11"/>
        </w:rPr>
      </w:pPr>
    </w:p>
    <w:p>
      <w:pPr>
        <w:spacing w:before="0"/>
        <w:ind w:left="0" w:right="0" w:firstLine="0"/>
        <w:jc w:val="right"/>
        <w:rPr>
          <w:rFonts w:ascii="宋体" w:hAnsi="宋体" w:cs="宋体" w:eastAsia="宋体" w:hint="default"/>
          <w:sz w:val="13"/>
          <w:szCs w:val="13"/>
        </w:rPr>
      </w:pPr>
      <w:r>
        <w:rPr>
          <w:rFonts w:ascii="宋体" w:hAnsi="宋体" w:cs="宋体" w:eastAsia="宋体" w:hint="default"/>
          <w:b/>
          <w:bCs/>
          <w:spacing w:val="-1"/>
          <w:w w:val="95"/>
          <w:sz w:val="13"/>
          <w:szCs w:val="13"/>
        </w:rPr>
        <w:t>（</w:t>
      </w:r>
      <w:r>
        <w:rPr>
          <w:rFonts w:ascii="Times New Roman" w:hAnsi="Times New Roman" w:cs="Times New Roman" w:eastAsia="Times New Roman" w:hint="default"/>
          <w:b/>
          <w:bCs/>
          <w:spacing w:val="-1"/>
          <w:w w:val="95"/>
          <w:sz w:val="13"/>
          <w:szCs w:val="13"/>
        </w:rPr>
        <w:t>%</w:t>
      </w:r>
      <w:r>
        <w:rPr>
          <w:rFonts w:ascii="宋体" w:hAnsi="宋体" w:cs="宋体" w:eastAsia="宋体" w:hint="default"/>
          <w:b/>
          <w:bCs/>
          <w:spacing w:val="-1"/>
          <w:w w:val="95"/>
          <w:sz w:val="13"/>
          <w:szCs w:val="13"/>
        </w:rPr>
        <w:t>）</w:t>
      </w:r>
      <w:r>
        <w:rPr>
          <w:rFonts w:ascii="宋体" w:hAnsi="宋体" w:cs="宋体" w:eastAsia="宋体" w:hint="default"/>
          <w:spacing w:val="-1"/>
          <w:sz w:val="13"/>
          <w:szCs w:val="13"/>
        </w:rPr>
      </w:r>
    </w:p>
    <w:p>
      <w:pPr>
        <w:spacing w:line="156" w:lineRule="exact" w:before="78"/>
        <w:ind w:left="0" w:right="0" w:firstLine="0"/>
        <w:jc w:val="right"/>
        <w:rPr>
          <w:rFonts w:ascii="宋体" w:hAnsi="宋体" w:cs="宋体" w:eastAsia="宋体" w:hint="default"/>
          <w:sz w:val="13"/>
          <w:szCs w:val="13"/>
        </w:rPr>
      </w:pPr>
      <w:r>
        <w:rPr/>
        <w:br w:type="column"/>
      </w:r>
      <w:r>
        <w:rPr>
          <w:rFonts w:ascii="宋体" w:hAnsi="宋体" w:cs="宋体" w:eastAsia="宋体" w:hint="default"/>
          <w:b/>
          <w:bCs/>
          <w:sz w:val="13"/>
          <w:szCs w:val="13"/>
        </w:rPr>
        <w:t>坏账准备</w:t>
      </w:r>
      <w:r>
        <w:rPr>
          <w:rFonts w:ascii="宋体" w:hAnsi="宋体" w:cs="宋体" w:eastAsia="宋体" w:hint="default"/>
          <w:sz w:val="13"/>
          <w:szCs w:val="13"/>
        </w:rPr>
      </w:r>
    </w:p>
    <w:p>
      <w:pPr>
        <w:spacing w:line="156" w:lineRule="exact" w:before="0"/>
        <w:ind w:left="468" w:right="0" w:firstLine="0"/>
        <w:jc w:val="left"/>
        <w:rPr>
          <w:rFonts w:ascii="宋体" w:hAnsi="宋体" w:cs="宋体" w:eastAsia="宋体" w:hint="default"/>
          <w:sz w:val="13"/>
          <w:szCs w:val="13"/>
        </w:rPr>
      </w:pPr>
      <w:r>
        <w:rPr>
          <w:rFonts w:ascii="宋体" w:hAnsi="宋体" w:cs="宋体" w:eastAsia="宋体" w:hint="default"/>
          <w:b/>
          <w:bCs/>
          <w:sz w:val="13"/>
          <w:szCs w:val="13"/>
        </w:rPr>
        <w:t>坏账</w:t>
      </w:r>
      <w:r>
        <w:rPr>
          <w:rFonts w:ascii="宋体" w:hAnsi="宋体" w:cs="宋体" w:eastAsia="宋体" w:hint="default"/>
          <w:sz w:val="13"/>
          <w:szCs w:val="13"/>
        </w:rPr>
      </w:r>
    </w:p>
    <w:p>
      <w:pPr>
        <w:spacing w:before="10"/>
        <w:ind w:left="0" w:right="0" w:firstLine="0"/>
        <w:jc w:val="right"/>
        <w:rPr>
          <w:rFonts w:ascii="宋体" w:hAnsi="宋体" w:cs="宋体" w:eastAsia="宋体" w:hint="default"/>
          <w:sz w:val="13"/>
          <w:szCs w:val="13"/>
        </w:rPr>
      </w:pPr>
      <w:r>
        <w:rPr>
          <w:rFonts w:ascii="宋体" w:hAnsi="宋体" w:cs="宋体" w:eastAsia="宋体" w:hint="default"/>
          <w:b/>
          <w:bCs/>
          <w:sz w:val="13"/>
          <w:szCs w:val="13"/>
        </w:rPr>
        <w:t>计提比例</w:t>
      </w:r>
      <w:r>
        <w:rPr>
          <w:rFonts w:ascii="宋体" w:hAnsi="宋体" w:cs="宋体" w:eastAsia="宋体" w:hint="default"/>
          <w:sz w:val="13"/>
          <w:szCs w:val="13"/>
        </w:rPr>
      </w:r>
    </w:p>
    <w:p>
      <w:pPr>
        <w:spacing w:line="155" w:lineRule="exact" w:before="10"/>
        <w:ind w:left="468" w:right="0" w:firstLine="0"/>
        <w:jc w:val="left"/>
        <w:rPr>
          <w:rFonts w:ascii="宋体" w:hAnsi="宋体" w:cs="宋体" w:eastAsia="宋体" w:hint="default"/>
          <w:sz w:val="13"/>
          <w:szCs w:val="13"/>
        </w:rPr>
      </w:pPr>
      <w:r>
        <w:rPr>
          <w:rFonts w:ascii="宋体" w:hAnsi="宋体" w:cs="宋体" w:eastAsia="宋体" w:hint="default"/>
          <w:b/>
          <w:bCs/>
          <w:sz w:val="13"/>
          <w:szCs w:val="13"/>
        </w:rPr>
        <w:t>准备</w:t>
      </w:r>
      <w:r>
        <w:rPr>
          <w:rFonts w:ascii="宋体" w:hAnsi="宋体" w:cs="宋体" w:eastAsia="宋体" w:hint="default"/>
          <w:sz w:val="13"/>
          <w:szCs w:val="13"/>
        </w:rPr>
      </w:r>
    </w:p>
    <w:p>
      <w:pPr>
        <w:spacing w:line="164" w:lineRule="exact" w:before="0"/>
        <w:ind w:left="0" w:right="64" w:firstLine="0"/>
        <w:jc w:val="right"/>
        <w:rPr>
          <w:rFonts w:ascii="宋体" w:hAnsi="宋体" w:cs="宋体" w:eastAsia="宋体" w:hint="default"/>
          <w:sz w:val="13"/>
          <w:szCs w:val="13"/>
        </w:rPr>
      </w:pPr>
      <w:r>
        <w:rPr>
          <w:rFonts w:ascii="宋体" w:hAnsi="宋体" w:cs="宋体" w:eastAsia="宋体" w:hint="default"/>
          <w:b/>
          <w:bCs/>
          <w:spacing w:val="-1"/>
          <w:w w:val="95"/>
          <w:sz w:val="13"/>
          <w:szCs w:val="13"/>
        </w:rPr>
        <w:t>（</w:t>
      </w:r>
      <w:r>
        <w:rPr>
          <w:rFonts w:ascii="Times New Roman" w:hAnsi="Times New Roman" w:cs="Times New Roman" w:eastAsia="Times New Roman" w:hint="default"/>
          <w:b/>
          <w:bCs/>
          <w:spacing w:val="-1"/>
          <w:w w:val="95"/>
          <w:sz w:val="13"/>
          <w:szCs w:val="13"/>
        </w:rPr>
        <w:t>%</w:t>
      </w:r>
      <w:r>
        <w:rPr>
          <w:rFonts w:ascii="宋体" w:hAnsi="宋体" w:cs="宋体" w:eastAsia="宋体" w:hint="default"/>
          <w:b/>
          <w:bCs/>
          <w:spacing w:val="-1"/>
          <w:w w:val="95"/>
          <w:sz w:val="13"/>
          <w:szCs w:val="13"/>
        </w:rPr>
        <w:t>）</w:t>
      </w:r>
      <w:r>
        <w:rPr>
          <w:rFonts w:ascii="宋体" w:hAnsi="宋体" w:cs="宋体" w:eastAsia="宋体" w:hint="default"/>
          <w:spacing w:val="-1"/>
          <w:sz w:val="13"/>
          <w:szCs w:val="13"/>
        </w:rPr>
      </w:r>
    </w:p>
    <w:p>
      <w:pPr>
        <w:spacing w:line="240" w:lineRule="auto" w:before="11"/>
        <w:rPr>
          <w:rFonts w:ascii="宋体" w:hAnsi="宋体" w:cs="宋体" w:eastAsia="宋体" w:hint="default"/>
          <w:b/>
          <w:bCs/>
          <w:sz w:val="16"/>
          <w:szCs w:val="16"/>
        </w:rPr>
      </w:pPr>
      <w:r>
        <w:rPr/>
        <w:br w:type="column"/>
      </w:r>
      <w:r>
        <w:rPr>
          <w:rFonts w:ascii="宋体"/>
          <w:b/>
          <w:sz w:val="16"/>
        </w:rPr>
      </w:r>
    </w:p>
    <w:p>
      <w:pPr>
        <w:tabs>
          <w:tab w:pos="2152" w:val="left" w:leader="none"/>
        </w:tabs>
        <w:spacing w:before="0"/>
        <w:ind w:left="1256" w:right="-17" w:firstLine="0"/>
        <w:jc w:val="left"/>
        <w:rPr>
          <w:rFonts w:ascii="宋体" w:hAnsi="宋体" w:cs="宋体" w:eastAsia="宋体" w:hint="default"/>
          <w:sz w:val="13"/>
          <w:szCs w:val="13"/>
        </w:rPr>
      </w:pPr>
      <w:r>
        <w:rPr>
          <w:rFonts w:ascii="宋体" w:hAnsi="宋体" w:cs="宋体" w:eastAsia="宋体" w:hint="default"/>
          <w:b/>
          <w:bCs/>
          <w:w w:val="95"/>
          <w:sz w:val="13"/>
          <w:szCs w:val="13"/>
        </w:rPr>
        <w:t>占总额</w:t>
        <w:tab/>
      </w:r>
      <w:r>
        <w:rPr>
          <w:rFonts w:ascii="宋体" w:hAnsi="宋体" w:cs="宋体" w:eastAsia="宋体" w:hint="default"/>
          <w:b/>
          <w:bCs/>
          <w:sz w:val="13"/>
          <w:szCs w:val="13"/>
        </w:rPr>
        <w:t>坏账</w:t>
      </w:r>
      <w:r>
        <w:rPr>
          <w:rFonts w:ascii="宋体" w:hAnsi="宋体" w:cs="宋体" w:eastAsia="宋体" w:hint="default"/>
          <w:sz w:val="13"/>
          <w:szCs w:val="13"/>
        </w:rPr>
      </w:r>
    </w:p>
    <w:p>
      <w:pPr>
        <w:spacing w:before="10"/>
        <w:ind w:left="454" w:right="-17" w:firstLine="0"/>
        <w:jc w:val="left"/>
        <w:rPr>
          <w:rFonts w:ascii="宋体" w:hAnsi="宋体" w:cs="宋体" w:eastAsia="宋体" w:hint="default"/>
          <w:sz w:val="13"/>
          <w:szCs w:val="13"/>
        </w:rPr>
      </w:pPr>
      <w:r>
        <w:rPr>
          <w:rFonts w:ascii="宋体" w:hAnsi="宋体" w:cs="宋体" w:eastAsia="宋体" w:hint="default"/>
          <w:b/>
          <w:bCs/>
          <w:sz w:val="13"/>
          <w:szCs w:val="13"/>
        </w:rPr>
        <w:t>金额</w:t>
      </w:r>
      <w:r>
        <w:rPr>
          <w:rFonts w:ascii="宋体" w:hAnsi="宋体" w:cs="宋体" w:eastAsia="宋体" w:hint="default"/>
          <w:sz w:val="13"/>
          <w:szCs w:val="13"/>
        </w:rPr>
      </w:r>
    </w:p>
    <w:p>
      <w:pPr>
        <w:tabs>
          <w:tab w:pos="2152" w:val="left" w:leader="none"/>
        </w:tabs>
        <w:spacing w:before="10"/>
        <w:ind w:left="1182" w:right="-17" w:firstLine="0"/>
        <w:jc w:val="left"/>
        <w:rPr>
          <w:rFonts w:ascii="宋体" w:hAnsi="宋体" w:cs="宋体" w:eastAsia="宋体" w:hint="default"/>
          <w:sz w:val="13"/>
          <w:szCs w:val="13"/>
        </w:rPr>
      </w:pPr>
      <w:r>
        <w:rPr>
          <w:rFonts w:ascii="宋体" w:hAnsi="宋体" w:cs="宋体" w:eastAsia="宋体" w:hint="default"/>
          <w:b/>
          <w:bCs/>
          <w:spacing w:val="-10"/>
          <w:w w:val="95"/>
          <w:sz w:val="13"/>
          <w:szCs w:val="13"/>
        </w:rPr>
        <w:t>比例（</w:t>
      </w:r>
      <w:r>
        <w:rPr>
          <w:rFonts w:ascii="Times New Roman" w:hAnsi="Times New Roman" w:cs="Times New Roman" w:eastAsia="Times New Roman" w:hint="default"/>
          <w:b/>
          <w:bCs/>
          <w:spacing w:val="-10"/>
          <w:w w:val="95"/>
          <w:sz w:val="13"/>
          <w:szCs w:val="13"/>
        </w:rPr>
        <w:t>%</w:t>
      </w:r>
      <w:r>
        <w:rPr>
          <w:rFonts w:ascii="宋体" w:hAnsi="宋体" w:cs="宋体" w:eastAsia="宋体" w:hint="default"/>
          <w:b/>
          <w:bCs/>
          <w:spacing w:val="-10"/>
          <w:w w:val="95"/>
          <w:sz w:val="13"/>
          <w:szCs w:val="13"/>
        </w:rPr>
        <w:t>）</w:t>
        <w:tab/>
      </w:r>
      <w:r>
        <w:rPr>
          <w:rFonts w:ascii="宋体" w:hAnsi="宋体" w:cs="宋体" w:eastAsia="宋体" w:hint="default"/>
          <w:b/>
          <w:bCs/>
          <w:sz w:val="13"/>
          <w:szCs w:val="13"/>
        </w:rPr>
        <w:t>准备</w:t>
      </w:r>
      <w:r>
        <w:rPr>
          <w:rFonts w:ascii="宋体" w:hAnsi="宋体" w:cs="宋体" w:eastAsia="宋体" w:hint="default"/>
          <w:sz w:val="13"/>
          <w:szCs w:val="13"/>
        </w:rPr>
      </w:r>
    </w:p>
    <w:p>
      <w:pPr>
        <w:spacing w:line="453" w:lineRule="auto" w:before="78"/>
        <w:ind w:left="408" w:right="380" w:firstLine="0"/>
        <w:jc w:val="center"/>
        <w:rPr>
          <w:rFonts w:ascii="宋体" w:hAnsi="宋体" w:cs="宋体" w:eastAsia="宋体" w:hint="default"/>
          <w:sz w:val="13"/>
          <w:szCs w:val="13"/>
        </w:rPr>
      </w:pPr>
      <w:r>
        <w:rPr/>
        <w:br w:type="column"/>
      </w:r>
      <w:r>
        <w:rPr>
          <w:rFonts w:ascii="宋体" w:hAnsi="宋体" w:cs="宋体" w:eastAsia="宋体" w:hint="default"/>
          <w:b/>
          <w:bCs/>
          <w:sz w:val="13"/>
          <w:szCs w:val="13"/>
        </w:rPr>
        <w:t>坏账准备</w:t>
      </w:r>
      <w:r>
        <w:rPr>
          <w:rFonts w:ascii="宋体" w:hAnsi="宋体" w:cs="宋体" w:eastAsia="宋体" w:hint="default"/>
          <w:b/>
          <w:bCs/>
          <w:w w:val="99"/>
          <w:sz w:val="13"/>
          <w:szCs w:val="13"/>
        </w:rPr>
        <w:t> </w:t>
      </w:r>
      <w:r>
        <w:rPr>
          <w:rFonts w:ascii="宋体" w:hAnsi="宋体" w:cs="宋体" w:eastAsia="宋体" w:hint="default"/>
          <w:b/>
          <w:bCs/>
          <w:sz w:val="13"/>
          <w:szCs w:val="13"/>
        </w:rPr>
        <w:t>计提比例</w:t>
      </w:r>
      <w:r>
        <w:rPr>
          <w:rFonts w:ascii="宋体" w:hAnsi="宋体" w:cs="宋体" w:eastAsia="宋体" w:hint="default"/>
          <w:sz w:val="13"/>
          <w:szCs w:val="13"/>
        </w:rPr>
      </w:r>
    </w:p>
    <w:p>
      <w:pPr>
        <w:spacing w:before="33"/>
        <w:ind w:left="405" w:right="380" w:firstLine="0"/>
        <w:jc w:val="center"/>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p>
      <w:pPr>
        <w:spacing w:after="0"/>
        <w:jc w:val="center"/>
        <w:rPr>
          <w:rFonts w:ascii="宋体" w:hAnsi="宋体" w:cs="宋体" w:eastAsia="宋体" w:hint="default"/>
          <w:sz w:val="13"/>
          <w:szCs w:val="13"/>
        </w:rPr>
        <w:sectPr>
          <w:type w:val="continuous"/>
          <w:pgSz w:w="11910" w:h="16840"/>
          <w:pgMar w:top="1580" w:bottom="1140" w:left="1440" w:right="1300"/>
          <w:cols w:num="4" w:equalWidth="0">
            <w:col w:w="3553" w:space="40"/>
            <w:col w:w="1763" w:space="40"/>
            <w:col w:w="2417" w:space="40"/>
            <w:col w:w="1317"/>
          </w:cols>
        </w:sectPr>
      </w:pPr>
    </w:p>
    <w:p>
      <w:pPr>
        <w:spacing w:line="240" w:lineRule="auto" w:before="10"/>
        <w:rPr>
          <w:rFonts w:ascii="宋体" w:hAnsi="宋体" w:cs="宋体" w:eastAsia="宋体" w:hint="default"/>
          <w:b/>
          <w:bCs/>
          <w:sz w:val="5"/>
          <w:szCs w:val="5"/>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40.4pt;height:.5pt;mso-position-horizontal-relative:char;mso-position-vertical-relative:line" coordorigin="0,0" coordsize="8808,10">
            <v:group style="position:absolute;left:5;top:5;width:1899;height:2" coordorigin="5,5" coordsize="1899,2">
              <v:shape style="position:absolute;left:5;top:5;width:1899;height:2" coordorigin="5,5" coordsize="1899,0" path="m5,5l1903,5e" filled="false" stroked="true" strokeweight=".48pt" strokecolor="#000000">
                <v:path arrowok="t"/>
              </v:shape>
            </v:group>
            <v:group style="position:absolute;left:1903;top:5;width:10;height:2" coordorigin="1903,5" coordsize="10,2">
              <v:shape style="position:absolute;left:1903;top:5;width:10;height:2" coordorigin="1903,5" coordsize="10,0" path="m1903,5l1913,5e" filled="false" stroked="true" strokeweight=".48pt" strokecolor="#000000">
                <v:path arrowok="t"/>
              </v:shape>
            </v:group>
            <v:group style="position:absolute;left:1913;top:5;width:1002;height:2" coordorigin="1913,5" coordsize="1002,2">
              <v:shape style="position:absolute;left:1913;top:5;width:1002;height:2" coordorigin="1913,5" coordsize="1002,0" path="m1913,5l2914,5e" filled="false" stroked="true" strokeweight=".48pt" strokecolor="#000000">
                <v:path arrowok="t"/>
              </v:shape>
            </v:group>
            <v:group style="position:absolute;left:2914;top:5;width:10;height:2" coordorigin="2914,5" coordsize="10,2">
              <v:shape style="position:absolute;left:2914;top:5;width:10;height:2" coordorigin="2914,5" coordsize="10,0" path="m2914,5l2924,5e" filled="false" stroked="true" strokeweight=".48pt" strokecolor="#000000">
                <v:path arrowok="t"/>
              </v:shape>
            </v:group>
            <v:group style="position:absolute;left:2924;top:5;width:658;height:2" coordorigin="2924,5" coordsize="658,2">
              <v:shape style="position:absolute;left:2924;top:5;width:658;height:2" coordorigin="2924,5" coordsize="658,0" path="m2924,5l3581,5e" filled="false" stroked="true" strokeweight=".48pt" strokecolor="#000000">
                <v:path arrowok="t"/>
              </v:shape>
            </v:group>
            <v:group style="position:absolute;left:3581;top:5;width:10;height:2" coordorigin="3581,5" coordsize="10,2">
              <v:shape style="position:absolute;left:3581;top:5;width:10;height:2" coordorigin="3581,5" coordsize="10,0" path="m3581,5l3591,5e" filled="false" stroked="true" strokeweight=".48pt" strokecolor="#000000">
                <v:path arrowok="t"/>
              </v:shape>
            </v:group>
            <v:group style="position:absolute;left:3591;top:5;width:996;height:2" coordorigin="3591,5" coordsize="996,2">
              <v:shape style="position:absolute;left:3591;top:5;width:996;height:2" coordorigin="3591,5" coordsize="996,0" path="m3591,5l4587,5e" filled="false" stroked="true" strokeweight=".48pt" strokecolor="#000000">
                <v:path arrowok="t"/>
              </v:shape>
            </v:group>
            <v:group style="position:absolute;left:4587;top:5;width:10;height:2" coordorigin="4587,5" coordsize="10,2">
              <v:shape style="position:absolute;left:4587;top:5;width:10;height:2" coordorigin="4587,5" coordsize="10,0" path="m4587,5l4597,5e" filled="false" stroked="true" strokeweight=".48pt" strokecolor="#000000">
                <v:path arrowok="t"/>
              </v:shape>
            </v:group>
            <v:group style="position:absolute;left:4597;top:5;width:786;height:2" coordorigin="4597,5" coordsize="786,2">
              <v:shape style="position:absolute;left:4597;top:5;width:786;height:2" coordorigin="4597,5" coordsize="786,0" path="m4597,5l5382,5e" filled="false" stroked="true" strokeweight=".48pt" strokecolor="#000000">
                <v:path arrowok="t"/>
              </v:shape>
            </v:group>
            <v:group style="position:absolute;left:5382;top:5;width:10;height:2" coordorigin="5382,5" coordsize="10,2">
              <v:shape style="position:absolute;left:5382;top:5;width:10;height:2" coordorigin="5382,5" coordsize="10,0" path="m5382,5l5391,5e" filled="false" stroked="true" strokeweight=".48pt" strokecolor="#000000">
                <v:path arrowok="t"/>
              </v:shape>
            </v:group>
            <v:group style="position:absolute;left:5391;top:5;width:968;height:2" coordorigin="5391,5" coordsize="968,2">
              <v:shape style="position:absolute;left:5391;top:5;width:968;height:2" coordorigin="5391,5" coordsize="968,0" path="m5391,5l6359,5e" filled="false" stroked="true" strokeweight=".48pt" strokecolor="#000000">
                <v:path arrowok="t"/>
              </v:shape>
            </v:group>
            <v:group style="position:absolute;left:6359;top:5;width:10;height:2" coordorigin="6359,5" coordsize="10,2">
              <v:shape style="position:absolute;left:6359;top:5;width:10;height:2" coordorigin="6359,5" coordsize="10,0" path="m6359,5l6368,5e" filled="false" stroked="true" strokeweight=".48pt" strokecolor="#000000">
                <v:path arrowok="t"/>
              </v:shape>
            </v:group>
            <v:group style="position:absolute;left:6368;top:5;width:744;height:2" coordorigin="6368,5" coordsize="744,2">
              <v:shape style="position:absolute;left:6368;top:5;width:744;height:2" coordorigin="6368,5" coordsize="744,0" path="m6368,5l7112,5e" filled="false" stroked="true" strokeweight=".48pt" strokecolor="#000000">
                <v:path arrowok="t"/>
              </v:shape>
            </v:group>
            <v:group style="position:absolute;left:7112;top:5;width:10;height:2" coordorigin="7112,5" coordsize="10,2">
              <v:shape style="position:absolute;left:7112;top:5;width:10;height:2" coordorigin="7112,5" coordsize="10,0" path="m7112,5l7122,5e" filled="false" stroked="true" strokeweight=".48pt" strokecolor="#000000">
                <v:path arrowok="t"/>
              </v:shape>
            </v:group>
            <v:group style="position:absolute;left:7122;top:5;width:901;height:2" coordorigin="7122,5" coordsize="901,2">
              <v:shape style="position:absolute;left:7122;top:5;width:901;height:2" coordorigin="7122,5" coordsize="901,0" path="m7122,5l8022,5e" filled="false" stroked="true" strokeweight=".48pt" strokecolor="#000000">
                <v:path arrowok="t"/>
              </v:shape>
            </v:group>
            <v:group style="position:absolute;left:8022;top:5;width:10;height:2" coordorigin="8022,5" coordsize="10,2">
              <v:shape style="position:absolute;left:8022;top:5;width:10;height:2" coordorigin="8022,5" coordsize="10,0" path="m8022,5l8032,5e" filled="false" stroked="true" strokeweight=".48pt" strokecolor="#000000">
                <v:path arrowok="t"/>
              </v:shape>
            </v:group>
            <v:group style="position:absolute;left:8032;top:5;width:771;height:2" coordorigin="8032,5" coordsize="771,2">
              <v:shape style="position:absolute;left:8032;top:5;width:771;height:2" coordorigin="8032,5" coordsize="771,0" path="m8032,5l8802,5e" filled="false" stroked="true" strokeweight=".48pt" strokecolor="#000000">
                <v:path arrowok="t"/>
              </v:shape>
            </v:group>
          </v:group>
        </w:pict>
      </w:r>
      <w:r>
        <w:rPr>
          <w:rFonts w:ascii="宋体" w:hAnsi="宋体" w:cs="宋体" w:eastAsia="宋体" w:hint="default"/>
          <w:sz w:val="2"/>
          <w:szCs w:val="2"/>
        </w:rPr>
      </w:r>
    </w:p>
    <w:p>
      <w:pPr>
        <w:spacing w:before="97"/>
        <w:ind w:left="139" w:right="0" w:firstLine="0"/>
        <w:jc w:val="left"/>
        <w:rPr>
          <w:rFonts w:ascii="宋体" w:hAnsi="宋体" w:cs="宋体" w:eastAsia="宋体" w:hint="default"/>
          <w:sz w:val="13"/>
          <w:szCs w:val="13"/>
        </w:rPr>
      </w:pPr>
      <w:r>
        <w:rPr/>
        <w:pict>
          <v:shape style="position:absolute;margin-left:178.75pt;margin-top:17.46751pt;width:328.45pt;height:107.2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47"/>
                    <w:gridCol w:w="640"/>
                    <w:gridCol w:w="1064"/>
                    <w:gridCol w:w="525"/>
                    <w:gridCol w:w="1220"/>
                    <w:gridCol w:w="636"/>
                    <w:gridCol w:w="1033"/>
                    <w:gridCol w:w="502"/>
                  </w:tblGrid>
                  <w:tr>
                    <w:trPr>
                      <w:trHeight w:val="345"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61"/>
                          <w:jc w:val="right"/>
                          <w:rPr>
                            <w:rFonts w:ascii="Times New Roman" w:hAnsi="Times New Roman" w:cs="Times New Roman" w:eastAsia="Times New Roman" w:hint="default"/>
                            <w:sz w:val="13"/>
                            <w:szCs w:val="13"/>
                          </w:rPr>
                        </w:pPr>
                        <w:r>
                          <w:rPr>
                            <w:rFonts w:ascii="Times New Roman"/>
                            <w:sz w:val="13"/>
                          </w:rPr>
                          <w:t>26,702,728.35</w:t>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63" w:right="0"/>
                          <w:jc w:val="left"/>
                          <w:rPr>
                            <w:rFonts w:ascii="Times New Roman" w:hAnsi="Times New Roman" w:cs="Times New Roman" w:eastAsia="Times New Roman" w:hint="default"/>
                            <w:sz w:val="13"/>
                            <w:szCs w:val="13"/>
                          </w:rPr>
                        </w:pPr>
                        <w:r>
                          <w:rPr>
                            <w:rFonts w:ascii="Times New Roman"/>
                            <w:sz w:val="13"/>
                          </w:rPr>
                          <w:t>42.00</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7"/>
                          <w:jc w:val="right"/>
                          <w:rPr>
                            <w:rFonts w:ascii="Times New Roman" w:hAnsi="Times New Roman" w:cs="Times New Roman" w:eastAsia="Times New Roman" w:hint="default"/>
                            <w:sz w:val="13"/>
                            <w:szCs w:val="13"/>
                          </w:rPr>
                        </w:pPr>
                        <w:r>
                          <w:rPr>
                            <w:rFonts w:ascii="Times New Roman"/>
                            <w:w w:val="95"/>
                            <w:sz w:val="13"/>
                          </w:rPr>
                          <w:t>7,491,608.43</w:t>
                        </w:r>
                        <w:r>
                          <w:rPr>
                            <w:rFonts w:ascii="Times New Roman"/>
                            <w:sz w:val="13"/>
                          </w:rPr>
                        </w:r>
                      </w:p>
                    </w:tc>
                    <w:tc>
                      <w:tcPr>
                        <w:tcW w:w="3917" w:type="dxa"/>
                        <w:gridSpan w:val="5"/>
                        <w:tcBorders>
                          <w:top w:val="nil" w:sz="6" w:space="0" w:color="auto"/>
                          <w:left w:val="nil" w:sz="6" w:space="0" w:color="auto"/>
                          <w:bottom w:val="nil" w:sz="6" w:space="0" w:color="auto"/>
                          <w:right w:val="nil" w:sz="6" w:space="0" w:color="auto"/>
                        </w:tcBorders>
                      </w:tcPr>
                      <w:p>
                        <w:pPr>
                          <w:pStyle w:val="TableParagraph"/>
                          <w:tabs>
                            <w:tab w:pos="828" w:val="left" w:leader="none"/>
                            <w:tab w:pos="1913" w:val="left" w:leader="none"/>
                            <w:tab w:pos="2556" w:val="left" w:leader="none"/>
                            <w:tab w:pos="3588" w:val="left" w:leader="none"/>
                          </w:tabs>
                          <w:spacing w:line="240" w:lineRule="auto" w:before="78"/>
                          <w:ind w:left="197" w:right="0"/>
                          <w:jc w:val="left"/>
                          <w:rPr>
                            <w:rFonts w:ascii="Times New Roman" w:hAnsi="Times New Roman" w:cs="Times New Roman" w:eastAsia="Times New Roman" w:hint="default"/>
                            <w:sz w:val="13"/>
                            <w:szCs w:val="13"/>
                          </w:rPr>
                        </w:pPr>
                        <w:r>
                          <w:rPr>
                            <w:rFonts w:ascii="Times New Roman"/>
                            <w:position w:val="6"/>
                            <w:sz w:val="13"/>
                          </w:rPr>
                          <w:t>28.06</w:t>
                          <w:tab/>
                        </w:r>
                        <w:r>
                          <w:rPr>
                            <w:rFonts w:ascii="Times New Roman"/>
                            <w:sz w:val="13"/>
                          </w:rPr>
                          <w:t>39,845,542.79</w:t>
                          <w:tab/>
                          <w:t>55.99</w:t>
                          <w:tab/>
                          <w:t>5,714,877.37</w:t>
                          <w:tab/>
                          <w:t>14.34</w:t>
                        </w:r>
                      </w:p>
                    </w:tc>
                  </w:tr>
                  <w:tr>
                    <w:trPr>
                      <w:trHeight w:val="388"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61"/>
                          <w:jc w:val="right"/>
                          <w:rPr>
                            <w:rFonts w:ascii="Times New Roman" w:hAnsi="Times New Roman" w:cs="Times New Roman" w:eastAsia="Times New Roman" w:hint="default"/>
                            <w:sz w:val="13"/>
                            <w:szCs w:val="13"/>
                          </w:rPr>
                        </w:pPr>
                        <w:r>
                          <w:rPr>
                            <w:rFonts w:ascii="Times New Roman"/>
                            <w:sz w:val="13"/>
                          </w:rPr>
                          <w:t>36,778,383.19</w:t>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3" w:right="0"/>
                          <w:jc w:val="left"/>
                          <w:rPr>
                            <w:rFonts w:ascii="Times New Roman" w:hAnsi="Times New Roman" w:cs="Times New Roman" w:eastAsia="Times New Roman" w:hint="default"/>
                            <w:sz w:val="13"/>
                            <w:szCs w:val="13"/>
                          </w:rPr>
                        </w:pPr>
                        <w:r>
                          <w:rPr>
                            <w:rFonts w:ascii="Times New Roman"/>
                            <w:sz w:val="13"/>
                          </w:rPr>
                          <w:t>57.85</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95"/>
                          <w:jc w:val="right"/>
                          <w:rPr>
                            <w:rFonts w:ascii="Times New Roman" w:hAnsi="Times New Roman" w:cs="Times New Roman" w:eastAsia="Times New Roman" w:hint="default"/>
                            <w:sz w:val="13"/>
                            <w:szCs w:val="13"/>
                          </w:rPr>
                        </w:pPr>
                        <w:r>
                          <w:rPr>
                            <w:rFonts w:ascii="Times New Roman"/>
                            <w:sz w:val="13"/>
                          </w:rPr>
                          <w:t>1,838,919.16</w:t>
                        </w:r>
                      </w:p>
                    </w:tc>
                    <w:tc>
                      <w:tcPr>
                        <w:tcW w:w="3917" w:type="dxa"/>
                        <w:gridSpan w:val="5"/>
                        <w:tcBorders>
                          <w:top w:val="nil" w:sz="6" w:space="0" w:color="auto"/>
                          <w:left w:val="nil" w:sz="6" w:space="0" w:color="auto"/>
                          <w:bottom w:val="nil" w:sz="6" w:space="0" w:color="auto"/>
                          <w:right w:val="nil" w:sz="6" w:space="0" w:color="auto"/>
                        </w:tcBorders>
                      </w:tcPr>
                      <w:p>
                        <w:pPr>
                          <w:pStyle w:val="TableParagraph"/>
                          <w:tabs>
                            <w:tab w:pos="828" w:val="left" w:leader="none"/>
                            <w:tab w:pos="1913" w:val="left" w:leader="none"/>
                            <w:tab w:pos="2556" w:val="left" w:leader="none"/>
                            <w:tab w:pos="3622" w:val="left" w:leader="none"/>
                          </w:tabs>
                          <w:spacing w:line="240" w:lineRule="auto" w:before="93"/>
                          <w:ind w:left="228" w:right="0"/>
                          <w:jc w:val="left"/>
                          <w:rPr>
                            <w:rFonts w:ascii="Times New Roman" w:hAnsi="Times New Roman" w:cs="Times New Roman" w:eastAsia="Times New Roman" w:hint="default"/>
                            <w:sz w:val="13"/>
                            <w:szCs w:val="13"/>
                          </w:rPr>
                        </w:pPr>
                        <w:r>
                          <w:rPr>
                            <w:rFonts w:ascii="Times New Roman"/>
                            <w:position w:val="6"/>
                            <w:sz w:val="13"/>
                          </w:rPr>
                          <w:t>5.00</w:t>
                          <w:tab/>
                        </w:r>
                        <w:r>
                          <w:rPr>
                            <w:rFonts w:ascii="Times New Roman"/>
                            <w:sz w:val="13"/>
                          </w:rPr>
                          <w:t>31,229,540.55</w:t>
                          <w:tab/>
                          <w:t>43.88</w:t>
                          <w:tab/>
                          <w:t>1,561,477.03</w:t>
                          <w:tab/>
                          <w:t>5.00</w:t>
                        </w:r>
                      </w:p>
                    </w:tc>
                  </w:tr>
                  <w:tr>
                    <w:trPr>
                      <w:trHeight w:val="440"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61"/>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63,481,111.54</w:t>
                        </w:r>
                        <w:r>
                          <w:rPr>
                            <w:rFonts w:ascii="Times New Roman"/>
                            <w:sz w:val="13"/>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63" w:right="0"/>
                          <w:jc w:val="left"/>
                          <w:rPr>
                            <w:rFonts w:ascii="Times New Roman" w:hAnsi="Times New Roman" w:cs="Times New Roman" w:eastAsia="Times New Roman" w:hint="default"/>
                            <w:sz w:val="13"/>
                            <w:szCs w:val="13"/>
                          </w:rPr>
                        </w:pPr>
                        <w:r>
                          <w:rPr>
                            <w:rFonts w:ascii="Times New Roman"/>
                            <w:sz w:val="13"/>
                          </w:rPr>
                          <w:t>99.85</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5"/>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9,330,527.59</w:t>
                        </w:r>
                        <w:r>
                          <w:rPr>
                            <w:rFonts w:ascii="Times New Roman"/>
                            <w:sz w:val="13"/>
                          </w:rPr>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9"/>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14.70</w:t>
                        </w:r>
                        <w:r>
                          <w:rPr>
                            <w:rFonts w:ascii="Times New Roman"/>
                            <w:sz w:val="13"/>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right="166"/>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71,075,083.34</w:t>
                        </w:r>
                        <w:r>
                          <w:rPr>
                            <w:rFonts w:ascii="Times New Roman"/>
                            <w:sz w:val="13"/>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left="168"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99.87</w:t>
                        </w:r>
                        <w:r>
                          <w:rPr>
                            <w:rFonts w:ascii="Times New Roman"/>
                            <w:sz w:val="13"/>
                          </w:rPr>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right="172"/>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7,276,354.40</w:t>
                        </w:r>
                        <w:r>
                          <w:rPr>
                            <w:rFonts w:ascii="Times New Roman"/>
                            <w:sz w:val="13"/>
                          </w:rPr>
                        </w:r>
                      </w:p>
                    </w:tc>
                    <w:tc>
                      <w:tcPr>
                        <w:tcW w:w="5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right="33"/>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10.24</w:t>
                        </w:r>
                        <w:r>
                          <w:rPr>
                            <w:rFonts w:ascii="Times New Roman"/>
                            <w:sz w:val="13"/>
                          </w:rPr>
                        </w:r>
                      </w:p>
                    </w:tc>
                  </w:tr>
                  <w:tr>
                    <w:trPr>
                      <w:trHeight w:val="521"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63"/>
                          <w:jc w:val="right"/>
                          <w:rPr>
                            <w:rFonts w:ascii="Times New Roman" w:hAnsi="Times New Roman" w:cs="Times New Roman" w:eastAsia="Times New Roman" w:hint="default"/>
                            <w:sz w:val="13"/>
                            <w:szCs w:val="13"/>
                          </w:rPr>
                        </w:pPr>
                        <w:r>
                          <w:rPr>
                            <w:rFonts w:ascii="Times New Roman"/>
                            <w:sz w:val="13"/>
                          </w:rPr>
                          <w:t>95,478.74</w:t>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97" w:right="0"/>
                          <w:jc w:val="left"/>
                          <w:rPr>
                            <w:rFonts w:ascii="Times New Roman" w:hAnsi="Times New Roman" w:cs="Times New Roman" w:eastAsia="Times New Roman" w:hint="default"/>
                            <w:sz w:val="13"/>
                            <w:szCs w:val="13"/>
                          </w:rPr>
                        </w:pPr>
                        <w:r>
                          <w:rPr>
                            <w:rFonts w:ascii="Times New Roman"/>
                            <w:sz w:val="13"/>
                          </w:rPr>
                          <w:t>0.15</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97"/>
                          <w:jc w:val="right"/>
                          <w:rPr>
                            <w:rFonts w:ascii="Times New Roman" w:hAnsi="Times New Roman" w:cs="Times New Roman" w:eastAsia="Times New Roman" w:hint="default"/>
                            <w:sz w:val="13"/>
                            <w:szCs w:val="13"/>
                          </w:rPr>
                        </w:pPr>
                        <w:r>
                          <w:rPr>
                            <w:rFonts w:ascii="Times New Roman"/>
                            <w:sz w:val="13"/>
                          </w:rPr>
                          <w:t>95,478.74</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83"/>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68"/>
                          <w:jc w:val="right"/>
                          <w:rPr>
                            <w:rFonts w:ascii="Times New Roman" w:hAnsi="Times New Roman" w:cs="Times New Roman" w:eastAsia="Times New Roman" w:hint="default"/>
                            <w:sz w:val="13"/>
                            <w:szCs w:val="13"/>
                          </w:rPr>
                        </w:pPr>
                        <w:r>
                          <w:rPr>
                            <w:rFonts w:ascii="Times New Roman"/>
                            <w:sz w:val="13"/>
                          </w:rPr>
                          <w:t>92,999.40</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1" w:right="0"/>
                          <w:jc w:val="left"/>
                          <w:rPr>
                            <w:rFonts w:ascii="Times New Roman" w:hAnsi="Times New Roman" w:cs="Times New Roman" w:eastAsia="Times New Roman" w:hint="default"/>
                            <w:sz w:val="13"/>
                            <w:szCs w:val="13"/>
                          </w:rPr>
                        </w:pPr>
                        <w:r>
                          <w:rPr>
                            <w:rFonts w:ascii="Times New Roman"/>
                            <w:sz w:val="13"/>
                          </w:rPr>
                          <w:t>0.13</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4"/>
                          <w:jc w:val="right"/>
                          <w:rPr>
                            <w:rFonts w:ascii="Times New Roman" w:hAnsi="Times New Roman" w:cs="Times New Roman" w:eastAsia="Times New Roman" w:hint="default"/>
                            <w:sz w:val="13"/>
                            <w:szCs w:val="13"/>
                          </w:rPr>
                        </w:pPr>
                        <w:r>
                          <w:rPr>
                            <w:rFonts w:ascii="Times New Roman"/>
                            <w:sz w:val="13"/>
                          </w:rPr>
                          <w:t>92,999.40</w:t>
                        </w:r>
                      </w:p>
                    </w:tc>
                    <w:tc>
                      <w:tcPr>
                        <w:tcW w:w="5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0"/>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r>
                  <w:tr>
                    <w:trPr>
                      <w:trHeight w:val="451"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61"/>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63,576,590.28</w:t>
                        </w:r>
                        <w:r>
                          <w:rPr>
                            <w:rFonts w:ascii="Times New Roman"/>
                            <w:sz w:val="13"/>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78"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100</w:t>
                        </w:r>
                        <w:r>
                          <w:rPr>
                            <w:rFonts w:ascii="Times New Roman"/>
                            <w:sz w:val="13"/>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95"/>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9,426,006.33</w:t>
                        </w:r>
                        <w:r>
                          <w:rPr>
                            <w:rFonts w:ascii="Times New Roman"/>
                            <w:sz w:val="13"/>
                          </w:rPr>
                        </w:r>
                      </w:p>
                    </w:tc>
                    <w:tc>
                      <w:tcPr>
                        <w:tcW w:w="525"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66"/>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71,168,082.74</w:t>
                        </w:r>
                        <w:r>
                          <w:rPr>
                            <w:rFonts w:ascii="Times New Roman"/>
                            <w:sz w:val="13"/>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8"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100</w:t>
                        </w:r>
                        <w:r>
                          <w:rPr>
                            <w:rFonts w:ascii="Times New Roman"/>
                            <w:sz w:val="13"/>
                          </w:rPr>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2"/>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7,369,353.80</w:t>
                        </w:r>
                        <w:r>
                          <w:rPr>
                            <w:rFonts w:ascii="Times New Roman"/>
                            <w:sz w:val="13"/>
                          </w:rPr>
                        </w:r>
                      </w:p>
                    </w:tc>
                    <w:tc>
                      <w:tcPr>
                        <w:tcW w:w="50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9"/>
          <w:sz w:val="13"/>
          <w:szCs w:val="13"/>
        </w:rPr>
        <w:t>款</w:t>
      </w:r>
      <w:r>
        <w:rPr>
          <w:rFonts w:ascii="宋体" w:hAnsi="宋体" w:cs="宋体" w:eastAsia="宋体" w:hint="default"/>
          <w:sz w:val="13"/>
          <w:szCs w:val="13"/>
        </w:rPr>
      </w:r>
    </w:p>
    <w:p>
      <w:pPr>
        <w:spacing w:line="240" w:lineRule="auto" w:before="7"/>
        <w:rPr>
          <w:rFonts w:ascii="宋体" w:hAnsi="宋体" w:cs="宋体" w:eastAsia="宋体" w:hint="default"/>
          <w:sz w:val="14"/>
          <w:szCs w:val="14"/>
        </w:rPr>
      </w:pPr>
    </w:p>
    <w:p>
      <w:pPr>
        <w:spacing w:before="0"/>
        <w:ind w:left="178" w:right="0" w:firstLine="0"/>
        <w:jc w:val="left"/>
        <w:rPr>
          <w:rFonts w:ascii="Times New Roman" w:hAnsi="Times New Roman" w:cs="Times New Roman" w:eastAsia="Times New Roman" w:hint="default"/>
          <w:sz w:val="13"/>
          <w:szCs w:val="13"/>
        </w:rPr>
      </w:pPr>
      <w:r>
        <w:rPr>
          <w:rFonts w:ascii="宋体" w:hAnsi="宋体" w:cs="宋体" w:eastAsia="宋体" w:hint="default"/>
          <w:sz w:val="13"/>
          <w:szCs w:val="13"/>
        </w:rPr>
        <w:t>组合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w:t>
      </w:r>
    </w:p>
    <w:p>
      <w:pPr>
        <w:spacing w:line="240" w:lineRule="auto" w:before="8"/>
        <w:rPr>
          <w:rFonts w:ascii="Times New Roman" w:hAnsi="Times New Roman" w:cs="Times New Roman" w:eastAsia="Times New Roman" w:hint="default"/>
          <w:sz w:val="15"/>
          <w:szCs w:val="15"/>
        </w:rPr>
      </w:pPr>
    </w:p>
    <w:p>
      <w:pPr>
        <w:spacing w:before="0"/>
        <w:ind w:left="178" w:right="0" w:firstLine="0"/>
        <w:jc w:val="left"/>
        <w:rPr>
          <w:rFonts w:ascii="Times New Roman" w:hAnsi="Times New Roman" w:cs="Times New Roman" w:eastAsia="Times New Roman" w:hint="default"/>
          <w:sz w:val="13"/>
          <w:szCs w:val="13"/>
        </w:rPr>
      </w:pPr>
      <w:r>
        <w:rPr>
          <w:rFonts w:ascii="宋体" w:hAnsi="宋体" w:cs="宋体" w:eastAsia="宋体" w:hint="default"/>
          <w:sz w:val="13"/>
          <w:szCs w:val="13"/>
        </w:rPr>
        <w:t>组合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2</w:t>
      </w:r>
    </w:p>
    <w:p>
      <w:pPr>
        <w:spacing w:line="240" w:lineRule="auto" w:before="8"/>
        <w:rPr>
          <w:rFonts w:ascii="Times New Roman" w:hAnsi="Times New Roman" w:cs="Times New Roman" w:eastAsia="Times New Roman" w:hint="default"/>
          <w:sz w:val="15"/>
          <w:szCs w:val="15"/>
        </w:rPr>
      </w:pPr>
    </w:p>
    <w:p>
      <w:pPr>
        <w:spacing w:before="0"/>
        <w:ind w:left="178" w:right="0" w:firstLine="0"/>
        <w:jc w:val="left"/>
        <w:rPr>
          <w:rFonts w:ascii="宋体" w:hAnsi="宋体" w:cs="宋体" w:eastAsia="宋体" w:hint="default"/>
          <w:sz w:val="13"/>
          <w:szCs w:val="13"/>
        </w:rPr>
      </w:pPr>
      <w:r>
        <w:rPr>
          <w:rFonts w:ascii="宋体" w:hAnsi="宋体" w:cs="宋体" w:eastAsia="宋体" w:hint="default"/>
          <w:sz w:val="13"/>
          <w:szCs w:val="13"/>
        </w:rPr>
        <w:t>组合小计</w:t>
      </w:r>
    </w:p>
    <w:p>
      <w:pPr>
        <w:spacing w:line="240" w:lineRule="auto" w:before="13"/>
        <w:rPr>
          <w:rFonts w:ascii="宋体" w:hAnsi="宋体" w:cs="宋体" w:eastAsia="宋体" w:hint="default"/>
          <w:sz w:val="9"/>
          <w:szCs w:val="9"/>
        </w:rPr>
      </w:pPr>
    </w:p>
    <w:p>
      <w:pPr>
        <w:spacing w:line="451" w:lineRule="auto" w:before="59"/>
        <w:ind w:left="139" w:right="7279" w:firstLine="38"/>
        <w:jc w:val="left"/>
        <w:rPr>
          <w:rFonts w:ascii="宋体" w:hAnsi="宋体" w:cs="宋体" w:eastAsia="宋体" w:hint="default"/>
          <w:sz w:val="13"/>
          <w:szCs w:val="13"/>
        </w:rPr>
      </w:pPr>
      <w:r>
        <w:rPr>
          <w:rFonts w:ascii="宋体" w:hAnsi="宋体" w:cs="宋体" w:eastAsia="宋体" w:hint="default"/>
          <w:sz w:val="13"/>
          <w:szCs w:val="13"/>
        </w:rPr>
        <w:t>单项金额虽不重大但单项计提</w:t>
      </w:r>
      <w:r>
        <w:rPr>
          <w:rFonts w:ascii="宋体" w:hAnsi="宋体" w:cs="宋体" w:eastAsia="宋体" w:hint="default"/>
          <w:w w:val="99"/>
          <w:sz w:val="13"/>
          <w:szCs w:val="13"/>
        </w:rPr>
        <w:t> </w:t>
      </w:r>
      <w:r>
        <w:rPr>
          <w:rFonts w:ascii="宋体" w:hAnsi="宋体" w:cs="宋体" w:eastAsia="宋体" w:hint="default"/>
          <w:sz w:val="13"/>
          <w:szCs w:val="13"/>
        </w:rPr>
        <w:t>坏账准备的应收账款</w:t>
      </w:r>
    </w:p>
    <w:p>
      <w:pPr>
        <w:spacing w:before="76"/>
        <w:ind w:left="934" w:right="0" w:firstLine="0"/>
        <w:jc w:val="left"/>
        <w:rPr>
          <w:rFonts w:ascii="宋体" w:hAnsi="宋体" w:cs="宋体" w:eastAsia="宋体" w:hint="default"/>
          <w:sz w:val="13"/>
          <w:szCs w:val="13"/>
        </w:rPr>
      </w:pPr>
      <w:r>
        <w:rPr>
          <w:rFonts w:ascii="宋体" w:hAnsi="宋体" w:cs="宋体" w:eastAsia="宋体" w:hint="default"/>
          <w:sz w:val="13"/>
          <w:szCs w:val="13"/>
        </w:rPr>
        <w:t>合计</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left="720" w:right="0"/>
        <w:jc w:val="left"/>
      </w:pPr>
      <w:r>
        <w:rPr/>
        <w:t>（</w:t>
      </w:r>
      <w:r>
        <w:rPr>
          <w:rFonts w:ascii="Times New Roman" w:hAnsi="Times New Roman" w:cs="Times New Roman" w:eastAsia="Times New Roman" w:hint="default"/>
        </w:rPr>
        <w:t>2</w:t>
      </w:r>
      <w:r>
        <w:rPr/>
        <w:t>）组合</w:t>
      </w:r>
      <w:r>
        <w:rPr>
          <w:rFonts w:ascii="Times New Roman" w:hAnsi="Times New Roman" w:cs="Times New Roman" w:eastAsia="Times New Roman" w:hint="default"/>
        </w:rPr>
        <w:t>1</w:t>
      </w:r>
      <w:r>
        <w:rPr/>
        <w:t>中，按账龄分析法计提坏账准备的应收账款</w:t>
      </w:r>
    </w:p>
    <w:p>
      <w:pPr>
        <w:spacing w:line="240" w:lineRule="auto" w:before="9"/>
        <w:rPr>
          <w:rFonts w:ascii="宋体" w:hAnsi="宋体" w:cs="宋体" w:eastAsia="宋体" w:hint="default"/>
          <w:sz w:val="16"/>
          <w:szCs w:val="16"/>
        </w:rPr>
      </w:pPr>
    </w:p>
    <w:p>
      <w:pPr>
        <w:tabs>
          <w:tab w:pos="6898" w:val="left" w:leader="none"/>
        </w:tabs>
        <w:spacing w:before="54"/>
        <w:ind w:left="3205"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10"/>
        <w:rPr>
          <w:rFonts w:ascii="宋体" w:hAnsi="宋体" w:cs="宋体" w:eastAsia="宋体" w:hint="default"/>
          <w:b/>
          <w:bCs/>
          <w:sz w:val="9"/>
          <w:szCs w:val="9"/>
        </w:rPr>
      </w:pPr>
    </w:p>
    <w:p>
      <w:pPr>
        <w:tabs>
          <w:tab w:pos="7323" w:val="left" w:leader="none"/>
        </w:tabs>
        <w:spacing w:before="54"/>
        <w:ind w:left="3617" w:right="0" w:firstLine="0"/>
        <w:jc w:val="left"/>
        <w:rPr>
          <w:rFonts w:ascii="宋体" w:hAnsi="宋体" w:cs="宋体" w:eastAsia="宋体" w:hint="default"/>
          <w:sz w:val="15"/>
          <w:szCs w:val="15"/>
        </w:rPr>
      </w:pPr>
      <w:r>
        <w:rPr/>
        <w:pict>
          <v:shape style="position:absolute;margin-left:84.624001pt;margin-top:11.442883pt;width:439.9pt;height:139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5"/>
                    <w:gridCol w:w="1061"/>
                    <w:gridCol w:w="720"/>
                    <w:gridCol w:w="863"/>
                    <w:gridCol w:w="1016"/>
                    <w:gridCol w:w="1105"/>
                    <w:gridCol w:w="725"/>
                    <w:gridCol w:w="854"/>
                    <w:gridCol w:w="1009"/>
                  </w:tblGrid>
                  <w:tr>
                    <w:trPr>
                      <w:trHeight w:val="511" w:hRule="exact"/>
                    </w:trPr>
                    <w:tc>
                      <w:tcPr>
                        <w:tcW w:w="1445" w:type="dxa"/>
                        <w:tcBorders>
                          <w:top w:val="nil" w:sz="6" w:space="0" w:color="auto"/>
                          <w:left w:val="nil" w:sz="6" w:space="0" w:color="auto"/>
                          <w:bottom w:val="nil" w:sz="6" w:space="0" w:color="auto"/>
                          <w:right w:val="nil" w:sz="6" w:space="0" w:color="auto"/>
                        </w:tcBorders>
                      </w:tcPr>
                      <w:p>
                        <w:pPr>
                          <w:pStyle w:val="TableParagraph"/>
                          <w:spacing w:line="151" w:lineRule="exact"/>
                          <w:ind w:right="36"/>
                          <w:jc w:val="center"/>
                          <w:rPr>
                            <w:rFonts w:ascii="宋体" w:hAnsi="宋体" w:cs="宋体" w:eastAsia="宋体" w:hint="default"/>
                            <w:sz w:val="15"/>
                            <w:szCs w:val="15"/>
                          </w:rPr>
                        </w:pPr>
                        <w:r>
                          <w:rPr>
                            <w:rFonts w:ascii="宋体" w:hAnsi="宋体" w:cs="宋体" w:eastAsia="宋体" w:hint="default"/>
                            <w:b/>
                            <w:bCs/>
                            <w:sz w:val="15"/>
                            <w:szCs w:val="15"/>
                          </w:rPr>
                          <w:t>账龄</w:t>
                        </w:r>
                        <w:r>
                          <w:rPr>
                            <w:rFonts w:ascii="宋体" w:hAnsi="宋体" w:cs="宋体" w:eastAsia="宋体" w:hint="default"/>
                            <w:sz w:val="15"/>
                            <w:szCs w:val="15"/>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56"/>
                          <w:jc w:val="center"/>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tc>
                    <w:tc>
                      <w:tcPr>
                        <w:tcW w:w="720" w:type="dxa"/>
                        <w:tcBorders>
                          <w:top w:val="nil" w:sz="6" w:space="0" w:color="auto"/>
                          <w:left w:val="nil" w:sz="6" w:space="0" w:color="auto"/>
                          <w:bottom w:val="nil" w:sz="6" w:space="0" w:color="auto"/>
                          <w:right w:val="nil" w:sz="6" w:space="0" w:color="auto"/>
                        </w:tcBorders>
                      </w:tcPr>
                      <w:p>
                        <w:pPr>
                          <w:pStyle w:val="TableParagraph"/>
                          <w:spacing w:line="182" w:lineRule="exact"/>
                          <w:ind w:left="201"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p>
                        <w:pPr>
                          <w:pStyle w:val="TableParagraph"/>
                          <w:spacing w:line="240" w:lineRule="auto" w:before="123"/>
                          <w:ind w:left="127"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20" w:right="0"/>
                          <w:jc w:val="center"/>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209"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236" w:right="0"/>
                          <w:jc w:val="left"/>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tc>
                    <w:tc>
                      <w:tcPr>
                        <w:tcW w:w="725" w:type="dxa"/>
                        <w:tcBorders>
                          <w:top w:val="nil" w:sz="6" w:space="0" w:color="auto"/>
                          <w:left w:val="nil" w:sz="6" w:space="0" w:color="auto"/>
                          <w:bottom w:val="nil" w:sz="6" w:space="0" w:color="auto"/>
                          <w:right w:val="nil" w:sz="6" w:space="0" w:color="auto"/>
                        </w:tcBorders>
                      </w:tcPr>
                      <w:p>
                        <w:pPr>
                          <w:pStyle w:val="TableParagraph"/>
                          <w:spacing w:line="182" w:lineRule="exact"/>
                          <w:ind w:left="208"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p>
                        <w:pPr>
                          <w:pStyle w:val="TableParagraph"/>
                          <w:spacing w:line="240" w:lineRule="auto" w:before="123"/>
                          <w:ind w:left="134"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24" w:right="0"/>
                          <w:jc w:val="center"/>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203"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r>
                  <w:tr>
                    <w:trPr>
                      <w:trHeight w:val="243" w:hRule="exact"/>
                    </w:trPr>
                    <w:tc>
                      <w:tcPr>
                        <w:tcW w:w="1445" w:type="dxa"/>
                        <w:tcBorders>
                          <w:top w:val="nil" w:sz="6" w:space="0" w:color="auto"/>
                          <w:left w:val="nil" w:sz="6" w:space="0" w:color="auto"/>
                          <w:bottom w:val="single" w:sz="8" w:space="0" w:color="000000"/>
                          <w:right w:val="nil" w:sz="6" w:space="0" w:color="auto"/>
                        </w:tcBorders>
                      </w:tcPr>
                      <w:p>
                        <w:pPr/>
                      </w:p>
                    </w:tc>
                    <w:tc>
                      <w:tcPr>
                        <w:tcW w:w="1061" w:type="dxa"/>
                        <w:tcBorders>
                          <w:top w:val="nil" w:sz="6" w:space="0" w:color="auto"/>
                          <w:left w:val="nil" w:sz="6" w:space="0" w:color="auto"/>
                          <w:bottom w:val="single" w:sz="8" w:space="0" w:color="000000"/>
                          <w:right w:val="nil" w:sz="6" w:space="0" w:color="auto"/>
                        </w:tcBorders>
                      </w:tcPr>
                      <w:p>
                        <w:pPr/>
                      </w:p>
                    </w:tc>
                    <w:tc>
                      <w:tcPr>
                        <w:tcW w:w="720" w:type="dxa"/>
                        <w:tcBorders>
                          <w:top w:val="nil" w:sz="6" w:space="0" w:color="auto"/>
                          <w:left w:val="nil" w:sz="6" w:space="0" w:color="auto"/>
                          <w:bottom w:val="single" w:sz="8" w:space="0" w:color="000000"/>
                          <w:right w:val="nil" w:sz="6" w:space="0" w:color="auto"/>
                        </w:tcBorders>
                      </w:tcPr>
                      <w:p>
                        <w:pPr/>
                      </w:p>
                    </w:tc>
                    <w:tc>
                      <w:tcPr>
                        <w:tcW w:w="863" w:type="dxa"/>
                        <w:tcBorders>
                          <w:top w:val="nil" w:sz="6" w:space="0" w:color="auto"/>
                          <w:left w:val="nil" w:sz="6" w:space="0" w:color="auto"/>
                          <w:bottom w:val="single" w:sz="8" w:space="0" w:color="000000"/>
                          <w:right w:val="nil" w:sz="6" w:space="0" w:color="auto"/>
                        </w:tcBorders>
                      </w:tcPr>
                      <w:p>
                        <w:pPr>
                          <w:pStyle w:val="TableParagraph"/>
                          <w:spacing w:line="163" w:lineRule="exact"/>
                          <w:ind w:left="17"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016" w:type="dxa"/>
                        <w:tcBorders>
                          <w:top w:val="nil" w:sz="6" w:space="0" w:color="auto"/>
                          <w:left w:val="nil" w:sz="6" w:space="0" w:color="auto"/>
                          <w:bottom w:val="single" w:sz="8" w:space="0" w:color="000000"/>
                          <w:right w:val="nil" w:sz="6" w:space="0" w:color="auto"/>
                        </w:tcBorders>
                      </w:tcPr>
                      <w:p>
                        <w:pPr/>
                      </w:p>
                    </w:tc>
                    <w:tc>
                      <w:tcPr>
                        <w:tcW w:w="1105" w:type="dxa"/>
                        <w:tcBorders>
                          <w:top w:val="nil" w:sz="6" w:space="0" w:color="auto"/>
                          <w:left w:val="nil" w:sz="6" w:space="0" w:color="auto"/>
                          <w:bottom w:val="single" w:sz="8" w:space="0" w:color="000000"/>
                          <w:right w:val="nil" w:sz="6" w:space="0" w:color="auto"/>
                        </w:tcBorders>
                      </w:tcPr>
                      <w:p>
                        <w:pPr/>
                      </w:p>
                    </w:tc>
                    <w:tc>
                      <w:tcPr>
                        <w:tcW w:w="725" w:type="dxa"/>
                        <w:tcBorders>
                          <w:top w:val="nil" w:sz="6" w:space="0" w:color="auto"/>
                          <w:left w:val="nil" w:sz="6" w:space="0" w:color="auto"/>
                          <w:bottom w:val="single" w:sz="8" w:space="0" w:color="000000"/>
                          <w:right w:val="nil" w:sz="6" w:space="0" w:color="auto"/>
                        </w:tcBorders>
                      </w:tcPr>
                      <w:p>
                        <w:pPr/>
                      </w:p>
                    </w:tc>
                    <w:tc>
                      <w:tcPr>
                        <w:tcW w:w="854" w:type="dxa"/>
                        <w:tcBorders>
                          <w:top w:val="nil" w:sz="6" w:space="0" w:color="auto"/>
                          <w:left w:val="nil" w:sz="6" w:space="0" w:color="auto"/>
                          <w:bottom w:val="single" w:sz="8" w:space="0" w:color="000000"/>
                          <w:right w:val="nil" w:sz="6" w:space="0" w:color="auto"/>
                        </w:tcBorders>
                      </w:tcPr>
                      <w:p>
                        <w:pPr>
                          <w:pStyle w:val="TableParagraph"/>
                          <w:spacing w:line="163" w:lineRule="exact"/>
                          <w:ind w:left="23"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009" w:type="dxa"/>
                        <w:tcBorders>
                          <w:top w:val="nil" w:sz="6" w:space="0" w:color="auto"/>
                          <w:left w:val="nil" w:sz="6" w:space="0" w:color="auto"/>
                          <w:bottom w:val="single" w:sz="8" w:space="0" w:color="000000"/>
                          <w:right w:val="nil" w:sz="6" w:space="0" w:color="auto"/>
                        </w:tcBorders>
                      </w:tcPr>
                      <w:p>
                        <w:pPr/>
                      </w:p>
                    </w:tc>
                  </w:tr>
                  <w:tr>
                    <w:trPr>
                      <w:trHeight w:val="423" w:hRule="exact"/>
                    </w:trPr>
                    <w:tc>
                      <w:tcPr>
                        <w:tcW w:w="1445" w:type="dxa"/>
                        <w:tcBorders>
                          <w:top w:val="single" w:sz="8" w:space="0" w:color="000000"/>
                          <w:left w:val="nil" w:sz="6" w:space="0" w:color="auto"/>
                          <w:bottom w:val="nil" w:sz="6" w:space="0" w:color="auto"/>
                          <w:right w:val="nil" w:sz="6" w:space="0" w:color="auto"/>
                        </w:tcBorders>
                      </w:tcPr>
                      <w:p>
                        <w:pPr>
                          <w:pStyle w:val="TableParagraph"/>
                          <w:spacing w:line="240" w:lineRule="auto" w:before="110"/>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pacing w:val="-11"/>
                            <w:sz w:val="15"/>
                            <w:szCs w:val="15"/>
                          </w:rPr>
                          <w:t>年以内（含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8"/>
                            <w:sz w:val="15"/>
                            <w:szCs w:val="15"/>
                          </w:rPr>
                          <w:t> </w:t>
                        </w:r>
                        <w:r>
                          <w:rPr>
                            <w:rFonts w:ascii="宋体" w:hAnsi="宋体" w:cs="宋体" w:eastAsia="宋体" w:hint="default"/>
                            <w:spacing w:val="-3"/>
                            <w:sz w:val="15"/>
                            <w:szCs w:val="15"/>
                          </w:rPr>
                          <w:t>年）</w:t>
                        </w:r>
                        <w:r>
                          <w:rPr>
                            <w:rFonts w:ascii="宋体" w:hAnsi="宋体" w:cs="宋体" w:eastAsia="宋体" w:hint="default"/>
                            <w:sz w:val="15"/>
                            <w:szCs w:val="15"/>
                          </w:rPr>
                        </w:r>
                      </w:p>
                    </w:tc>
                    <w:tc>
                      <w:tcPr>
                        <w:tcW w:w="1061" w:type="dxa"/>
                        <w:tcBorders>
                          <w:top w:val="single" w:sz="8" w:space="0" w:color="000000"/>
                          <w:left w:val="nil" w:sz="6" w:space="0" w:color="auto"/>
                          <w:bottom w:val="nil" w:sz="6" w:space="0" w:color="auto"/>
                          <w:right w:val="nil" w:sz="6" w:space="0" w:color="auto"/>
                        </w:tcBorders>
                      </w:tcPr>
                      <w:p>
                        <w:pPr>
                          <w:pStyle w:val="TableParagraph"/>
                          <w:spacing w:line="240" w:lineRule="auto" w:before="92"/>
                          <w:ind w:right="53"/>
                          <w:jc w:val="center"/>
                          <w:rPr>
                            <w:rFonts w:ascii="Times New Roman" w:hAnsi="Times New Roman" w:cs="Times New Roman" w:eastAsia="Times New Roman" w:hint="default"/>
                            <w:sz w:val="15"/>
                            <w:szCs w:val="15"/>
                          </w:rPr>
                        </w:pPr>
                        <w:r>
                          <w:rPr>
                            <w:rFonts w:ascii="Times New Roman"/>
                            <w:sz w:val="15"/>
                          </w:rPr>
                          <w:t>14,416,284.46</w:t>
                        </w:r>
                      </w:p>
                    </w:tc>
                    <w:tc>
                      <w:tcPr>
                        <w:tcW w:w="720" w:type="dxa"/>
                        <w:tcBorders>
                          <w:top w:val="single" w:sz="8" w:space="0" w:color="000000"/>
                          <w:left w:val="nil" w:sz="6" w:space="0" w:color="auto"/>
                          <w:bottom w:val="nil" w:sz="6" w:space="0" w:color="auto"/>
                          <w:right w:val="nil" w:sz="6" w:space="0" w:color="auto"/>
                        </w:tcBorders>
                      </w:tcPr>
                      <w:p>
                        <w:pPr>
                          <w:pStyle w:val="TableParagraph"/>
                          <w:spacing w:line="240" w:lineRule="auto" w:before="92"/>
                          <w:ind w:left="182" w:right="0"/>
                          <w:jc w:val="left"/>
                          <w:rPr>
                            <w:rFonts w:ascii="Times New Roman" w:hAnsi="Times New Roman" w:cs="Times New Roman" w:eastAsia="Times New Roman" w:hint="default"/>
                            <w:sz w:val="15"/>
                            <w:szCs w:val="15"/>
                          </w:rPr>
                        </w:pPr>
                        <w:r>
                          <w:rPr>
                            <w:rFonts w:ascii="Times New Roman"/>
                            <w:sz w:val="15"/>
                          </w:rPr>
                          <w:t>53.99</w:t>
                        </w:r>
                      </w:p>
                    </w:tc>
                    <w:tc>
                      <w:tcPr>
                        <w:tcW w:w="863" w:type="dxa"/>
                        <w:tcBorders>
                          <w:top w:val="single" w:sz="8" w:space="0" w:color="000000"/>
                          <w:left w:val="nil" w:sz="6" w:space="0" w:color="auto"/>
                          <w:bottom w:val="nil" w:sz="6" w:space="0" w:color="auto"/>
                          <w:right w:val="nil" w:sz="6" w:space="0" w:color="auto"/>
                        </w:tcBorders>
                      </w:tcPr>
                      <w:p>
                        <w:pPr>
                          <w:pStyle w:val="TableParagraph"/>
                          <w:spacing w:line="240" w:lineRule="auto" w:before="92"/>
                          <w:ind w:left="19" w:right="0"/>
                          <w:jc w:val="center"/>
                          <w:rPr>
                            <w:rFonts w:ascii="Times New Roman" w:hAnsi="Times New Roman" w:cs="Times New Roman" w:eastAsia="Times New Roman" w:hint="default"/>
                            <w:sz w:val="15"/>
                            <w:szCs w:val="15"/>
                          </w:rPr>
                        </w:pPr>
                        <w:r>
                          <w:rPr>
                            <w:rFonts w:ascii="Times New Roman"/>
                            <w:sz w:val="15"/>
                          </w:rPr>
                          <w:t>1.00</w:t>
                        </w:r>
                      </w:p>
                    </w:tc>
                    <w:tc>
                      <w:tcPr>
                        <w:tcW w:w="1016" w:type="dxa"/>
                        <w:tcBorders>
                          <w:top w:val="single" w:sz="8" w:space="0" w:color="000000"/>
                          <w:left w:val="nil" w:sz="6" w:space="0" w:color="auto"/>
                          <w:bottom w:val="nil" w:sz="6" w:space="0" w:color="auto"/>
                          <w:right w:val="nil" w:sz="6" w:space="0" w:color="auto"/>
                        </w:tcBorders>
                      </w:tcPr>
                      <w:p>
                        <w:pPr>
                          <w:pStyle w:val="TableParagraph"/>
                          <w:spacing w:line="240" w:lineRule="auto" w:before="92"/>
                          <w:ind w:right="107"/>
                          <w:jc w:val="right"/>
                          <w:rPr>
                            <w:rFonts w:ascii="Times New Roman" w:hAnsi="Times New Roman" w:cs="Times New Roman" w:eastAsia="Times New Roman" w:hint="default"/>
                            <w:sz w:val="15"/>
                            <w:szCs w:val="15"/>
                          </w:rPr>
                        </w:pPr>
                        <w:r>
                          <w:rPr>
                            <w:rFonts w:ascii="Times New Roman"/>
                            <w:spacing w:val="-1"/>
                            <w:sz w:val="15"/>
                          </w:rPr>
                          <w:t>144,162.85</w:t>
                        </w:r>
                      </w:p>
                    </w:tc>
                    <w:tc>
                      <w:tcPr>
                        <w:tcW w:w="1105"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32"/>
                          <w:jc w:val="right"/>
                          <w:rPr>
                            <w:rFonts w:ascii="Times New Roman" w:hAnsi="Times New Roman" w:cs="Times New Roman" w:eastAsia="Times New Roman" w:hint="default"/>
                            <w:sz w:val="15"/>
                            <w:szCs w:val="15"/>
                          </w:rPr>
                        </w:pPr>
                        <w:r>
                          <w:rPr>
                            <w:rFonts w:ascii="Times New Roman"/>
                            <w:spacing w:val="-1"/>
                            <w:sz w:val="15"/>
                          </w:rPr>
                          <w:t>24,545,843.72</w:t>
                        </w:r>
                      </w:p>
                    </w:tc>
                    <w:tc>
                      <w:tcPr>
                        <w:tcW w:w="725"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89" w:right="0"/>
                          <w:jc w:val="left"/>
                          <w:rPr>
                            <w:rFonts w:ascii="Times New Roman" w:hAnsi="Times New Roman" w:cs="Times New Roman" w:eastAsia="Times New Roman" w:hint="default"/>
                            <w:sz w:val="15"/>
                            <w:szCs w:val="15"/>
                          </w:rPr>
                        </w:pPr>
                        <w:r>
                          <w:rPr>
                            <w:rFonts w:ascii="Times New Roman"/>
                            <w:sz w:val="15"/>
                          </w:rPr>
                          <w:t>61.60</w:t>
                        </w:r>
                      </w:p>
                    </w:tc>
                    <w:tc>
                      <w:tcPr>
                        <w:tcW w:w="854" w:type="dxa"/>
                        <w:tcBorders>
                          <w:top w:val="single" w:sz="8" w:space="0" w:color="000000"/>
                          <w:left w:val="nil" w:sz="6" w:space="0" w:color="auto"/>
                          <w:bottom w:val="nil" w:sz="6" w:space="0" w:color="auto"/>
                          <w:right w:val="nil" w:sz="6" w:space="0" w:color="auto"/>
                        </w:tcBorders>
                      </w:tcPr>
                      <w:p>
                        <w:pPr>
                          <w:pStyle w:val="TableParagraph"/>
                          <w:spacing w:line="240" w:lineRule="auto" w:before="92"/>
                          <w:ind w:left="24" w:right="0"/>
                          <w:jc w:val="center"/>
                          <w:rPr>
                            <w:rFonts w:ascii="Times New Roman" w:hAnsi="Times New Roman" w:cs="Times New Roman" w:eastAsia="Times New Roman" w:hint="default"/>
                            <w:sz w:val="15"/>
                            <w:szCs w:val="15"/>
                          </w:rPr>
                        </w:pPr>
                        <w:r>
                          <w:rPr>
                            <w:rFonts w:ascii="Times New Roman"/>
                            <w:sz w:val="15"/>
                          </w:rPr>
                          <w:t>1.00</w:t>
                        </w:r>
                      </w:p>
                    </w:tc>
                    <w:tc>
                      <w:tcPr>
                        <w:tcW w:w="1009"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245,458.43</w:t>
                        </w:r>
                      </w:p>
                    </w:tc>
                  </w:tr>
                  <w:tr>
                    <w:trPr>
                      <w:trHeight w:val="400" w:hRule="exact"/>
                    </w:trPr>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9" w:right="0"/>
                          <w:jc w:val="center"/>
                          <w:rPr>
                            <w:rFonts w:ascii="Times New Roman" w:hAnsi="Times New Roman" w:cs="Times New Roman" w:eastAsia="Times New Roman" w:hint="default"/>
                            <w:sz w:val="15"/>
                            <w:szCs w:val="15"/>
                          </w:rPr>
                        </w:pPr>
                        <w:r>
                          <w:rPr>
                            <w:rFonts w:ascii="Times New Roman"/>
                            <w:sz w:val="15"/>
                          </w:rPr>
                          <w:t>2,687,273.57</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82" w:right="0"/>
                          <w:jc w:val="left"/>
                          <w:rPr>
                            <w:rFonts w:ascii="Times New Roman" w:hAnsi="Times New Roman" w:cs="Times New Roman" w:eastAsia="Times New Roman" w:hint="default"/>
                            <w:sz w:val="15"/>
                            <w:szCs w:val="15"/>
                          </w:rPr>
                        </w:pPr>
                        <w:r>
                          <w:rPr>
                            <w:rFonts w:ascii="Times New Roman"/>
                            <w:sz w:val="15"/>
                          </w:rPr>
                          <w:t>10.06</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9" w:right="0"/>
                          <w:jc w:val="center"/>
                          <w:rPr>
                            <w:rFonts w:ascii="Times New Roman" w:hAnsi="Times New Roman" w:cs="Times New Roman" w:eastAsia="Times New Roman" w:hint="default"/>
                            <w:sz w:val="15"/>
                            <w:szCs w:val="15"/>
                          </w:rPr>
                        </w:pPr>
                        <w:r>
                          <w:rPr>
                            <w:rFonts w:ascii="Times New Roman"/>
                            <w:sz w:val="15"/>
                          </w:rPr>
                          <w:t>5.00</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5"/>
                            <w:szCs w:val="15"/>
                          </w:rPr>
                        </w:pPr>
                        <w:r>
                          <w:rPr>
                            <w:rFonts w:ascii="Times New Roman"/>
                            <w:spacing w:val="-1"/>
                            <w:sz w:val="15"/>
                          </w:rPr>
                          <w:t>134,363.67</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32"/>
                          <w:jc w:val="right"/>
                          <w:rPr>
                            <w:rFonts w:ascii="Times New Roman" w:hAnsi="Times New Roman" w:cs="Times New Roman" w:eastAsia="Times New Roman" w:hint="default"/>
                            <w:sz w:val="15"/>
                            <w:szCs w:val="15"/>
                          </w:rPr>
                        </w:pPr>
                        <w:r>
                          <w:rPr>
                            <w:rFonts w:ascii="Times New Roman"/>
                            <w:spacing w:val="-1"/>
                            <w:sz w:val="15"/>
                          </w:rPr>
                          <w:t>8,990,152.03</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89" w:right="0"/>
                          <w:jc w:val="left"/>
                          <w:rPr>
                            <w:rFonts w:ascii="Times New Roman" w:hAnsi="Times New Roman" w:cs="Times New Roman" w:eastAsia="Times New Roman" w:hint="default"/>
                            <w:sz w:val="15"/>
                            <w:szCs w:val="15"/>
                          </w:rPr>
                        </w:pPr>
                        <w:r>
                          <w:rPr>
                            <w:rFonts w:ascii="Times New Roman"/>
                            <w:sz w:val="15"/>
                          </w:rPr>
                          <w:t>22.56</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4" w:right="0"/>
                          <w:jc w:val="center"/>
                          <w:rPr>
                            <w:rFonts w:ascii="Times New Roman" w:hAnsi="Times New Roman" w:cs="Times New Roman" w:eastAsia="Times New Roman" w:hint="default"/>
                            <w:sz w:val="15"/>
                            <w:szCs w:val="15"/>
                          </w:rPr>
                        </w:pPr>
                        <w:r>
                          <w:rPr>
                            <w:rFonts w:ascii="Times New Roman"/>
                            <w:sz w:val="15"/>
                          </w:rPr>
                          <w:t>5.00</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449,507.61</w:t>
                        </w:r>
                      </w:p>
                    </w:tc>
                  </w:tr>
                  <w:tr>
                    <w:trPr>
                      <w:trHeight w:val="400" w:hRule="exact"/>
                    </w:trPr>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9" w:right="0"/>
                          <w:jc w:val="center"/>
                          <w:rPr>
                            <w:rFonts w:ascii="Times New Roman" w:hAnsi="Times New Roman" w:cs="Times New Roman" w:eastAsia="Times New Roman" w:hint="default"/>
                            <w:sz w:val="15"/>
                            <w:szCs w:val="15"/>
                          </w:rPr>
                        </w:pPr>
                        <w:r>
                          <w:rPr>
                            <w:rFonts w:ascii="Times New Roman"/>
                            <w:sz w:val="15"/>
                          </w:rPr>
                          <w:t>3,408,697.73</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2" w:right="0"/>
                          <w:jc w:val="left"/>
                          <w:rPr>
                            <w:rFonts w:ascii="Times New Roman" w:hAnsi="Times New Roman" w:cs="Times New Roman" w:eastAsia="Times New Roman" w:hint="default"/>
                            <w:sz w:val="15"/>
                            <w:szCs w:val="15"/>
                          </w:rPr>
                        </w:pPr>
                        <w:r>
                          <w:rPr>
                            <w:rFonts w:ascii="Times New Roman"/>
                            <w:sz w:val="15"/>
                          </w:rPr>
                          <w:t>12.77</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 w:right="0"/>
                          <w:jc w:val="center"/>
                          <w:rPr>
                            <w:rFonts w:ascii="Times New Roman" w:hAnsi="Times New Roman" w:cs="Times New Roman" w:eastAsia="Times New Roman" w:hint="default"/>
                            <w:sz w:val="15"/>
                            <w:szCs w:val="15"/>
                          </w:rPr>
                        </w:pPr>
                        <w:r>
                          <w:rPr>
                            <w:rFonts w:ascii="Times New Roman"/>
                            <w:sz w:val="15"/>
                          </w:rPr>
                          <w:t>30.00</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7"/>
                          <w:jc w:val="right"/>
                          <w:rPr>
                            <w:rFonts w:ascii="Times New Roman" w:hAnsi="Times New Roman" w:cs="Times New Roman" w:eastAsia="Times New Roman" w:hint="default"/>
                            <w:sz w:val="15"/>
                            <w:szCs w:val="15"/>
                          </w:rPr>
                        </w:pPr>
                        <w:r>
                          <w:rPr>
                            <w:rFonts w:ascii="Times New Roman"/>
                            <w:spacing w:val="-1"/>
                            <w:sz w:val="15"/>
                          </w:rPr>
                          <w:t>1,022,609.32</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32"/>
                          <w:jc w:val="right"/>
                          <w:rPr>
                            <w:rFonts w:ascii="Times New Roman" w:hAnsi="Times New Roman" w:cs="Times New Roman" w:eastAsia="Times New Roman" w:hint="default"/>
                            <w:sz w:val="15"/>
                            <w:szCs w:val="15"/>
                          </w:rPr>
                        </w:pPr>
                        <w:r>
                          <w:rPr>
                            <w:rFonts w:ascii="Times New Roman"/>
                            <w:spacing w:val="-1"/>
                            <w:sz w:val="15"/>
                          </w:rPr>
                          <w:t>1,842,336.72</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27" w:right="0"/>
                          <w:jc w:val="left"/>
                          <w:rPr>
                            <w:rFonts w:ascii="Times New Roman" w:hAnsi="Times New Roman" w:cs="Times New Roman" w:eastAsia="Times New Roman" w:hint="default"/>
                            <w:sz w:val="15"/>
                            <w:szCs w:val="15"/>
                          </w:rPr>
                        </w:pPr>
                        <w:r>
                          <w:rPr>
                            <w:rFonts w:ascii="Times New Roman"/>
                            <w:sz w:val="15"/>
                          </w:rPr>
                          <w:t>4.62</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4" w:right="0"/>
                          <w:jc w:val="center"/>
                          <w:rPr>
                            <w:rFonts w:ascii="Times New Roman" w:hAnsi="Times New Roman" w:cs="Times New Roman" w:eastAsia="Times New Roman" w:hint="default"/>
                            <w:sz w:val="15"/>
                            <w:szCs w:val="15"/>
                          </w:rPr>
                        </w:pPr>
                        <w:r>
                          <w:rPr>
                            <w:rFonts w:ascii="Times New Roman"/>
                            <w:sz w:val="15"/>
                          </w:rPr>
                          <w:t>30.00</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552,701.01</w:t>
                        </w:r>
                      </w:p>
                    </w:tc>
                  </w:tr>
                  <w:tr>
                    <w:trPr>
                      <w:trHeight w:val="423" w:hRule="exact"/>
                    </w:trPr>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9" w:right="0"/>
                          <w:jc w:val="center"/>
                          <w:rPr>
                            <w:rFonts w:ascii="Times New Roman" w:hAnsi="Times New Roman" w:cs="Times New Roman" w:eastAsia="Times New Roman" w:hint="default"/>
                            <w:sz w:val="15"/>
                            <w:szCs w:val="15"/>
                          </w:rPr>
                        </w:pPr>
                        <w:r>
                          <w:rPr>
                            <w:rFonts w:ascii="Times New Roman"/>
                            <w:sz w:val="15"/>
                          </w:rPr>
                          <w:t>6,190,472.59</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82" w:right="0"/>
                          <w:jc w:val="left"/>
                          <w:rPr>
                            <w:rFonts w:ascii="Times New Roman" w:hAnsi="Times New Roman" w:cs="Times New Roman" w:eastAsia="Times New Roman" w:hint="default"/>
                            <w:sz w:val="15"/>
                            <w:szCs w:val="15"/>
                          </w:rPr>
                        </w:pPr>
                        <w:r>
                          <w:rPr>
                            <w:rFonts w:ascii="Times New Roman"/>
                            <w:sz w:val="15"/>
                          </w:rPr>
                          <w:t>23.18</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6" w:right="0"/>
                          <w:jc w:val="center"/>
                          <w:rPr>
                            <w:rFonts w:ascii="Times New Roman" w:hAnsi="Times New Roman" w:cs="Times New Roman" w:eastAsia="Times New Roman" w:hint="default"/>
                            <w:sz w:val="15"/>
                            <w:szCs w:val="15"/>
                          </w:rPr>
                        </w:pPr>
                        <w:r>
                          <w:rPr>
                            <w:rFonts w:ascii="Times New Roman"/>
                            <w:sz w:val="15"/>
                          </w:rPr>
                          <w:t>100.00</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15"/>
                            <w:szCs w:val="15"/>
                          </w:rPr>
                        </w:pPr>
                        <w:r>
                          <w:rPr>
                            <w:rFonts w:ascii="Times New Roman"/>
                            <w:spacing w:val="-1"/>
                            <w:sz w:val="15"/>
                          </w:rPr>
                          <w:t>6,190,472.59</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32"/>
                          <w:jc w:val="right"/>
                          <w:rPr>
                            <w:rFonts w:ascii="Times New Roman" w:hAnsi="Times New Roman" w:cs="Times New Roman" w:eastAsia="Times New Roman" w:hint="default"/>
                            <w:sz w:val="15"/>
                            <w:szCs w:val="15"/>
                          </w:rPr>
                        </w:pPr>
                        <w:r>
                          <w:rPr>
                            <w:rFonts w:ascii="Times New Roman"/>
                            <w:spacing w:val="-1"/>
                            <w:sz w:val="15"/>
                          </w:rPr>
                          <w:t>4,467,210.32</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94" w:right="0"/>
                          <w:jc w:val="left"/>
                          <w:rPr>
                            <w:rFonts w:ascii="Times New Roman" w:hAnsi="Times New Roman" w:cs="Times New Roman" w:eastAsia="Times New Roman" w:hint="default"/>
                            <w:sz w:val="15"/>
                            <w:szCs w:val="15"/>
                          </w:rPr>
                        </w:pPr>
                        <w:r>
                          <w:rPr>
                            <w:rFonts w:ascii="Times New Roman"/>
                            <w:sz w:val="15"/>
                          </w:rPr>
                          <w:t>11.22</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0" w:right="0"/>
                          <w:jc w:val="center"/>
                          <w:rPr>
                            <w:rFonts w:ascii="Times New Roman" w:hAnsi="Times New Roman" w:cs="Times New Roman" w:eastAsia="Times New Roman" w:hint="default"/>
                            <w:sz w:val="15"/>
                            <w:szCs w:val="15"/>
                          </w:rPr>
                        </w:pPr>
                        <w:r>
                          <w:rPr>
                            <w:rFonts w:ascii="Times New Roman"/>
                            <w:sz w:val="15"/>
                          </w:rPr>
                          <w:t>100.00</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4,467,210.32</w:t>
                        </w:r>
                      </w:p>
                    </w:tc>
                  </w:tr>
                  <w:tr>
                    <w:trPr>
                      <w:trHeight w:val="380" w:hRule="exact"/>
                    </w:trPr>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6"/>
                          <w:jc w:val="center"/>
                          <w:rPr>
                            <w:rFonts w:ascii="宋体" w:hAnsi="宋体" w:cs="宋体" w:eastAsia="宋体" w:hint="default"/>
                            <w:sz w:val="15"/>
                            <w:szCs w:val="15"/>
                          </w:rPr>
                        </w:pPr>
                        <w:r>
                          <w:rPr>
                            <w:rFonts w:ascii="宋体" w:hAnsi="宋体" w:cs="宋体" w:eastAsia="宋体" w:hint="default"/>
                            <w:sz w:val="15"/>
                            <w:szCs w:val="15"/>
                          </w:rPr>
                          <w:t>合计</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3"/>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26,702,728.35</w:t>
                        </w:r>
                        <w:r>
                          <w:rPr>
                            <w:rFonts w:ascii="Times New Roman"/>
                            <w:sz w:val="15"/>
                          </w:rPr>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40"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863"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7,491,608.43</w:t>
                        </w:r>
                        <w:r>
                          <w:rPr>
                            <w:rFonts w:ascii="Times New Roman"/>
                            <w:spacing w:val="-1"/>
                            <w:sz w:val="15"/>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39,845,542.79</w:t>
                        </w:r>
                        <w:r>
                          <w:rPr>
                            <w:rFonts w:ascii="Times New Roman"/>
                            <w:spacing w:val="-1"/>
                            <w:sz w:val="15"/>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46"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854"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5,714,877.37</w:t>
                        </w:r>
                        <w:r>
                          <w:rPr>
                            <w:rFonts w:ascii="Times New Roman"/>
                            <w:spacing w:val="-1"/>
                            <w:sz w:val="15"/>
                          </w:rPr>
                        </w:r>
                      </w:p>
                    </w:tc>
                  </w:tr>
                </w:tbl>
                <w:p>
                  <w:pPr/>
                </w:p>
              </w:txbxContent>
            </v:textbox>
            <w10:wrap type="none"/>
          </v:shape>
        </w:pict>
      </w:r>
      <w:r>
        <w:rPr>
          <w:rFonts w:ascii="宋体" w:hAnsi="宋体" w:cs="宋体" w:eastAsia="宋体" w:hint="default"/>
          <w:b/>
          <w:bCs/>
          <w:sz w:val="15"/>
          <w:szCs w:val="15"/>
        </w:rPr>
        <w:t>坏账准备</w:t>
        <w:tab/>
        <w:t>坏账准备</w:t>
      </w:r>
      <w:r>
        <w:rPr>
          <w:rFonts w:ascii="宋体" w:hAnsi="宋体" w:cs="宋体" w:eastAsia="宋体" w:hint="default"/>
          <w:sz w:val="15"/>
          <w:szCs w:val="15"/>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BodyText"/>
        <w:spacing w:line="240" w:lineRule="auto"/>
        <w:ind w:left="720" w:right="0"/>
        <w:jc w:val="left"/>
      </w:pPr>
      <w:r>
        <w:rPr/>
        <w:t>（</w:t>
      </w:r>
      <w:r>
        <w:rPr>
          <w:rFonts w:ascii="Times New Roman" w:hAnsi="Times New Roman" w:cs="Times New Roman" w:eastAsia="Times New Roman" w:hint="default"/>
        </w:rPr>
        <w:t>3</w:t>
      </w:r>
      <w:r>
        <w:rPr/>
        <w:t>）组合</w:t>
      </w:r>
      <w:r>
        <w:rPr>
          <w:rFonts w:ascii="Times New Roman" w:hAnsi="Times New Roman" w:cs="Times New Roman" w:eastAsia="Times New Roman" w:hint="default"/>
        </w:rPr>
        <w:t>2</w:t>
      </w:r>
      <w:r>
        <w:rPr/>
        <w:t>中，按账龄分析法计提坏账准备的应收账款</w:t>
      </w:r>
    </w:p>
    <w:p>
      <w:pPr>
        <w:spacing w:line="240" w:lineRule="auto" w:before="12"/>
        <w:rPr>
          <w:rFonts w:ascii="宋体" w:hAnsi="宋体" w:cs="宋体" w:eastAsia="宋体" w:hint="default"/>
          <w:sz w:val="18"/>
          <w:szCs w:val="18"/>
        </w:rPr>
      </w:pPr>
    </w:p>
    <w:p>
      <w:pPr>
        <w:tabs>
          <w:tab w:pos="6858" w:val="left" w:leader="none"/>
        </w:tabs>
        <w:spacing w:before="54"/>
        <w:ind w:left="3116"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7"/>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type w:val="continuous"/>
          <w:pgSz w:w="11910" w:h="16840"/>
          <w:pgMar w:top="1580" w:bottom="1140" w:left="1440" w:right="1300"/>
        </w:sectPr>
      </w:pPr>
    </w:p>
    <w:p>
      <w:pPr>
        <w:spacing w:before="54"/>
        <w:ind w:left="756" w:right="0" w:firstLine="0"/>
        <w:jc w:val="left"/>
        <w:rPr>
          <w:rFonts w:ascii="宋体" w:hAnsi="宋体" w:cs="宋体" w:eastAsia="宋体" w:hint="default"/>
          <w:sz w:val="15"/>
          <w:szCs w:val="15"/>
        </w:rPr>
      </w:pPr>
      <w:r>
        <w:rPr>
          <w:rFonts w:ascii="宋体" w:hAnsi="宋体" w:cs="宋体" w:eastAsia="宋体" w:hint="default"/>
          <w:b/>
          <w:bCs/>
          <w:sz w:val="15"/>
          <w:szCs w:val="15"/>
        </w:rPr>
        <w:t>账龄</w:t>
      </w:r>
      <w:r>
        <w:rPr>
          <w:rFonts w:ascii="宋体" w:hAnsi="宋体" w:cs="宋体" w:eastAsia="宋体" w:hint="default"/>
          <w:sz w:val="15"/>
          <w:szCs w:val="15"/>
        </w:rPr>
      </w:r>
    </w:p>
    <w:p>
      <w:pPr>
        <w:spacing w:before="15"/>
        <w:ind w:left="0" w:right="0" w:firstLine="0"/>
        <w:jc w:val="right"/>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p>
      <w:pPr>
        <w:spacing w:before="88"/>
        <w:ind w:left="358" w:right="-17"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比例</w:t>
      </w:r>
      <w:r>
        <w:rPr>
          <w:rFonts w:ascii="宋体" w:hAnsi="宋体" w:cs="宋体" w:eastAsia="宋体" w:hint="default"/>
          <w:sz w:val="15"/>
          <w:szCs w:val="15"/>
        </w:rPr>
      </w:r>
    </w:p>
    <w:p>
      <w:pPr>
        <w:spacing w:line="240" w:lineRule="auto" w:before="4"/>
        <w:rPr>
          <w:rFonts w:ascii="宋体" w:hAnsi="宋体" w:cs="宋体" w:eastAsia="宋体" w:hint="default"/>
          <w:b/>
          <w:bCs/>
          <w:sz w:val="12"/>
          <w:szCs w:val="12"/>
        </w:rPr>
      </w:pPr>
    </w:p>
    <w:p>
      <w:pPr>
        <w:spacing w:before="0"/>
        <w:ind w:left="284" w:right="-17" w:firstLine="0"/>
        <w:jc w:val="left"/>
        <w:rPr>
          <w:rFonts w:ascii="宋体" w:hAnsi="宋体" w:cs="宋体" w:eastAsia="宋体" w:hint="default"/>
          <w:sz w:val="15"/>
          <w:szCs w:val="15"/>
        </w:rPr>
      </w:pPr>
      <w:r>
        <w:rPr/>
        <w:pict>
          <v:group style="position:absolute;margin-left:84.14399pt;margin-top:14.549758pt;width:440.85pt;height:1pt;mso-position-horizontal-relative:page;mso-position-vertical-relative:paragraph;z-index:-1037704" coordorigin="1683,291" coordsize="8817,20">
            <v:group style="position:absolute;left:1692;top:301;width:1308;height:2" coordorigin="1692,301" coordsize="1308,2">
              <v:shape style="position:absolute;left:1692;top:301;width:1308;height:2" coordorigin="1692,301" coordsize="1308,0" path="m1692,301l3000,301e" filled="false" stroked="true" strokeweight=".96002pt" strokecolor="#000000">
                <v:path arrowok="t"/>
              </v:shape>
            </v:group>
            <v:group style="position:absolute;left:3000;top:301;width:20;height:2" coordorigin="3000,301" coordsize="20,2">
              <v:shape style="position:absolute;left:3000;top:301;width:20;height:2" coordorigin="3000,301" coordsize="20,0" path="m3000,301l3020,301e" filled="false" stroked="true" strokeweight=".96002pt" strokecolor="#000000">
                <v:path arrowok="t"/>
              </v:shape>
            </v:group>
            <v:group style="position:absolute;left:3020;top:301;width:1019;height:2" coordorigin="3020,301" coordsize="1019,2">
              <v:shape style="position:absolute;left:3020;top:301;width:1019;height:2" coordorigin="3020,301" coordsize="1019,0" path="m3020,301l4038,301e" filled="false" stroked="true" strokeweight=".96002pt" strokecolor="#000000">
                <v:path arrowok="t"/>
              </v:shape>
            </v:group>
            <v:group style="position:absolute;left:4038;top:301;width:20;height:2" coordorigin="4038,301" coordsize="20,2">
              <v:shape style="position:absolute;left:4038;top:301;width:20;height:2" coordorigin="4038,301" coordsize="20,0" path="m4038,301l4057,301e" filled="false" stroked="true" strokeweight=".96002pt" strokecolor="#000000">
                <v:path arrowok="t"/>
              </v:shape>
            </v:group>
            <v:group style="position:absolute;left:4057;top:301;width:648;height:2" coordorigin="4057,301" coordsize="648,2">
              <v:shape style="position:absolute;left:4057;top:301;width:648;height:2" coordorigin="4057,301" coordsize="648,0" path="m4057,301l4705,301e" filled="false" stroked="true" strokeweight=".96002pt" strokecolor="#000000">
                <v:path arrowok="t"/>
              </v:shape>
            </v:group>
            <v:group style="position:absolute;left:4705;top:301;width:20;height:2" coordorigin="4705,301" coordsize="20,2">
              <v:shape style="position:absolute;left:4705;top:301;width:20;height:2" coordorigin="4705,301" coordsize="20,0" path="m4705,301l4724,301e" filled="false" stroked="true" strokeweight=".96002pt" strokecolor="#000000">
                <v:path arrowok="t"/>
              </v:shape>
            </v:group>
            <v:group style="position:absolute;left:4724;top:301;width:1025;height:2" coordorigin="4724,301" coordsize="1025,2">
              <v:shape style="position:absolute;left:4724;top:301;width:1025;height:2" coordorigin="4724,301" coordsize="1025,0" path="m4724,301l5749,301e" filled="false" stroked="true" strokeweight=".96002pt" strokecolor="#000000">
                <v:path arrowok="t"/>
              </v:shape>
            </v:group>
            <v:group style="position:absolute;left:5749;top:301;width:20;height:2" coordorigin="5749,301" coordsize="20,2">
              <v:shape style="position:absolute;left:5749;top:301;width:20;height:2" coordorigin="5749,301" coordsize="20,0" path="m5749,301l5768,301e" filled="false" stroked="true" strokeweight=".96002pt" strokecolor="#000000">
                <v:path arrowok="t"/>
              </v:shape>
            </v:group>
            <v:group style="position:absolute;left:5768;top:301;width:949;height:2" coordorigin="5768,301" coordsize="949,2">
              <v:shape style="position:absolute;left:5768;top:301;width:949;height:2" coordorigin="5768,301" coordsize="949,0" path="m5768,301l6717,301e" filled="false" stroked="true" strokeweight=".96002pt" strokecolor="#000000">
                <v:path arrowok="t"/>
              </v:shape>
            </v:group>
            <v:group style="position:absolute;left:6717;top:301;width:20;height:2" coordorigin="6717,301" coordsize="20,2">
              <v:shape style="position:absolute;left:6717;top:301;width:20;height:2" coordorigin="6717,301" coordsize="20,0" path="m6717,301l6736,301e" filled="false" stroked="true" strokeweight=".96002pt" strokecolor="#000000">
                <v:path arrowok="t"/>
              </v:shape>
            </v:group>
            <v:group style="position:absolute;left:6736;top:301;width:1059;height:2" coordorigin="6736,301" coordsize="1059,2">
              <v:shape style="position:absolute;left:6736;top:301;width:1059;height:2" coordorigin="6736,301" coordsize="1059,0" path="m6736,301l7794,301e" filled="false" stroked="true" strokeweight=".96002pt" strokecolor="#000000">
                <v:path arrowok="t"/>
              </v:shape>
            </v:group>
            <v:group style="position:absolute;left:7794;top:301;width:20;height:2" coordorigin="7794,301" coordsize="20,2">
              <v:shape style="position:absolute;left:7794;top:301;width:20;height:2" coordorigin="7794,301" coordsize="20,0" path="m7794,301l7813,301e" filled="false" stroked="true" strokeweight=".96002pt" strokecolor="#000000">
                <v:path arrowok="t"/>
              </v:shape>
            </v:group>
            <v:group style="position:absolute;left:7813;top:301;width:680;height:2" coordorigin="7813,301" coordsize="680,2">
              <v:shape style="position:absolute;left:7813;top:301;width:680;height:2" coordorigin="7813,301" coordsize="680,0" path="m7813,301l8493,301e" filled="false" stroked="true" strokeweight=".96002pt" strokecolor="#000000">
                <v:path arrowok="t"/>
              </v:shape>
            </v:group>
            <v:group style="position:absolute;left:8493;top:301;width:20;height:2" coordorigin="8493,301" coordsize="20,2">
              <v:shape style="position:absolute;left:8493;top:301;width:20;height:2" coordorigin="8493,301" coordsize="20,0" path="m8493,301l8512,301e" filled="false" stroked="true" strokeweight=".96002pt" strokecolor="#000000">
                <v:path arrowok="t"/>
              </v:shape>
            </v:group>
            <v:group style="position:absolute;left:8512;top:301;width:973;height:2" coordorigin="8512,301" coordsize="973,2">
              <v:shape style="position:absolute;left:8512;top:301;width:973;height:2" coordorigin="8512,301" coordsize="973,0" path="m8512,301l9484,301e" filled="false" stroked="true" strokeweight=".96002pt" strokecolor="#000000">
                <v:path arrowok="t"/>
              </v:shape>
            </v:group>
            <v:group style="position:absolute;left:9484;top:301;width:20;height:2" coordorigin="9484,301" coordsize="20,2">
              <v:shape style="position:absolute;left:9484;top:301;width:20;height:2" coordorigin="9484,301" coordsize="20,0" path="m9484,301l9504,301e" filled="false" stroked="true" strokeweight=".96002pt" strokecolor="#000000">
                <v:path arrowok="t"/>
              </v:shape>
            </v:group>
            <v:group style="position:absolute;left:9504;top:301;width:987;height:2" coordorigin="9504,301" coordsize="987,2">
              <v:shape style="position:absolute;left:9504;top:301;width:987;height:2" coordorigin="9504,301" coordsize="987,0" path="m9504,301l10490,301e" filled="false" stroked="true" strokeweight=".96002pt" strokecolor="#000000">
                <v:path arrowok="t"/>
              </v:shape>
            </v:group>
            <w10:wrap type="none"/>
          </v:group>
        </w:pict>
      </w: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436" w:lineRule="auto" w:before="88"/>
        <w:ind w:left="173" w:right="-12" w:firstLine="36"/>
        <w:jc w:val="left"/>
        <w:rPr>
          <w:rFonts w:ascii="宋体" w:hAnsi="宋体" w:cs="宋体" w:eastAsia="宋体" w:hint="default"/>
          <w:sz w:val="15"/>
          <w:szCs w:val="15"/>
        </w:rPr>
      </w:pPr>
      <w:r>
        <w:rPr/>
        <w:br w:type="column"/>
      </w:r>
      <w:r>
        <w:rPr>
          <w:rFonts w:ascii="宋体" w:hAnsi="宋体" w:cs="宋体" w:eastAsia="宋体" w:hint="default"/>
          <w:b/>
          <w:bCs/>
          <w:sz w:val="15"/>
          <w:szCs w:val="15"/>
        </w:rPr>
        <w:t>坏账准备计</w:t>
      </w:r>
      <w:r>
        <w:rPr>
          <w:rFonts w:ascii="宋体" w:hAnsi="宋体" w:cs="宋体" w:eastAsia="宋体" w:hint="default"/>
          <w:b/>
          <w:bCs/>
          <w:w w:val="100"/>
          <w:sz w:val="15"/>
          <w:szCs w:val="15"/>
        </w:rPr>
        <w:t> </w:t>
      </w:r>
      <w:r>
        <w:rPr>
          <w:rFonts w:ascii="宋体" w:hAnsi="宋体" w:cs="宋体" w:eastAsia="宋体" w:hint="default"/>
          <w:b/>
          <w:bCs/>
          <w:spacing w:val="-1"/>
          <w:sz w:val="15"/>
          <w:szCs w:val="15"/>
        </w:rPr>
        <w:t>提比例（</w:t>
      </w:r>
      <w:r>
        <w:rPr>
          <w:rFonts w:ascii="Times New Roman" w:hAnsi="Times New Roman" w:cs="Times New Roman" w:eastAsia="Times New Roman" w:hint="default"/>
          <w:b/>
          <w:bCs/>
          <w:spacing w:val="-1"/>
          <w:sz w:val="15"/>
          <w:szCs w:val="15"/>
        </w:rPr>
        <w:t>%</w:t>
      </w:r>
      <w:r>
        <w:rPr>
          <w:rFonts w:ascii="宋体" w:hAnsi="宋体" w:cs="宋体" w:eastAsia="宋体" w:hint="default"/>
          <w:b/>
          <w:bCs/>
          <w:spacing w:val="-1"/>
          <w:sz w:val="15"/>
          <w:szCs w:val="15"/>
        </w:rPr>
        <w:t>）</w:t>
      </w:r>
      <w:r>
        <w:rPr>
          <w:rFonts w:ascii="宋体" w:hAnsi="宋体" w:cs="宋体" w:eastAsia="宋体" w:hint="default"/>
          <w:spacing w:val="-1"/>
          <w:sz w:val="15"/>
          <w:szCs w:val="15"/>
        </w:rPr>
      </w:r>
    </w:p>
    <w:p>
      <w:pPr>
        <w:spacing w:line="240" w:lineRule="auto" w:before="4"/>
        <w:rPr>
          <w:rFonts w:ascii="宋体" w:hAnsi="宋体" w:cs="宋体" w:eastAsia="宋体" w:hint="default"/>
          <w:b/>
          <w:bCs/>
          <w:sz w:val="20"/>
          <w:szCs w:val="20"/>
        </w:rPr>
      </w:pPr>
      <w:r>
        <w:rPr/>
        <w:br w:type="column"/>
      </w:r>
      <w:r>
        <w:rPr>
          <w:rFonts w:ascii="宋体"/>
          <w:b/>
          <w:sz w:val="20"/>
        </w:rPr>
      </w:r>
    </w:p>
    <w:p>
      <w:pPr>
        <w:tabs>
          <w:tab w:pos="1193" w:val="left" w:leader="none"/>
        </w:tabs>
        <w:spacing w:before="0"/>
        <w:ind w:left="171" w:right="-17" w:firstLine="0"/>
        <w:jc w:val="left"/>
        <w:rPr>
          <w:rFonts w:ascii="宋体" w:hAnsi="宋体" w:cs="宋体" w:eastAsia="宋体" w:hint="default"/>
          <w:sz w:val="15"/>
          <w:szCs w:val="15"/>
        </w:rPr>
      </w:pPr>
      <w:r>
        <w:rPr>
          <w:rFonts w:ascii="宋体" w:hAnsi="宋体" w:cs="宋体" w:eastAsia="宋体" w:hint="default"/>
          <w:b/>
          <w:bCs/>
          <w:sz w:val="15"/>
          <w:szCs w:val="15"/>
        </w:rPr>
        <w:t>坏账准备</w:t>
        <w:tab/>
        <w:t>账面金额</w:t>
      </w:r>
      <w:r>
        <w:rPr>
          <w:rFonts w:ascii="宋体" w:hAnsi="宋体" w:cs="宋体" w:eastAsia="宋体" w:hint="default"/>
          <w:sz w:val="15"/>
          <w:szCs w:val="15"/>
        </w:rPr>
      </w:r>
    </w:p>
    <w:p>
      <w:pPr>
        <w:spacing w:before="88"/>
        <w:ind w:left="396" w:right="-17"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比例</w:t>
      </w:r>
      <w:r>
        <w:rPr>
          <w:rFonts w:ascii="宋体" w:hAnsi="宋体" w:cs="宋体" w:eastAsia="宋体" w:hint="default"/>
          <w:sz w:val="15"/>
          <w:szCs w:val="15"/>
        </w:rPr>
      </w:r>
    </w:p>
    <w:p>
      <w:pPr>
        <w:spacing w:line="240" w:lineRule="auto" w:before="4"/>
        <w:rPr>
          <w:rFonts w:ascii="宋体" w:hAnsi="宋体" w:cs="宋体" w:eastAsia="宋体" w:hint="default"/>
          <w:b/>
          <w:bCs/>
          <w:sz w:val="12"/>
          <w:szCs w:val="12"/>
        </w:rPr>
      </w:pPr>
    </w:p>
    <w:p>
      <w:pPr>
        <w:spacing w:before="0"/>
        <w:ind w:left="319" w:right="-17"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436" w:lineRule="auto" w:before="88"/>
        <w:ind w:left="190" w:right="-10" w:firstLine="9"/>
        <w:jc w:val="left"/>
        <w:rPr>
          <w:rFonts w:ascii="宋体" w:hAnsi="宋体" w:cs="宋体" w:eastAsia="宋体" w:hint="default"/>
          <w:sz w:val="15"/>
          <w:szCs w:val="15"/>
        </w:rPr>
      </w:pPr>
      <w:r>
        <w:rPr/>
        <w:br w:type="column"/>
      </w:r>
      <w:r>
        <w:rPr>
          <w:rFonts w:ascii="宋体" w:hAnsi="宋体" w:cs="宋体" w:eastAsia="宋体" w:hint="default"/>
          <w:b/>
          <w:bCs/>
          <w:sz w:val="15"/>
          <w:szCs w:val="15"/>
        </w:rPr>
        <w:t>坏账准备计</w:t>
      </w:r>
      <w:r>
        <w:rPr>
          <w:rFonts w:ascii="宋体" w:hAnsi="宋体" w:cs="宋体" w:eastAsia="宋体" w:hint="default"/>
          <w:b/>
          <w:bCs/>
          <w:w w:val="100"/>
          <w:sz w:val="15"/>
          <w:szCs w:val="15"/>
        </w:rPr>
        <w:t> </w:t>
      </w:r>
      <w:r>
        <w:rPr>
          <w:rFonts w:ascii="宋体" w:hAnsi="宋体" w:cs="宋体" w:eastAsia="宋体" w:hint="default"/>
          <w:b/>
          <w:bCs/>
          <w:spacing w:val="-10"/>
          <w:sz w:val="15"/>
          <w:szCs w:val="15"/>
        </w:rPr>
        <w:t>提比例（</w:t>
      </w:r>
      <w:r>
        <w:rPr>
          <w:rFonts w:ascii="Times New Roman" w:hAnsi="Times New Roman" w:cs="Times New Roman" w:eastAsia="Times New Roman" w:hint="default"/>
          <w:b/>
          <w:bCs/>
          <w:spacing w:val="-10"/>
          <w:sz w:val="15"/>
          <w:szCs w:val="15"/>
        </w:rPr>
        <w:t>%</w:t>
      </w:r>
      <w:r>
        <w:rPr>
          <w:rFonts w:ascii="宋体" w:hAnsi="宋体" w:cs="宋体" w:eastAsia="宋体" w:hint="default"/>
          <w:b/>
          <w:bCs/>
          <w:spacing w:val="-10"/>
          <w:sz w:val="15"/>
          <w:szCs w:val="15"/>
        </w:rPr>
        <w:t>）</w:t>
      </w:r>
      <w:r>
        <w:rPr>
          <w:rFonts w:ascii="宋体" w:hAnsi="宋体" w:cs="宋体" w:eastAsia="宋体" w:hint="default"/>
          <w:spacing w:val="-10"/>
          <w:sz w:val="15"/>
          <w:szCs w:val="15"/>
        </w:rPr>
      </w:r>
    </w:p>
    <w:p>
      <w:pPr>
        <w:spacing w:line="240" w:lineRule="auto" w:before="4"/>
        <w:rPr>
          <w:rFonts w:ascii="宋体" w:hAnsi="宋体" w:cs="宋体" w:eastAsia="宋体" w:hint="default"/>
          <w:b/>
          <w:bCs/>
          <w:sz w:val="20"/>
          <w:szCs w:val="20"/>
        </w:rPr>
      </w:pPr>
      <w:r>
        <w:rPr/>
        <w:br w:type="column"/>
      </w:r>
      <w:r>
        <w:rPr>
          <w:rFonts w:ascii="宋体"/>
          <w:b/>
          <w:sz w:val="20"/>
        </w:rPr>
      </w:r>
    </w:p>
    <w:p>
      <w:pPr>
        <w:spacing w:before="0"/>
        <w:ind w:left="190" w:right="0" w:firstLine="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580" w:bottom="1140" w:left="1440" w:right="1300"/>
          <w:cols w:num="7" w:equalWidth="0">
            <w:col w:w="2382" w:space="40"/>
            <w:col w:w="739" w:space="40"/>
            <w:col w:w="1079" w:space="40"/>
            <w:col w:w="1799" w:space="40"/>
            <w:col w:w="774" w:space="40"/>
            <w:col w:w="1044" w:space="40"/>
            <w:col w:w="1113"/>
          </w:cols>
        </w:sectPr>
      </w:pPr>
    </w:p>
    <w:p>
      <w:pPr>
        <w:tabs>
          <w:tab w:pos="2818" w:val="left" w:leader="none"/>
          <w:tab w:pos="3656" w:val="left" w:leader="none"/>
          <w:tab w:pos="4455" w:val="left" w:leader="none"/>
          <w:tab w:pos="5461" w:val="left" w:leader="none"/>
          <w:tab w:pos="6589" w:val="left" w:leader="none"/>
          <w:tab w:pos="7417" w:val="left" w:leader="none"/>
          <w:tab w:pos="8152" w:val="left" w:leader="none"/>
        </w:tabs>
        <w:spacing w:before="76"/>
        <w:ind w:left="310" w:right="0"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w w:val="100"/>
          <w:sz w:val="15"/>
          <w:szCs w:val="15"/>
        </w:rPr>
        <w:t>1</w:t>
      </w:r>
      <w:r>
        <w:rPr>
          <w:rFonts w:ascii="Times New Roman" w:hAnsi="Times New Roman" w:cs="Times New Roman" w:eastAsia="Times New Roman" w:hint="default"/>
          <w:spacing w:val="-6"/>
          <w:sz w:val="15"/>
          <w:szCs w:val="15"/>
        </w:rPr>
        <w:t> </w:t>
      </w:r>
      <w:r>
        <w:rPr>
          <w:rFonts w:ascii="宋体" w:hAnsi="宋体" w:cs="宋体" w:eastAsia="宋体" w:hint="default"/>
          <w:spacing w:val="-3"/>
          <w:w w:val="100"/>
          <w:sz w:val="15"/>
          <w:szCs w:val="15"/>
        </w:rPr>
        <w:t>年</w:t>
      </w:r>
      <w:r>
        <w:rPr>
          <w:rFonts w:ascii="宋体" w:hAnsi="宋体" w:cs="宋体" w:eastAsia="宋体" w:hint="default"/>
          <w:w w:val="100"/>
          <w:sz w:val="15"/>
          <w:szCs w:val="15"/>
        </w:rPr>
        <w:t>以</w:t>
      </w:r>
      <w:r>
        <w:rPr>
          <w:rFonts w:ascii="宋体" w:hAnsi="宋体" w:cs="宋体" w:eastAsia="宋体" w:hint="default"/>
          <w:spacing w:val="-77"/>
          <w:w w:val="100"/>
          <w:sz w:val="15"/>
          <w:szCs w:val="15"/>
        </w:rPr>
        <w:t>内</w:t>
      </w:r>
      <w:r>
        <w:rPr>
          <w:rFonts w:ascii="宋体" w:hAnsi="宋体" w:cs="宋体" w:eastAsia="宋体" w:hint="default"/>
          <w:spacing w:val="-3"/>
          <w:w w:val="100"/>
          <w:sz w:val="15"/>
          <w:szCs w:val="15"/>
        </w:rPr>
        <w:t>（</w:t>
      </w:r>
      <w:r>
        <w:rPr>
          <w:rFonts w:ascii="宋体" w:hAnsi="宋体" w:cs="宋体" w:eastAsia="宋体" w:hint="default"/>
          <w:w w:val="100"/>
          <w:sz w:val="15"/>
          <w:szCs w:val="15"/>
        </w:rPr>
        <w:t>含</w:t>
      </w:r>
      <w:r>
        <w:rPr>
          <w:rFonts w:ascii="宋体" w:hAnsi="宋体" w:cs="宋体" w:eastAsia="宋体" w:hint="default"/>
          <w:spacing w:val="-47"/>
          <w:sz w:val="15"/>
          <w:szCs w:val="15"/>
        </w:rPr>
        <w:t> </w:t>
      </w:r>
      <w:r>
        <w:rPr>
          <w:rFonts w:ascii="Times New Roman" w:hAnsi="Times New Roman" w:cs="Times New Roman" w:eastAsia="Times New Roman" w:hint="default"/>
          <w:w w:val="100"/>
          <w:sz w:val="15"/>
          <w:szCs w:val="15"/>
        </w:rPr>
        <w:t>1</w:t>
      </w:r>
      <w:r>
        <w:rPr>
          <w:rFonts w:ascii="Times New Roman" w:hAnsi="Times New Roman" w:cs="Times New Roman" w:eastAsia="Times New Roman" w:hint="default"/>
          <w:spacing w:val="-6"/>
          <w:sz w:val="15"/>
          <w:szCs w:val="15"/>
        </w:rPr>
        <w:t> </w:t>
      </w:r>
      <w:r>
        <w:rPr>
          <w:rFonts w:ascii="宋体" w:hAnsi="宋体" w:cs="宋体" w:eastAsia="宋体" w:hint="default"/>
          <w:spacing w:val="-3"/>
          <w:w w:val="100"/>
          <w:sz w:val="15"/>
          <w:szCs w:val="15"/>
        </w:rPr>
        <w:t>年</w:t>
      </w:r>
      <w:r>
        <w:rPr>
          <w:rFonts w:ascii="宋体" w:hAnsi="宋体" w:cs="宋体" w:eastAsia="宋体" w:hint="default"/>
          <w:w w:val="100"/>
          <w:sz w:val="15"/>
          <w:szCs w:val="15"/>
        </w:rPr>
        <w:t>）</w:t>
      </w:r>
      <w:r>
        <w:rPr>
          <w:rFonts w:ascii="宋体" w:hAnsi="宋体" w:cs="宋体" w:eastAsia="宋体" w:hint="default"/>
          <w:sz w:val="15"/>
          <w:szCs w:val="15"/>
        </w:rPr>
        <w:t> </w:t>
      </w:r>
      <w:r>
        <w:rPr>
          <w:rFonts w:ascii="宋体" w:hAnsi="宋体" w:cs="宋体" w:eastAsia="宋体" w:hint="default"/>
          <w:spacing w:val="25"/>
          <w:sz w:val="15"/>
          <w:szCs w:val="15"/>
        </w:rPr>
        <w:t> </w:t>
      </w:r>
      <w:r>
        <w:rPr>
          <w:rFonts w:ascii="Times New Roman" w:hAnsi="Times New Roman" w:cs="Times New Roman" w:eastAsia="Times New Roman" w:hint="default"/>
          <w:spacing w:val="1"/>
          <w:w w:val="100"/>
          <w:sz w:val="15"/>
          <w:szCs w:val="15"/>
        </w:rPr>
        <w:t>3</w:t>
      </w:r>
      <w:r>
        <w:rPr>
          <w:rFonts w:ascii="Times New Roman" w:hAnsi="Times New Roman" w:cs="Times New Roman" w:eastAsia="Times New Roman" w:hint="default"/>
          <w:spacing w:val="-2"/>
          <w:w w:val="100"/>
          <w:sz w:val="15"/>
          <w:szCs w:val="15"/>
        </w:rPr>
        <w:t>6,</w:t>
      </w:r>
      <w:r>
        <w:rPr>
          <w:rFonts w:ascii="Times New Roman" w:hAnsi="Times New Roman" w:cs="Times New Roman" w:eastAsia="Times New Roman" w:hint="default"/>
          <w:spacing w:val="1"/>
          <w:w w:val="100"/>
          <w:sz w:val="15"/>
          <w:szCs w:val="15"/>
        </w:rPr>
        <w:t>7</w:t>
      </w:r>
      <w:r>
        <w:rPr>
          <w:rFonts w:ascii="Times New Roman" w:hAnsi="Times New Roman" w:cs="Times New Roman" w:eastAsia="Times New Roman" w:hint="default"/>
          <w:spacing w:val="-2"/>
          <w:w w:val="100"/>
          <w:sz w:val="15"/>
          <w:szCs w:val="15"/>
        </w:rPr>
        <w:t>7</w:t>
      </w:r>
      <w:r>
        <w:rPr>
          <w:rFonts w:ascii="Times New Roman" w:hAnsi="Times New Roman" w:cs="Times New Roman" w:eastAsia="Times New Roman" w:hint="default"/>
          <w:spacing w:val="1"/>
          <w:w w:val="100"/>
          <w:sz w:val="15"/>
          <w:szCs w:val="15"/>
        </w:rPr>
        <w:t>8</w:t>
      </w:r>
      <w:r>
        <w:rPr>
          <w:rFonts w:ascii="Times New Roman" w:hAnsi="Times New Roman" w:cs="Times New Roman" w:eastAsia="Times New Roman" w:hint="default"/>
          <w:spacing w:val="-2"/>
          <w:w w:val="100"/>
          <w:sz w:val="15"/>
          <w:szCs w:val="15"/>
        </w:rPr>
        <w:t>,38</w:t>
      </w:r>
      <w:r>
        <w:rPr>
          <w:rFonts w:ascii="Times New Roman" w:hAnsi="Times New Roman" w:cs="Times New Roman" w:eastAsia="Times New Roman" w:hint="default"/>
          <w:spacing w:val="1"/>
          <w:w w:val="100"/>
          <w:sz w:val="15"/>
          <w:szCs w:val="15"/>
        </w:rPr>
        <w:t>3</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w w:val="100"/>
          <w:sz w:val="15"/>
          <w:szCs w:val="15"/>
        </w:rPr>
        <w:t>9</w:t>
      </w:r>
      <w:r>
        <w:rPr>
          <w:rFonts w:ascii="Times New Roman" w:hAnsi="Times New Roman" w:cs="Times New Roman" w:eastAsia="Times New Roman" w:hint="default"/>
          <w:sz w:val="15"/>
          <w:szCs w:val="15"/>
        </w:rPr>
        <w:tab/>
      </w:r>
      <w:r>
        <w:rPr>
          <w:rFonts w:ascii="Times New Roman" w:hAnsi="Times New Roman" w:cs="Times New Roman" w:eastAsia="Times New Roman" w:hint="default"/>
          <w:spacing w:val="1"/>
          <w:w w:val="100"/>
          <w:sz w:val="15"/>
          <w:szCs w:val="15"/>
        </w:rPr>
        <w:t>1</w:t>
      </w:r>
      <w:r>
        <w:rPr>
          <w:rFonts w:ascii="Times New Roman" w:hAnsi="Times New Roman" w:cs="Times New Roman" w:eastAsia="Times New Roman" w:hint="default"/>
          <w:spacing w:val="-2"/>
          <w:w w:val="100"/>
          <w:sz w:val="15"/>
          <w:szCs w:val="15"/>
        </w:rPr>
        <w:t>0</w:t>
      </w:r>
      <w:r>
        <w:rPr>
          <w:rFonts w:ascii="Times New Roman" w:hAnsi="Times New Roman" w:cs="Times New Roman" w:eastAsia="Times New Roman" w:hint="default"/>
          <w:w w:val="100"/>
          <w:sz w:val="15"/>
          <w:szCs w:val="15"/>
        </w:rPr>
        <w:t>0</w:t>
      </w:r>
      <w:r>
        <w:rPr>
          <w:rFonts w:ascii="Times New Roman" w:hAnsi="Times New Roman" w:cs="Times New Roman" w:eastAsia="Times New Roman" w:hint="default"/>
          <w:sz w:val="15"/>
          <w:szCs w:val="15"/>
        </w:rPr>
        <w:tab/>
      </w:r>
      <w:r>
        <w:rPr>
          <w:rFonts w:ascii="Times New Roman" w:hAnsi="Times New Roman" w:cs="Times New Roman" w:eastAsia="Times New Roman" w:hint="default"/>
          <w:spacing w:val="1"/>
          <w:w w:val="100"/>
          <w:sz w:val="15"/>
          <w:szCs w:val="15"/>
        </w:rPr>
        <w:t>5</w:t>
      </w:r>
      <w:r>
        <w:rPr>
          <w:rFonts w:ascii="Times New Roman" w:hAnsi="Times New Roman" w:cs="Times New Roman" w:eastAsia="Times New Roman" w:hint="default"/>
          <w:spacing w:val="-2"/>
          <w:w w:val="100"/>
          <w:sz w:val="15"/>
          <w:szCs w:val="15"/>
        </w:rPr>
        <w:t>.0</w:t>
      </w:r>
      <w:r>
        <w:rPr>
          <w:rFonts w:ascii="Times New Roman" w:hAnsi="Times New Roman" w:cs="Times New Roman" w:eastAsia="Times New Roman" w:hint="default"/>
          <w:w w:val="100"/>
          <w:sz w:val="15"/>
          <w:szCs w:val="15"/>
        </w:rPr>
        <w:t>0</w:t>
      </w:r>
      <w:r>
        <w:rPr>
          <w:rFonts w:ascii="Times New Roman" w:hAnsi="Times New Roman" w:cs="Times New Roman" w:eastAsia="Times New Roman" w:hint="default"/>
          <w:sz w:val="15"/>
          <w:szCs w:val="15"/>
        </w:rPr>
        <w:tab/>
      </w:r>
      <w:r>
        <w:rPr>
          <w:rFonts w:ascii="Times New Roman" w:hAnsi="Times New Roman" w:cs="Times New Roman" w:eastAsia="Times New Roman" w:hint="default"/>
          <w:spacing w:val="1"/>
          <w:w w:val="100"/>
          <w:sz w:val="15"/>
          <w:szCs w:val="15"/>
        </w:rPr>
        <w:t>1</w:t>
      </w:r>
      <w:r>
        <w:rPr>
          <w:rFonts w:ascii="Times New Roman" w:hAnsi="Times New Roman" w:cs="Times New Roman" w:eastAsia="Times New Roman" w:hint="default"/>
          <w:spacing w:val="-2"/>
          <w:w w:val="100"/>
          <w:sz w:val="15"/>
          <w:szCs w:val="15"/>
        </w:rPr>
        <w:t>,8</w:t>
      </w:r>
      <w:r>
        <w:rPr>
          <w:rFonts w:ascii="Times New Roman" w:hAnsi="Times New Roman" w:cs="Times New Roman" w:eastAsia="Times New Roman" w:hint="default"/>
          <w:spacing w:val="1"/>
          <w:w w:val="100"/>
          <w:sz w:val="15"/>
          <w:szCs w:val="15"/>
        </w:rPr>
        <w:t>3</w:t>
      </w:r>
      <w:r>
        <w:rPr>
          <w:rFonts w:ascii="Times New Roman" w:hAnsi="Times New Roman" w:cs="Times New Roman" w:eastAsia="Times New Roman" w:hint="default"/>
          <w:spacing w:val="-2"/>
          <w:w w:val="100"/>
          <w:sz w:val="15"/>
          <w:szCs w:val="15"/>
        </w:rPr>
        <w:t>8</w:t>
      </w:r>
      <w:r>
        <w:rPr>
          <w:rFonts w:ascii="Times New Roman" w:hAnsi="Times New Roman" w:cs="Times New Roman" w:eastAsia="Times New Roman" w:hint="default"/>
          <w:w w:val="100"/>
          <w:sz w:val="15"/>
          <w:szCs w:val="15"/>
        </w:rPr>
        <w:t>,</w:t>
      </w:r>
      <w:r>
        <w:rPr>
          <w:rFonts w:ascii="Times New Roman" w:hAnsi="Times New Roman" w:cs="Times New Roman" w:eastAsia="Times New Roman" w:hint="default"/>
          <w:spacing w:val="-2"/>
          <w:w w:val="100"/>
          <w:sz w:val="15"/>
          <w:szCs w:val="15"/>
        </w:rPr>
        <w:t>91</w:t>
      </w:r>
      <w:r>
        <w:rPr>
          <w:rFonts w:ascii="Times New Roman" w:hAnsi="Times New Roman" w:cs="Times New Roman" w:eastAsia="Times New Roman" w:hint="default"/>
          <w:spacing w:val="1"/>
          <w:w w:val="100"/>
          <w:sz w:val="15"/>
          <w:szCs w:val="15"/>
        </w:rPr>
        <w:t>9</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w w:val="100"/>
          <w:sz w:val="15"/>
          <w:szCs w:val="15"/>
        </w:rPr>
        <w:t>6</w:t>
      </w:r>
      <w:r>
        <w:rPr>
          <w:rFonts w:ascii="Times New Roman" w:hAnsi="Times New Roman" w:cs="Times New Roman" w:eastAsia="Times New Roman" w:hint="default"/>
          <w:sz w:val="15"/>
          <w:szCs w:val="15"/>
        </w:rPr>
        <w:tab/>
      </w:r>
      <w:r>
        <w:rPr>
          <w:rFonts w:ascii="Times New Roman" w:hAnsi="Times New Roman" w:cs="Times New Roman" w:eastAsia="Times New Roman" w:hint="default"/>
          <w:spacing w:val="1"/>
          <w:w w:val="100"/>
          <w:sz w:val="15"/>
          <w:szCs w:val="15"/>
        </w:rPr>
        <w:t>3</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2</w:t>
      </w:r>
      <w:r>
        <w:rPr>
          <w:rFonts w:ascii="Times New Roman" w:hAnsi="Times New Roman" w:cs="Times New Roman" w:eastAsia="Times New Roman" w:hint="default"/>
          <w:spacing w:val="1"/>
          <w:w w:val="100"/>
          <w:sz w:val="15"/>
          <w:szCs w:val="15"/>
        </w:rPr>
        <w:t>9</w:t>
      </w:r>
      <w:r>
        <w:rPr>
          <w:rFonts w:ascii="Times New Roman" w:hAnsi="Times New Roman" w:cs="Times New Roman" w:eastAsia="Times New Roman" w:hint="default"/>
          <w:spacing w:val="-2"/>
          <w:w w:val="100"/>
          <w:sz w:val="15"/>
          <w:szCs w:val="15"/>
        </w:rPr>
        <w:t>,54</w:t>
      </w:r>
      <w:r>
        <w:rPr>
          <w:rFonts w:ascii="Times New Roman" w:hAnsi="Times New Roman" w:cs="Times New Roman" w:eastAsia="Times New Roman" w:hint="default"/>
          <w:spacing w:val="1"/>
          <w:w w:val="100"/>
          <w:sz w:val="15"/>
          <w:szCs w:val="15"/>
        </w:rPr>
        <w:t>0</w:t>
      </w:r>
      <w:r>
        <w:rPr>
          <w:rFonts w:ascii="Times New Roman" w:hAnsi="Times New Roman" w:cs="Times New Roman" w:eastAsia="Times New Roman" w:hint="default"/>
          <w:spacing w:val="-2"/>
          <w:w w:val="100"/>
          <w:sz w:val="15"/>
          <w:szCs w:val="15"/>
        </w:rPr>
        <w:t>.5</w:t>
      </w:r>
      <w:r>
        <w:rPr>
          <w:rFonts w:ascii="Times New Roman" w:hAnsi="Times New Roman" w:cs="Times New Roman" w:eastAsia="Times New Roman" w:hint="default"/>
          <w:w w:val="100"/>
          <w:sz w:val="15"/>
          <w:szCs w:val="15"/>
        </w:rPr>
        <w:t>5</w:t>
      </w:r>
      <w:r>
        <w:rPr>
          <w:rFonts w:ascii="Times New Roman" w:hAnsi="Times New Roman" w:cs="Times New Roman" w:eastAsia="Times New Roman" w:hint="default"/>
          <w:sz w:val="15"/>
          <w:szCs w:val="15"/>
        </w:rPr>
        <w:tab/>
      </w:r>
      <w:r>
        <w:rPr>
          <w:rFonts w:ascii="Times New Roman" w:hAnsi="Times New Roman" w:cs="Times New Roman" w:eastAsia="Times New Roman" w:hint="default"/>
          <w:spacing w:val="1"/>
          <w:w w:val="100"/>
          <w:sz w:val="15"/>
          <w:szCs w:val="15"/>
        </w:rPr>
        <w:t>1</w:t>
      </w:r>
      <w:r>
        <w:rPr>
          <w:rFonts w:ascii="Times New Roman" w:hAnsi="Times New Roman" w:cs="Times New Roman" w:eastAsia="Times New Roman" w:hint="default"/>
          <w:spacing w:val="-2"/>
          <w:w w:val="100"/>
          <w:sz w:val="15"/>
          <w:szCs w:val="15"/>
        </w:rPr>
        <w:t>0</w:t>
      </w:r>
      <w:r>
        <w:rPr>
          <w:rFonts w:ascii="Times New Roman" w:hAnsi="Times New Roman" w:cs="Times New Roman" w:eastAsia="Times New Roman" w:hint="default"/>
          <w:w w:val="100"/>
          <w:sz w:val="15"/>
          <w:szCs w:val="15"/>
        </w:rPr>
        <w:t>0</w:t>
      </w:r>
      <w:r>
        <w:rPr>
          <w:rFonts w:ascii="Times New Roman" w:hAnsi="Times New Roman" w:cs="Times New Roman" w:eastAsia="Times New Roman" w:hint="default"/>
          <w:sz w:val="15"/>
          <w:szCs w:val="15"/>
        </w:rPr>
        <w:tab/>
      </w:r>
      <w:r>
        <w:rPr>
          <w:rFonts w:ascii="Times New Roman" w:hAnsi="Times New Roman" w:cs="Times New Roman" w:eastAsia="Times New Roman" w:hint="default"/>
          <w:spacing w:val="1"/>
          <w:w w:val="100"/>
          <w:sz w:val="15"/>
          <w:szCs w:val="15"/>
        </w:rPr>
        <w:t>5</w:t>
      </w:r>
      <w:r>
        <w:rPr>
          <w:rFonts w:ascii="Times New Roman" w:hAnsi="Times New Roman" w:cs="Times New Roman" w:eastAsia="Times New Roman" w:hint="default"/>
          <w:spacing w:val="-2"/>
          <w:w w:val="100"/>
          <w:sz w:val="15"/>
          <w:szCs w:val="15"/>
        </w:rPr>
        <w:t>.0</w:t>
      </w:r>
      <w:r>
        <w:rPr>
          <w:rFonts w:ascii="Times New Roman" w:hAnsi="Times New Roman" w:cs="Times New Roman" w:eastAsia="Times New Roman" w:hint="default"/>
          <w:w w:val="100"/>
          <w:sz w:val="15"/>
          <w:szCs w:val="15"/>
        </w:rPr>
        <w:t>0</w:t>
      </w:r>
      <w:r>
        <w:rPr>
          <w:rFonts w:ascii="Times New Roman" w:hAnsi="Times New Roman" w:cs="Times New Roman" w:eastAsia="Times New Roman" w:hint="default"/>
          <w:sz w:val="15"/>
          <w:szCs w:val="15"/>
        </w:rPr>
        <w:tab/>
      </w:r>
      <w:r>
        <w:rPr>
          <w:rFonts w:ascii="Times New Roman" w:hAnsi="Times New Roman" w:cs="Times New Roman" w:eastAsia="Times New Roman" w:hint="default"/>
          <w:spacing w:val="1"/>
          <w:w w:val="100"/>
          <w:sz w:val="15"/>
          <w:szCs w:val="15"/>
        </w:rPr>
        <w:t>1</w:t>
      </w:r>
      <w:r>
        <w:rPr>
          <w:rFonts w:ascii="Times New Roman" w:hAnsi="Times New Roman" w:cs="Times New Roman" w:eastAsia="Times New Roman" w:hint="default"/>
          <w:spacing w:val="-2"/>
          <w:w w:val="100"/>
          <w:sz w:val="15"/>
          <w:szCs w:val="15"/>
        </w:rPr>
        <w:t>,5</w:t>
      </w:r>
      <w:r>
        <w:rPr>
          <w:rFonts w:ascii="Times New Roman" w:hAnsi="Times New Roman" w:cs="Times New Roman" w:eastAsia="Times New Roman" w:hint="default"/>
          <w:spacing w:val="1"/>
          <w:w w:val="100"/>
          <w:sz w:val="15"/>
          <w:szCs w:val="15"/>
        </w:rPr>
        <w:t>6</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w w:val="100"/>
          <w:sz w:val="15"/>
          <w:szCs w:val="15"/>
        </w:rPr>
        <w:t>,</w:t>
      </w:r>
      <w:r>
        <w:rPr>
          <w:rFonts w:ascii="Times New Roman" w:hAnsi="Times New Roman" w:cs="Times New Roman" w:eastAsia="Times New Roman" w:hint="default"/>
          <w:spacing w:val="-2"/>
          <w:w w:val="100"/>
          <w:sz w:val="15"/>
          <w:szCs w:val="15"/>
        </w:rPr>
        <w:t>47</w:t>
      </w:r>
      <w:r>
        <w:rPr>
          <w:rFonts w:ascii="Times New Roman" w:hAnsi="Times New Roman" w:cs="Times New Roman" w:eastAsia="Times New Roman" w:hint="default"/>
          <w:spacing w:val="1"/>
          <w:w w:val="100"/>
          <w:sz w:val="15"/>
          <w:szCs w:val="15"/>
        </w:rPr>
        <w:t>7</w:t>
      </w:r>
      <w:r>
        <w:rPr>
          <w:rFonts w:ascii="Times New Roman" w:hAnsi="Times New Roman" w:cs="Times New Roman" w:eastAsia="Times New Roman" w:hint="default"/>
          <w:spacing w:val="-2"/>
          <w:w w:val="100"/>
          <w:sz w:val="15"/>
          <w:szCs w:val="15"/>
        </w:rPr>
        <w:t>.0</w:t>
      </w:r>
      <w:r>
        <w:rPr>
          <w:rFonts w:ascii="Times New Roman" w:hAnsi="Times New Roman" w:cs="Times New Roman" w:eastAsia="Times New Roman" w:hint="default"/>
          <w:w w:val="100"/>
          <w:sz w:val="15"/>
          <w:szCs w:val="15"/>
        </w:rPr>
        <w:t>3</w:t>
      </w:r>
    </w:p>
    <w:p>
      <w:pPr>
        <w:spacing w:line="240" w:lineRule="auto" w:before="0"/>
        <w:rPr>
          <w:rFonts w:ascii="Times New Roman" w:hAnsi="Times New Roman" w:cs="Times New Roman" w:eastAsia="Times New Roman" w:hint="default"/>
          <w:sz w:val="12"/>
          <w:szCs w:val="12"/>
        </w:rPr>
      </w:pPr>
    </w:p>
    <w:p>
      <w:pPr>
        <w:tabs>
          <w:tab w:pos="1704" w:val="left" w:leader="none"/>
          <w:tab w:pos="2818" w:val="left" w:leader="none"/>
          <w:tab w:pos="4455" w:val="left" w:leader="none"/>
          <w:tab w:pos="6589" w:val="left" w:leader="none"/>
          <w:tab w:pos="8152" w:val="left" w:leader="none"/>
        </w:tabs>
        <w:spacing w:before="54"/>
        <w:ind w:left="756"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1"/>
          <w:sz w:val="15"/>
          <w:szCs w:val="15"/>
          <w:u w:val="thick" w:color="000000"/>
        </w:rPr>
        <w:t>36,778,383.19</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1,838,919.16</w:t>
      </w:r>
      <w:r>
        <w:rPr>
          <w:rFonts w:ascii="Times New Roman" w:hAnsi="Times New Roman" w:cs="Times New Roman" w:eastAsia="Times New Roman" w:hint="default"/>
          <w:sz w:val="15"/>
          <w:szCs w:val="15"/>
          <w:u w:val="thick" w:color="000000"/>
        </w:rPr>
        <w:t>   </w:t>
      </w:r>
      <w:r>
        <w:rPr>
          <w:rFonts w:ascii="Times New Roman" w:hAnsi="Times New Roman" w:cs="Times New Roman" w:eastAsia="Times New Roman" w:hint="default"/>
          <w:spacing w:val="6"/>
          <w:sz w:val="15"/>
          <w:szCs w:val="15"/>
          <w:u w:val="thick" w:color="000000"/>
        </w:rPr>
        <w:t> </w:t>
      </w:r>
      <w:r>
        <w:rPr>
          <w:rFonts w:ascii="Times New Roman" w:hAnsi="Times New Roman" w:cs="Times New Roman" w:eastAsia="Times New Roman" w:hint="default"/>
          <w:spacing w:val="6"/>
          <w:sz w:val="15"/>
          <w:szCs w:val="15"/>
        </w:rPr>
      </w:r>
      <w:r>
        <w:rPr>
          <w:rFonts w:ascii="Times New Roman" w:hAnsi="Times New Roman" w:cs="Times New Roman" w:eastAsia="Times New Roman" w:hint="default"/>
          <w:spacing w:val="-1"/>
          <w:sz w:val="15"/>
          <w:szCs w:val="15"/>
          <w:u w:val="thick" w:color="000000"/>
        </w:rPr>
        <w:t>31,229,540.55</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1,561,477.03</w:t>
      </w:r>
      <w:r>
        <w:rPr>
          <w:rFonts w:ascii="Times New Roman" w:hAnsi="Times New Roman" w:cs="Times New Roman" w:eastAsia="Times New Roman" w:hint="default"/>
          <w:spacing w:val="-1"/>
          <w:sz w:val="15"/>
          <w:szCs w:val="15"/>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BodyText"/>
        <w:spacing w:line="240" w:lineRule="auto"/>
        <w:ind w:left="720" w:right="0"/>
        <w:jc w:val="left"/>
      </w:pPr>
      <w:r>
        <w:rPr/>
        <w:t>（</w:t>
      </w:r>
      <w:r>
        <w:rPr>
          <w:rFonts w:ascii="Times New Roman" w:hAnsi="Times New Roman" w:cs="Times New Roman" w:eastAsia="Times New Roman" w:hint="default"/>
        </w:rPr>
        <w:t>4</w:t>
      </w:r>
      <w:r>
        <w:rPr/>
        <w:t>）单项金额不重大但单项计提坏账准备的应收账款</w:t>
      </w:r>
    </w:p>
    <w:p>
      <w:pPr>
        <w:spacing w:line="240" w:lineRule="auto" w:before="11"/>
        <w:rPr>
          <w:rFonts w:ascii="宋体" w:hAnsi="宋体" w:cs="宋体" w:eastAsia="宋体" w:hint="default"/>
          <w:sz w:val="24"/>
          <w:szCs w:val="24"/>
        </w:rPr>
      </w:pPr>
    </w:p>
    <w:tbl>
      <w:tblPr>
        <w:tblW w:w="0" w:type="auto"/>
        <w:jc w:val="left"/>
        <w:tblInd w:w="252" w:type="dxa"/>
        <w:tblLayout w:type="fixed"/>
        <w:tblCellMar>
          <w:top w:w="0" w:type="dxa"/>
          <w:left w:w="0" w:type="dxa"/>
          <w:bottom w:w="0" w:type="dxa"/>
          <w:right w:w="0" w:type="dxa"/>
        </w:tblCellMar>
        <w:tblLook w:val="01E0"/>
      </w:tblPr>
      <w:tblGrid>
        <w:gridCol w:w="3549"/>
        <w:gridCol w:w="1377"/>
        <w:gridCol w:w="1266"/>
        <w:gridCol w:w="1191"/>
        <w:gridCol w:w="1415"/>
      </w:tblGrid>
      <w:tr>
        <w:trPr>
          <w:trHeight w:val="632" w:hRule="exact"/>
        </w:trPr>
        <w:tc>
          <w:tcPr>
            <w:tcW w:w="3549"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1291" w:right="0"/>
              <w:jc w:val="left"/>
              <w:rPr>
                <w:rFonts w:ascii="宋体" w:hAnsi="宋体" w:cs="宋体" w:eastAsia="宋体" w:hint="default"/>
                <w:sz w:val="18"/>
                <w:szCs w:val="18"/>
              </w:rPr>
            </w:pPr>
            <w:r>
              <w:rPr>
                <w:rFonts w:ascii="宋体" w:hAnsi="宋体" w:cs="宋体" w:eastAsia="宋体" w:hint="default"/>
                <w:b/>
                <w:bCs/>
                <w:sz w:val="18"/>
                <w:szCs w:val="18"/>
              </w:rPr>
              <w:t>应收账款单位</w:t>
            </w:r>
            <w:r>
              <w:rPr>
                <w:rFonts w:ascii="宋体" w:hAnsi="宋体" w:cs="宋体" w:eastAsia="宋体" w:hint="default"/>
                <w:sz w:val="18"/>
                <w:szCs w:val="18"/>
              </w:rPr>
            </w:r>
          </w:p>
        </w:tc>
        <w:tc>
          <w:tcPr>
            <w:tcW w:w="1377"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125"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66"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265"/>
              <w:jc w:val="right"/>
              <w:rPr>
                <w:rFonts w:ascii="宋体" w:hAnsi="宋体" w:cs="宋体" w:eastAsia="宋体" w:hint="default"/>
                <w:sz w:val="18"/>
                <w:szCs w:val="18"/>
              </w:rPr>
            </w:pPr>
            <w:r>
              <w:rPr>
                <w:rFonts w:ascii="宋体" w:hAnsi="宋体" w:cs="宋体" w:eastAsia="宋体" w:hint="default"/>
                <w:b/>
                <w:bCs/>
                <w:w w:val="95"/>
                <w:sz w:val="18"/>
                <w:szCs w:val="18"/>
              </w:rPr>
              <w:t>坏账金额</w:t>
            </w:r>
            <w:r>
              <w:rPr>
                <w:rFonts w:ascii="宋体" w:hAnsi="宋体" w:cs="宋体" w:eastAsia="宋体" w:hint="default"/>
                <w:sz w:val="18"/>
                <w:szCs w:val="18"/>
              </w:rPr>
            </w:r>
          </w:p>
        </w:tc>
        <w:tc>
          <w:tcPr>
            <w:tcW w:w="1191" w:type="dxa"/>
            <w:tcBorders>
              <w:top w:val="nil" w:sz="6" w:space="0" w:color="auto"/>
              <w:left w:val="nil" w:sz="6" w:space="0" w:color="auto"/>
              <w:bottom w:val="single" w:sz="4" w:space="0" w:color="000000"/>
              <w:right w:val="nil" w:sz="6" w:space="0" w:color="auto"/>
            </w:tcBorders>
          </w:tcPr>
          <w:p>
            <w:pPr>
              <w:pStyle w:val="TableParagraph"/>
              <w:spacing w:line="180" w:lineRule="exact"/>
              <w:ind w:left="267"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122"/>
              <w:ind w:left="35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15"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68" w:right="0"/>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06" w:hRule="exact"/>
        </w:trPr>
        <w:tc>
          <w:tcPr>
            <w:tcW w:w="354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深圳市华动飞天网络技术开发有限公司</w:t>
            </w:r>
          </w:p>
        </w:tc>
        <w:tc>
          <w:tcPr>
            <w:tcW w:w="137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104" w:right="0"/>
              <w:jc w:val="center"/>
              <w:rPr>
                <w:rFonts w:ascii="Times New Roman" w:hAnsi="Times New Roman" w:cs="Times New Roman" w:eastAsia="Times New Roman" w:hint="default"/>
                <w:sz w:val="18"/>
                <w:szCs w:val="18"/>
              </w:rPr>
            </w:pPr>
            <w:r>
              <w:rPr>
                <w:rFonts w:ascii="Times New Roman"/>
                <w:sz w:val="18"/>
              </w:rPr>
              <w:t>52,500.00</w:t>
            </w:r>
          </w:p>
        </w:tc>
        <w:tc>
          <w:tcPr>
            <w:tcW w:w="1266"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78"/>
              <w:jc w:val="right"/>
              <w:rPr>
                <w:rFonts w:ascii="Times New Roman" w:hAnsi="Times New Roman" w:cs="Times New Roman" w:eastAsia="Times New Roman" w:hint="default"/>
                <w:sz w:val="18"/>
                <w:szCs w:val="18"/>
              </w:rPr>
            </w:pPr>
            <w:r>
              <w:rPr>
                <w:rFonts w:ascii="Times New Roman"/>
                <w:spacing w:val="-1"/>
                <w:sz w:val="18"/>
              </w:rPr>
              <w:t>52,500.00</w:t>
            </w:r>
          </w:p>
        </w:tc>
        <w:tc>
          <w:tcPr>
            <w:tcW w:w="119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65" w:right="0"/>
              <w:jc w:val="center"/>
              <w:rPr>
                <w:rFonts w:ascii="Times New Roman" w:hAnsi="Times New Roman" w:cs="Times New Roman" w:eastAsia="Times New Roman" w:hint="default"/>
                <w:sz w:val="18"/>
                <w:szCs w:val="18"/>
              </w:rPr>
            </w:pPr>
            <w:r>
              <w:rPr>
                <w:rFonts w:ascii="Times New Roman"/>
                <w:sz w:val="18"/>
              </w:rPr>
              <w:t>100.00</w:t>
            </w:r>
          </w:p>
        </w:tc>
        <w:tc>
          <w:tcPr>
            <w:tcW w:w="141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66" w:right="0"/>
              <w:jc w:val="center"/>
              <w:rPr>
                <w:rFonts w:ascii="宋体" w:hAnsi="宋体" w:cs="宋体" w:eastAsia="宋体" w:hint="default"/>
                <w:sz w:val="18"/>
                <w:szCs w:val="18"/>
              </w:rPr>
            </w:pPr>
            <w:r>
              <w:rPr>
                <w:rFonts w:ascii="宋体" w:hAnsi="宋体" w:cs="宋体" w:eastAsia="宋体" w:hint="default"/>
                <w:sz w:val="18"/>
                <w:szCs w:val="18"/>
              </w:rPr>
              <w:t>预计不能收回</w:t>
            </w:r>
          </w:p>
        </w:tc>
      </w:tr>
      <w:tr>
        <w:trPr>
          <w:trHeight w:val="400"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99" w:right="0"/>
              <w:jc w:val="left"/>
              <w:rPr>
                <w:rFonts w:ascii="Times New Roman" w:hAnsi="Times New Roman" w:cs="Times New Roman" w:eastAsia="Times New Roman" w:hint="default"/>
                <w:sz w:val="18"/>
                <w:szCs w:val="18"/>
              </w:rPr>
            </w:pPr>
            <w:r>
              <w:rPr>
                <w:rFonts w:ascii="Times New Roman"/>
                <w:sz w:val="18"/>
              </w:rPr>
              <w:t>Converge</w:t>
            </w:r>
            <w:r>
              <w:rPr>
                <w:rFonts w:ascii="Times New Roman"/>
                <w:spacing w:val="-7"/>
                <w:sz w:val="18"/>
              </w:rPr>
              <w:t> </w:t>
            </w:r>
            <w:r>
              <w:rPr>
                <w:rFonts w:ascii="Times New Roman"/>
                <w:sz w:val="18"/>
              </w:rPr>
              <w:t>Technologies</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4" w:right="0"/>
              <w:jc w:val="center"/>
              <w:rPr>
                <w:rFonts w:ascii="Times New Roman" w:hAnsi="Times New Roman" w:cs="Times New Roman" w:eastAsia="Times New Roman" w:hint="default"/>
                <w:sz w:val="18"/>
                <w:szCs w:val="18"/>
              </w:rPr>
            </w:pPr>
            <w:r>
              <w:rPr>
                <w:rFonts w:ascii="Times New Roman"/>
                <w:sz w:val="18"/>
              </w:rPr>
              <w:t>30,334.79</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79"/>
              <w:jc w:val="right"/>
              <w:rPr>
                <w:rFonts w:ascii="Times New Roman" w:hAnsi="Times New Roman" w:cs="Times New Roman" w:eastAsia="Times New Roman" w:hint="default"/>
                <w:sz w:val="18"/>
                <w:szCs w:val="18"/>
              </w:rPr>
            </w:pPr>
            <w:r>
              <w:rPr>
                <w:rFonts w:ascii="Times New Roman"/>
                <w:spacing w:val="-1"/>
                <w:sz w:val="18"/>
              </w:rPr>
              <w:t>30,334.79</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5" w:right="0"/>
              <w:jc w:val="center"/>
              <w:rPr>
                <w:rFonts w:ascii="Times New Roman" w:hAnsi="Times New Roman" w:cs="Times New Roman" w:eastAsia="Times New Roman" w:hint="default"/>
                <w:sz w:val="18"/>
                <w:szCs w:val="18"/>
              </w:rPr>
            </w:pPr>
            <w:r>
              <w:rPr>
                <w:rFonts w:ascii="Times New Roman"/>
                <w:sz w:val="18"/>
              </w:rPr>
              <w:t>100.00</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66" w:right="0"/>
              <w:jc w:val="center"/>
              <w:rPr>
                <w:rFonts w:ascii="宋体" w:hAnsi="宋体" w:cs="宋体" w:eastAsia="宋体" w:hint="default"/>
                <w:sz w:val="18"/>
                <w:szCs w:val="18"/>
              </w:rPr>
            </w:pPr>
            <w:r>
              <w:rPr>
                <w:rFonts w:ascii="宋体" w:hAnsi="宋体" w:cs="宋体" w:eastAsia="宋体" w:hint="default"/>
                <w:sz w:val="18"/>
                <w:szCs w:val="18"/>
              </w:rPr>
              <w:t>预计不能收回</w:t>
            </w:r>
          </w:p>
        </w:tc>
      </w:tr>
      <w:tr>
        <w:trPr>
          <w:trHeight w:val="310"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99" w:right="0"/>
              <w:jc w:val="left"/>
              <w:rPr>
                <w:rFonts w:ascii="Times New Roman" w:hAnsi="Times New Roman" w:cs="Times New Roman" w:eastAsia="Times New Roman" w:hint="default"/>
                <w:sz w:val="18"/>
                <w:szCs w:val="18"/>
              </w:rPr>
            </w:pPr>
            <w:r>
              <w:rPr>
                <w:rFonts w:ascii="Times New Roman"/>
                <w:sz w:val="18"/>
              </w:rPr>
              <w:t>Wintel</w:t>
            </w:r>
            <w:r>
              <w:rPr>
                <w:rFonts w:ascii="Times New Roman"/>
                <w:spacing w:val="-10"/>
                <w:sz w:val="18"/>
              </w:rPr>
              <w:t> </w:t>
            </w:r>
            <w:r>
              <w:rPr>
                <w:rFonts w:ascii="Times New Roman"/>
                <w:sz w:val="18"/>
              </w:rPr>
              <w:t>limited(BDA)</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91" w:right="0"/>
              <w:jc w:val="center"/>
              <w:rPr>
                <w:rFonts w:ascii="Times New Roman" w:hAnsi="Times New Roman" w:cs="Times New Roman" w:eastAsia="Times New Roman" w:hint="default"/>
                <w:sz w:val="18"/>
                <w:szCs w:val="18"/>
              </w:rPr>
            </w:pPr>
            <w:r>
              <w:rPr>
                <w:rFonts w:ascii="Times New Roman"/>
                <w:sz w:val="18"/>
              </w:rPr>
              <w:t>9,550.27</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1"/>
              <w:jc w:val="right"/>
              <w:rPr>
                <w:rFonts w:ascii="Times New Roman" w:hAnsi="Times New Roman" w:cs="Times New Roman" w:eastAsia="Times New Roman" w:hint="default"/>
                <w:sz w:val="18"/>
                <w:szCs w:val="18"/>
              </w:rPr>
            </w:pPr>
            <w:r>
              <w:rPr>
                <w:rFonts w:ascii="Times New Roman"/>
                <w:spacing w:val="-1"/>
                <w:sz w:val="18"/>
              </w:rPr>
              <w:t>9,550.27</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65" w:right="0"/>
              <w:jc w:val="center"/>
              <w:rPr>
                <w:rFonts w:ascii="Times New Roman" w:hAnsi="Times New Roman" w:cs="Times New Roman" w:eastAsia="Times New Roman" w:hint="default"/>
                <w:sz w:val="18"/>
                <w:szCs w:val="18"/>
              </w:rPr>
            </w:pPr>
            <w:r>
              <w:rPr>
                <w:rFonts w:ascii="Times New Roman"/>
                <w:sz w:val="18"/>
              </w:rPr>
              <w:t>100.00</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6" w:right="0"/>
              <w:jc w:val="center"/>
              <w:rPr>
                <w:rFonts w:ascii="宋体" w:hAnsi="宋体" w:cs="宋体" w:eastAsia="宋体" w:hint="default"/>
                <w:sz w:val="18"/>
                <w:szCs w:val="18"/>
              </w:rPr>
            </w:pPr>
            <w:r>
              <w:rPr>
                <w:rFonts w:ascii="宋体" w:hAnsi="宋体" w:cs="宋体" w:eastAsia="宋体" w:hint="default"/>
                <w:sz w:val="18"/>
                <w:szCs w:val="18"/>
              </w:rPr>
              <w:t>预计不能收回</w:t>
            </w:r>
          </w:p>
        </w:tc>
      </w:tr>
    </w:tbl>
    <w:p>
      <w:pPr>
        <w:spacing w:after="0" w:line="240" w:lineRule="auto"/>
        <w:jc w:val="center"/>
        <w:rPr>
          <w:rFonts w:ascii="宋体" w:hAnsi="宋体" w:cs="宋体" w:eastAsia="宋体" w:hint="default"/>
          <w:sz w:val="18"/>
          <w:szCs w:val="18"/>
        </w:rPr>
        <w:sectPr>
          <w:type w:val="continuous"/>
          <w:pgSz w:w="11910" w:h="16840"/>
          <w:pgMar w:top="1580" w:bottom="1140" w:left="1440" w:right="1300"/>
        </w:sectPr>
      </w:pPr>
    </w:p>
    <w:p>
      <w:pPr>
        <w:spacing w:line="240" w:lineRule="auto" w:before="10"/>
        <w:rPr>
          <w:rFonts w:ascii="宋体" w:hAnsi="宋体" w:cs="宋体" w:eastAsia="宋体" w:hint="default"/>
          <w:sz w:val="5"/>
          <w:szCs w:val="5"/>
        </w:rPr>
      </w:pPr>
    </w:p>
    <w:tbl>
      <w:tblPr>
        <w:tblW w:w="0" w:type="auto"/>
        <w:jc w:val="left"/>
        <w:tblInd w:w="252" w:type="dxa"/>
        <w:tblLayout w:type="fixed"/>
        <w:tblCellMar>
          <w:top w:w="0" w:type="dxa"/>
          <w:left w:w="0" w:type="dxa"/>
          <w:bottom w:w="0" w:type="dxa"/>
          <w:right w:w="0" w:type="dxa"/>
        </w:tblCellMar>
        <w:tblLook w:val="01E0"/>
      </w:tblPr>
      <w:tblGrid>
        <w:gridCol w:w="3332"/>
        <w:gridCol w:w="1599"/>
        <w:gridCol w:w="1260"/>
        <w:gridCol w:w="1191"/>
        <w:gridCol w:w="1415"/>
      </w:tblGrid>
      <w:tr>
        <w:trPr>
          <w:trHeight w:val="632" w:hRule="exact"/>
        </w:trPr>
        <w:tc>
          <w:tcPr>
            <w:tcW w:w="3332"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1291" w:right="0"/>
              <w:jc w:val="left"/>
              <w:rPr>
                <w:rFonts w:ascii="宋体" w:hAnsi="宋体" w:cs="宋体" w:eastAsia="宋体" w:hint="default"/>
                <w:sz w:val="18"/>
                <w:szCs w:val="18"/>
              </w:rPr>
            </w:pPr>
            <w:r>
              <w:rPr>
                <w:rFonts w:ascii="宋体" w:hAnsi="宋体" w:cs="宋体" w:eastAsia="宋体" w:hint="default"/>
                <w:b/>
                <w:bCs/>
                <w:sz w:val="18"/>
                <w:szCs w:val="18"/>
              </w:rPr>
              <w:t>应收账款单位</w:t>
            </w:r>
            <w:r>
              <w:rPr>
                <w:rFonts w:ascii="宋体" w:hAnsi="宋体" w:cs="宋体" w:eastAsia="宋体" w:hint="default"/>
                <w:sz w:val="18"/>
                <w:szCs w:val="18"/>
              </w:rPr>
            </w:r>
          </w:p>
        </w:tc>
        <w:tc>
          <w:tcPr>
            <w:tcW w:w="1599"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268"/>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265"/>
              <w:jc w:val="right"/>
              <w:rPr>
                <w:rFonts w:ascii="宋体" w:hAnsi="宋体" w:cs="宋体" w:eastAsia="宋体" w:hint="default"/>
                <w:sz w:val="18"/>
                <w:szCs w:val="18"/>
              </w:rPr>
            </w:pPr>
            <w:r>
              <w:rPr>
                <w:rFonts w:ascii="宋体" w:hAnsi="宋体" w:cs="宋体" w:eastAsia="宋体" w:hint="default"/>
                <w:b/>
                <w:bCs/>
                <w:w w:val="95"/>
                <w:sz w:val="18"/>
                <w:szCs w:val="18"/>
              </w:rPr>
              <w:t>坏账金额</w:t>
            </w:r>
            <w:r>
              <w:rPr>
                <w:rFonts w:ascii="宋体" w:hAnsi="宋体" w:cs="宋体" w:eastAsia="宋体" w:hint="default"/>
                <w:sz w:val="18"/>
                <w:szCs w:val="18"/>
              </w:rPr>
            </w:r>
          </w:p>
        </w:tc>
        <w:tc>
          <w:tcPr>
            <w:tcW w:w="1191" w:type="dxa"/>
            <w:tcBorders>
              <w:top w:val="nil" w:sz="6" w:space="0" w:color="auto"/>
              <w:left w:val="nil" w:sz="6" w:space="0" w:color="auto"/>
              <w:bottom w:val="single" w:sz="4" w:space="0" w:color="000000"/>
              <w:right w:val="nil" w:sz="6" w:space="0" w:color="auto"/>
            </w:tcBorders>
          </w:tcPr>
          <w:p>
            <w:pPr>
              <w:pStyle w:val="TableParagraph"/>
              <w:spacing w:line="180" w:lineRule="exact"/>
              <w:ind w:left="267"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122"/>
              <w:ind w:left="35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15"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68" w:right="0"/>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07" w:hRule="exact"/>
        </w:trPr>
        <w:tc>
          <w:tcPr>
            <w:tcW w:w="333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199" w:right="0"/>
              <w:jc w:val="left"/>
              <w:rPr>
                <w:rFonts w:ascii="Times New Roman" w:hAnsi="Times New Roman" w:cs="Times New Roman" w:eastAsia="Times New Roman" w:hint="default"/>
                <w:sz w:val="18"/>
                <w:szCs w:val="18"/>
              </w:rPr>
            </w:pPr>
            <w:r>
              <w:rPr>
                <w:rFonts w:ascii="Times New Roman"/>
                <w:sz w:val="18"/>
              </w:rPr>
              <w:t>VAS2NETS Technologies</w:t>
            </w:r>
            <w:r>
              <w:rPr>
                <w:rFonts w:ascii="Times New Roman"/>
                <w:spacing w:val="-11"/>
                <w:sz w:val="18"/>
              </w:rPr>
              <w:t> </w:t>
            </w:r>
            <w:r>
              <w:rPr>
                <w:rFonts w:ascii="Times New Roman"/>
                <w:sz w:val="18"/>
              </w:rPr>
              <w:t>Limited</w:t>
            </w:r>
          </w:p>
        </w:tc>
        <w:tc>
          <w:tcPr>
            <w:tcW w:w="159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82"/>
              <w:jc w:val="right"/>
              <w:rPr>
                <w:rFonts w:ascii="Times New Roman" w:hAnsi="Times New Roman" w:cs="Times New Roman" w:eastAsia="Times New Roman" w:hint="default"/>
                <w:sz w:val="18"/>
                <w:szCs w:val="18"/>
              </w:rPr>
            </w:pPr>
            <w:r>
              <w:rPr>
                <w:rFonts w:ascii="Times New Roman"/>
                <w:spacing w:val="-1"/>
                <w:sz w:val="18"/>
              </w:rPr>
              <w:t>2,301.85</w:t>
            </w: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81"/>
              <w:jc w:val="right"/>
              <w:rPr>
                <w:rFonts w:ascii="Times New Roman" w:hAnsi="Times New Roman" w:cs="Times New Roman" w:eastAsia="Times New Roman" w:hint="default"/>
                <w:sz w:val="18"/>
                <w:szCs w:val="18"/>
              </w:rPr>
            </w:pPr>
            <w:r>
              <w:rPr>
                <w:rFonts w:ascii="Times New Roman"/>
                <w:spacing w:val="-1"/>
                <w:sz w:val="18"/>
              </w:rPr>
              <w:t>2,301.85</w:t>
            </w:r>
          </w:p>
        </w:tc>
        <w:tc>
          <w:tcPr>
            <w:tcW w:w="119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65" w:right="0"/>
              <w:jc w:val="center"/>
              <w:rPr>
                <w:rFonts w:ascii="Times New Roman" w:hAnsi="Times New Roman" w:cs="Times New Roman" w:eastAsia="Times New Roman" w:hint="default"/>
                <w:sz w:val="18"/>
                <w:szCs w:val="18"/>
              </w:rPr>
            </w:pPr>
            <w:r>
              <w:rPr>
                <w:rFonts w:ascii="Times New Roman"/>
                <w:sz w:val="18"/>
              </w:rPr>
              <w:t>100.00</w:t>
            </w:r>
          </w:p>
        </w:tc>
        <w:tc>
          <w:tcPr>
            <w:tcW w:w="141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66" w:right="0"/>
              <w:jc w:val="center"/>
              <w:rPr>
                <w:rFonts w:ascii="宋体" w:hAnsi="宋体" w:cs="宋体" w:eastAsia="宋体" w:hint="default"/>
                <w:sz w:val="18"/>
                <w:szCs w:val="18"/>
              </w:rPr>
            </w:pPr>
            <w:r>
              <w:rPr>
                <w:rFonts w:ascii="宋体" w:hAnsi="宋体" w:cs="宋体" w:eastAsia="宋体" w:hint="default"/>
                <w:sz w:val="18"/>
                <w:szCs w:val="18"/>
              </w:rPr>
              <w:t>预计不能收回</w:t>
            </w:r>
          </w:p>
        </w:tc>
      </w:tr>
      <w:tr>
        <w:trPr>
          <w:trHeight w:val="397" w:hRule="exact"/>
        </w:trPr>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8" w:right="0"/>
              <w:jc w:val="left"/>
              <w:rPr>
                <w:rFonts w:ascii="Times New Roman" w:hAnsi="Times New Roman" w:cs="Times New Roman" w:eastAsia="Times New Roman" w:hint="default"/>
                <w:sz w:val="18"/>
                <w:szCs w:val="18"/>
              </w:rPr>
            </w:pPr>
            <w:r>
              <w:rPr>
                <w:rFonts w:ascii="Times New Roman"/>
                <w:sz w:val="18"/>
              </w:rPr>
              <w:t>Evamp &amp;</w:t>
            </w:r>
            <w:r>
              <w:rPr>
                <w:rFonts w:ascii="Times New Roman"/>
                <w:spacing w:val="-7"/>
                <w:sz w:val="18"/>
              </w:rPr>
              <w:t> </w:t>
            </w:r>
            <w:r>
              <w:rPr>
                <w:rFonts w:ascii="Times New Roman"/>
                <w:sz w:val="18"/>
              </w:rPr>
              <w:t>Saanga</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9"/>
              <w:jc w:val="right"/>
              <w:rPr>
                <w:rFonts w:ascii="Times New Roman" w:hAnsi="Times New Roman" w:cs="Times New Roman" w:eastAsia="Times New Roman" w:hint="default"/>
                <w:sz w:val="18"/>
                <w:szCs w:val="18"/>
              </w:rPr>
            </w:pPr>
            <w:r>
              <w:rPr>
                <w:rFonts w:ascii="Times New Roman"/>
                <w:spacing w:val="-1"/>
                <w:sz w:val="18"/>
              </w:rPr>
              <w:t>791.83</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9"/>
              <w:jc w:val="right"/>
              <w:rPr>
                <w:rFonts w:ascii="Times New Roman" w:hAnsi="Times New Roman" w:cs="Times New Roman" w:eastAsia="Times New Roman" w:hint="default"/>
                <w:sz w:val="18"/>
                <w:szCs w:val="18"/>
              </w:rPr>
            </w:pPr>
            <w:r>
              <w:rPr>
                <w:rFonts w:ascii="Times New Roman"/>
                <w:spacing w:val="-1"/>
                <w:sz w:val="18"/>
              </w:rPr>
              <w:t>791.83</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65" w:right="0"/>
              <w:jc w:val="center"/>
              <w:rPr>
                <w:rFonts w:ascii="Times New Roman" w:hAnsi="Times New Roman" w:cs="Times New Roman" w:eastAsia="Times New Roman" w:hint="default"/>
                <w:sz w:val="18"/>
                <w:szCs w:val="18"/>
              </w:rPr>
            </w:pPr>
            <w:r>
              <w:rPr>
                <w:rFonts w:ascii="Times New Roman"/>
                <w:sz w:val="18"/>
              </w:rPr>
              <w:t>100.00</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6" w:right="0"/>
              <w:jc w:val="center"/>
              <w:rPr>
                <w:rFonts w:ascii="宋体" w:hAnsi="宋体" w:cs="宋体" w:eastAsia="宋体" w:hint="default"/>
                <w:sz w:val="18"/>
                <w:szCs w:val="18"/>
              </w:rPr>
            </w:pPr>
            <w:r>
              <w:rPr>
                <w:rFonts w:ascii="宋体" w:hAnsi="宋体" w:cs="宋体" w:eastAsia="宋体" w:hint="default"/>
                <w:sz w:val="18"/>
                <w:szCs w:val="18"/>
              </w:rPr>
              <w:t>预计不能收回</w:t>
            </w:r>
          </w:p>
        </w:tc>
      </w:tr>
      <w:tr>
        <w:trPr>
          <w:trHeight w:val="321" w:hRule="exact"/>
        </w:trPr>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3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6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95,478.74</w:t>
            </w:r>
            <w:r>
              <w:rPr>
                <w:rFonts w:ascii="Times New Roman"/>
                <w:spacing w:val="-1"/>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6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95,478.74</w:t>
            </w:r>
            <w:r>
              <w:rPr>
                <w:rFonts w:ascii="Times New Roman"/>
                <w:spacing w:val="-1"/>
                <w:sz w:val="18"/>
              </w:rPr>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69"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141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720" w:right="0"/>
        <w:jc w:val="left"/>
      </w:pPr>
      <w:r>
        <w:rPr/>
        <w:t>（</w:t>
      </w:r>
      <w:r>
        <w:rPr>
          <w:rFonts w:ascii="Times New Roman" w:hAnsi="Times New Roman" w:cs="Times New Roman" w:eastAsia="Times New Roman" w:hint="default"/>
        </w:rPr>
        <w:t>5</w:t>
      </w:r>
      <w:r>
        <w:rPr/>
        <w:t>）期末应收账款金额前五名情况</w:t>
      </w:r>
    </w:p>
    <w:p>
      <w:pPr>
        <w:spacing w:line="240" w:lineRule="auto" w:before="0"/>
        <w:rPr>
          <w:rFonts w:ascii="宋体" w:hAnsi="宋体" w:cs="宋体" w:eastAsia="宋体" w:hint="default"/>
          <w:sz w:val="27"/>
          <w:szCs w:val="27"/>
        </w:rPr>
      </w:pPr>
    </w:p>
    <w:tbl>
      <w:tblPr>
        <w:tblW w:w="0" w:type="auto"/>
        <w:jc w:val="left"/>
        <w:tblInd w:w="252" w:type="dxa"/>
        <w:tblLayout w:type="fixed"/>
        <w:tblCellMar>
          <w:top w:w="0" w:type="dxa"/>
          <w:left w:w="0" w:type="dxa"/>
          <w:bottom w:w="0" w:type="dxa"/>
          <w:right w:w="0" w:type="dxa"/>
        </w:tblCellMar>
        <w:tblLook w:val="01E0"/>
      </w:tblPr>
      <w:tblGrid>
        <w:gridCol w:w="2541"/>
        <w:gridCol w:w="1031"/>
        <w:gridCol w:w="1454"/>
        <w:gridCol w:w="1107"/>
        <w:gridCol w:w="1513"/>
        <w:gridCol w:w="1153"/>
      </w:tblGrid>
      <w:tr>
        <w:trPr>
          <w:trHeight w:val="668" w:hRule="exact"/>
        </w:trPr>
        <w:tc>
          <w:tcPr>
            <w:tcW w:w="2541" w:type="dxa"/>
            <w:tcBorders>
              <w:top w:val="nil" w:sz="6" w:space="0" w:color="auto"/>
              <w:left w:val="nil" w:sz="6" w:space="0" w:color="auto"/>
              <w:bottom w:val="single" w:sz="8" w:space="0" w:color="000000"/>
              <w:right w:val="nil" w:sz="6" w:space="0" w:color="auto"/>
            </w:tcBorders>
          </w:tcPr>
          <w:p>
            <w:pPr>
              <w:pStyle w:val="TableParagraph"/>
              <w:spacing w:line="240" w:lineRule="auto" w:before="122"/>
              <w:ind w:left="1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031" w:type="dxa"/>
            <w:tcBorders>
              <w:top w:val="nil" w:sz="6" w:space="0" w:color="auto"/>
              <w:left w:val="nil" w:sz="6" w:space="0" w:color="auto"/>
              <w:bottom w:val="single" w:sz="8" w:space="0" w:color="000000"/>
              <w:right w:val="nil" w:sz="6" w:space="0" w:color="auto"/>
            </w:tcBorders>
          </w:tcPr>
          <w:p>
            <w:pPr>
              <w:pStyle w:val="TableParagraph"/>
              <w:spacing w:line="180" w:lineRule="exact"/>
              <w:ind w:left="272" w:right="0"/>
              <w:jc w:val="left"/>
              <w:rPr>
                <w:rFonts w:ascii="宋体" w:hAnsi="宋体" w:cs="宋体" w:eastAsia="宋体" w:hint="default"/>
                <w:sz w:val="18"/>
                <w:szCs w:val="18"/>
              </w:rPr>
            </w:pPr>
            <w:r>
              <w:rPr>
                <w:rFonts w:ascii="宋体" w:hAnsi="宋体" w:cs="宋体" w:eastAsia="宋体" w:hint="default"/>
                <w:b/>
                <w:bCs/>
                <w:sz w:val="18"/>
                <w:szCs w:val="18"/>
              </w:rPr>
              <w:t>与本公</w:t>
            </w:r>
            <w:r>
              <w:rPr>
                <w:rFonts w:ascii="宋体" w:hAnsi="宋体" w:cs="宋体" w:eastAsia="宋体" w:hint="default"/>
                <w:sz w:val="18"/>
                <w:szCs w:val="18"/>
              </w:rPr>
            </w:r>
          </w:p>
          <w:p>
            <w:pPr>
              <w:pStyle w:val="TableParagraph"/>
              <w:spacing w:line="240" w:lineRule="auto" w:before="122"/>
              <w:ind w:left="272" w:right="0"/>
              <w:jc w:val="left"/>
              <w:rPr>
                <w:rFonts w:ascii="宋体" w:hAnsi="宋体" w:cs="宋体" w:eastAsia="宋体" w:hint="default"/>
                <w:sz w:val="18"/>
                <w:szCs w:val="18"/>
              </w:rPr>
            </w:pPr>
            <w:r>
              <w:rPr>
                <w:rFonts w:ascii="宋体" w:hAnsi="宋体" w:cs="宋体" w:eastAsia="宋体" w:hint="default"/>
                <w:b/>
                <w:bCs/>
                <w:sz w:val="18"/>
                <w:szCs w:val="18"/>
              </w:rPr>
              <w:t>司关系</w:t>
            </w:r>
            <w:r>
              <w:rPr>
                <w:rFonts w:ascii="宋体" w:hAnsi="宋体" w:cs="宋体" w:eastAsia="宋体" w:hint="default"/>
                <w:sz w:val="18"/>
                <w:szCs w:val="18"/>
              </w:rPr>
            </w:r>
          </w:p>
        </w:tc>
        <w:tc>
          <w:tcPr>
            <w:tcW w:w="1454" w:type="dxa"/>
            <w:tcBorders>
              <w:top w:val="nil" w:sz="6" w:space="0" w:color="auto"/>
              <w:left w:val="nil" w:sz="6" w:space="0" w:color="auto"/>
              <w:bottom w:val="single" w:sz="8" w:space="0" w:color="000000"/>
              <w:right w:val="nil" w:sz="6" w:space="0" w:color="auto"/>
            </w:tcBorders>
          </w:tcPr>
          <w:p>
            <w:pPr>
              <w:pStyle w:val="TableParagraph"/>
              <w:spacing w:line="240" w:lineRule="auto" w:before="122"/>
              <w:ind w:left="468"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07" w:type="dxa"/>
            <w:tcBorders>
              <w:top w:val="nil" w:sz="6" w:space="0" w:color="auto"/>
              <w:left w:val="nil" w:sz="6" w:space="0" w:color="auto"/>
              <w:bottom w:val="single" w:sz="8" w:space="0" w:color="000000"/>
              <w:right w:val="nil" w:sz="6" w:space="0" w:color="auto"/>
            </w:tcBorders>
          </w:tcPr>
          <w:p>
            <w:pPr>
              <w:pStyle w:val="TableParagraph"/>
              <w:spacing w:line="240" w:lineRule="auto" w:before="122"/>
              <w:ind w:left="358" w:right="0"/>
              <w:jc w:val="left"/>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513" w:type="dxa"/>
            <w:tcBorders>
              <w:top w:val="nil" w:sz="6" w:space="0" w:color="auto"/>
              <w:left w:val="nil" w:sz="6" w:space="0" w:color="auto"/>
              <w:bottom w:val="single" w:sz="8" w:space="0" w:color="000000"/>
              <w:right w:val="nil" w:sz="6" w:space="0" w:color="auto"/>
            </w:tcBorders>
          </w:tcPr>
          <w:p>
            <w:pPr>
              <w:pStyle w:val="TableParagraph"/>
              <w:spacing w:line="180" w:lineRule="exact"/>
              <w:ind w:left="181" w:right="0" w:firstLine="33"/>
              <w:jc w:val="left"/>
              <w:rPr>
                <w:rFonts w:ascii="宋体" w:hAnsi="宋体" w:cs="宋体" w:eastAsia="宋体" w:hint="default"/>
                <w:sz w:val="18"/>
                <w:szCs w:val="18"/>
              </w:rPr>
            </w:pPr>
            <w:r>
              <w:rPr>
                <w:rFonts w:ascii="宋体" w:hAnsi="宋体" w:cs="宋体" w:eastAsia="宋体" w:hint="default"/>
                <w:b/>
                <w:bCs/>
                <w:sz w:val="18"/>
                <w:szCs w:val="18"/>
              </w:rPr>
              <w:t>占应收账款总</w:t>
            </w:r>
            <w:r>
              <w:rPr>
                <w:rFonts w:ascii="宋体" w:hAnsi="宋体" w:cs="宋体" w:eastAsia="宋体" w:hint="default"/>
                <w:sz w:val="18"/>
                <w:szCs w:val="18"/>
              </w:rPr>
            </w:r>
          </w:p>
          <w:p>
            <w:pPr>
              <w:pStyle w:val="TableParagraph"/>
              <w:spacing w:line="240" w:lineRule="auto" w:before="122"/>
              <w:ind w:left="181" w:right="0"/>
              <w:jc w:val="left"/>
              <w:rPr>
                <w:rFonts w:ascii="宋体" w:hAnsi="宋体" w:cs="宋体" w:eastAsia="宋体" w:hint="default"/>
                <w:sz w:val="18"/>
                <w:szCs w:val="18"/>
              </w:rPr>
            </w:pPr>
            <w:r>
              <w:rPr>
                <w:rFonts w:ascii="宋体" w:hAnsi="宋体" w:cs="宋体" w:eastAsia="宋体" w:hint="default"/>
                <w:b/>
                <w:bCs/>
                <w:spacing w:val="-3"/>
                <w:sz w:val="18"/>
                <w:szCs w:val="18"/>
              </w:rPr>
              <w:t>额的比例（</w:t>
            </w:r>
            <w:r>
              <w:rPr>
                <w:rFonts w:ascii="Times New Roman" w:hAnsi="Times New Roman" w:cs="Times New Roman" w:eastAsia="Times New Roman" w:hint="default"/>
                <w:b/>
                <w:bCs/>
                <w:spacing w:val="-3"/>
                <w:sz w:val="18"/>
                <w:szCs w:val="18"/>
              </w:rPr>
              <w:t>%</w:t>
            </w:r>
            <w:r>
              <w:rPr>
                <w:rFonts w:ascii="宋体" w:hAnsi="宋体" w:cs="宋体" w:eastAsia="宋体" w:hint="default"/>
                <w:b/>
                <w:bCs/>
                <w:spacing w:val="-3"/>
                <w:sz w:val="18"/>
                <w:szCs w:val="18"/>
              </w:rPr>
              <w:t>）</w:t>
            </w:r>
            <w:r>
              <w:rPr>
                <w:rFonts w:ascii="宋体" w:hAnsi="宋体" w:cs="宋体" w:eastAsia="宋体" w:hint="default"/>
                <w:spacing w:val="-3"/>
                <w:sz w:val="18"/>
                <w:szCs w:val="18"/>
              </w:rPr>
            </w:r>
          </w:p>
        </w:tc>
        <w:tc>
          <w:tcPr>
            <w:tcW w:w="1153" w:type="dxa"/>
            <w:tcBorders>
              <w:top w:val="nil" w:sz="6" w:space="0" w:color="auto"/>
              <w:left w:val="nil" w:sz="6" w:space="0" w:color="auto"/>
              <w:bottom w:val="single" w:sz="8" w:space="0" w:color="000000"/>
              <w:right w:val="nil" w:sz="6" w:space="0" w:color="auto"/>
            </w:tcBorders>
          </w:tcPr>
          <w:p>
            <w:pPr>
              <w:pStyle w:val="TableParagraph"/>
              <w:spacing w:line="180" w:lineRule="exact"/>
              <w:ind w:right="69"/>
              <w:jc w:val="center"/>
              <w:rPr>
                <w:rFonts w:ascii="宋体" w:hAnsi="宋体" w:cs="宋体" w:eastAsia="宋体" w:hint="default"/>
                <w:sz w:val="18"/>
                <w:szCs w:val="18"/>
              </w:rPr>
            </w:pPr>
            <w:r>
              <w:rPr>
                <w:rFonts w:ascii="宋体" w:hAnsi="宋体" w:cs="宋体" w:eastAsia="宋体" w:hint="default"/>
                <w:b/>
                <w:bCs/>
                <w:sz w:val="18"/>
                <w:szCs w:val="18"/>
              </w:rPr>
              <w:t>坏账准备期</w:t>
            </w:r>
            <w:r>
              <w:rPr>
                <w:rFonts w:ascii="宋体" w:hAnsi="宋体" w:cs="宋体" w:eastAsia="宋体" w:hint="default"/>
                <w:sz w:val="18"/>
                <w:szCs w:val="18"/>
              </w:rPr>
            </w:r>
          </w:p>
          <w:p>
            <w:pPr>
              <w:pStyle w:val="TableParagraph"/>
              <w:spacing w:line="240" w:lineRule="auto" w:before="122"/>
              <w:ind w:right="69"/>
              <w:jc w:val="center"/>
              <w:rPr>
                <w:rFonts w:ascii="宋体" w:hAnsi="宋体" w:cs="宋体" w:eastAsia="宋体" w:hint="default"/>
                <w:sz w:val="18"/>
                <w:szCs w:val="18"/>
              </w:rPr>
            </w:pPr>
            <w:r>
              <w:rPr>
                <w:rFonts w:ascii="宋体" w:hAnsi="宋体" w:cs="宋体" w:eastAsia="宋体" w:hint="default"/>
                <w:b/>
                <w:bCs/>
                <w:sz w:val="18"/>
                <w:szCs w:val="18"/>
              </w:rPr>
              <w:t>末余额</w:t>
            </w:r>
            <w:r>
              <w:rPr>
                <w:rFonts w:ascii="宋体" w:hAnsi="宋体" w:cs="宋体" w:eastAsia="宋体" w:hint="default"/>
                <w:sz w:val="18"/>
                <w:szCs w:val="18"/>
              </w:rPr>
            </w:r>
          </w:p>
        </w:tc>
      </w:tr>
      <w:tr>
        <w:trPr>
          <w:trHeight w:val="389" w:hRule="exact"/>
        </w:trPr>
        <w:tc>
          <w:tcPr>
            <w:tcW w:w="2541" w:type="dxa"/>
            <w:tcBorders>
              <w:top w:val="single" w:sz="8" w:space="0" w:color="000000"/>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天津百度紫桐科技有限公司</w:t>
            </w:r>
          </w:p>
        </w:tc>
        <w:tc>
          <w:tcPr>
            <w:tcW w:w="1031" w:type="dxa"/>
            <w:tcBorders>
              <w:top w:val="single" w:sz="8" w:space="0" w:color="000000"/>
              <w:left w:val="nil" w:sz="6" w:space="0" w:color="auto"/>
              <w:bottom w:val="nil" w:sz="6" w:space="0" w:color="auto"/>
              <w:right w:val="nil" w:sz="6" w:space="0" w:color="auto"/>
            </w:tcBorders>
          </w:tcPr>
          <w:p>
            <w:pPr>
              <w:pStyle w:val="TableParagraph"/>
              <w:spacing w:line="240" w:lineRule="auto" w:before="29"/>
              <w:ind w:left="56"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54" w:type="dxa"/>
            <w:tcBorders>
              <w:top w:val="single" w:sz="8" w:space="0" w:color="000000"/>
              <w:left w:val="nil" w:sz="6" w:space="0" w:color="auto"/>
              <w:bottom w:val="nil" w:sz="6" w:space="0" w:color="auto"/>
              <w:right w:val="nil" w:sz="6" w:space="0" w:color="auto"/>
            </w:tcBorders>
          </w:tcPr>
          <w:p>
            <w:pPr>
              <w:pStyle w:val="TableParagraph"/>
              <w:spacing w:line="240" w:lineRule="auto" w:before="72"/>
              <w:ind w:right="202"/>
              <w:jc w:val="right"/>
              <w:rPr>
                <w:rFonts w:ascii="Times New Roman" w:hAnsi="Times New Roman" w:cs="Times New Roman" w:eastAsia="Times New Roman" w:hint="default"/>
                <w:sz w:val="18"/>
                <w:szCs w:val="18"/>
              </w:rPr>
            </w:pPr>
            <w:r>
              <w:rPr>
                <w:rFonts w:ascii="Times New Roman"/>
                <w:spacing w:val="-1"/>
                <w:sz w:val="18"/>
              </w:rPr>
              <w:t>10,204,607.01</w:t>
            </w:r>
          </w:p>
        </w:tc>
        <w:tc>
          <w:tcPr>
            <w:tcW w:w="1107" w:type="dxa"/>
            <w:tcBorders>
              <w:top w:val="single" w:sz="8" w:space="0" w:color="000000"/>
              <w:left w:val="nil" w:sz="6" w:space="0" w:color="auto"/>
              <w:bottom w:val="nil" w:sz="6" w:space="0" w:color="auto"/>
              <w:right w:val="nil" w:sz="6" w:space="0" w:color="auto"/>
            </w:tcBorders>
          </w:tcPr>
          <w:p>
            <w:pPr>
              <w:pStyle w:val="TableParagraph"/>
              <w:spacing w:line="240" w:lineRule="auto" w:before="2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3" w:type="dxa"/>
            <w:tcBorders>
              <w:top w:val="single" w:sz="8" w:space="0" w:color="000000"/>
              <w:left w:val="nil" w:sz="6" w:space="0" w:color="auto"/>
              <w:bottom w:val="nil" w:sz="6" w:space="0" w:color="auto"/>
              <w:right w:val="nil" w:sz="6" w:space="0" w:color="auto"/>
            </w:tcBorders>
          </w:tcPr>
          <w:p>
            <w:pPr>
              <w:pStyle w:val="TableParagraph"/>
              <w:spacing w:line="240" w:lineRule="auto" w:before="72"/>
              <w:ind w:left="553" w:right="0"/>
              <w:jc w:val="left"/>
              <w:rPr>
                <w:rFonts w:ascii="Times New Roman" w:hAnsi="Times New Roman" w:cs="Times New Roman" w:eastAsia="Times New Roman" w:hint="default"/>
                <w:sz w:val="18"/>
                <w:szCs w:val="18"/>
              </w:rPr>
            </w:pPr>
            <w:r>
              <w:rPr>
                <w:rFonts w:ascii="Times New Roman"/>
                <w:sz w:val="18"/>
              </w:rPr>
              <w:t>16.05</w:t>
            </w:r>
          </w:p>
        </w:tc>
        <w:tc>
          <w:tcPr>
            <w:tcW w:w="1153" w:type="dxa"/>
            <w:tcBorders>
              <w:top w:val="single" w:sz="8" w:space="0" w:color="000000"/>
              <w:left w:val="nil" w:sz="6" w:space="0" w:color="auto"/>
              <w:bottom w:val="nil" w:sz="6" w:space="0" w:color="auto"/>
              <w:right w:val="nil" w:sz="6" w:space="0" w:color="auto"/>
            </w:tcBorders>
          </w:tcPr>
          <w:p>
            <w:pPr>
              <w:pStyle w:val="TableParagraph"/>
              <w:spacing w:line="240" w:lineRule="auto" w:before="72"/>
              <w:ind w:right="108"/>
              <w:jc w:val="right"/>
              <w:rPr>
                <w:rFonts w:ascii="Times New Roman" w:hAnsi="Times New Roman" w:cs="Times New Roman" w:eastAsia="Times New Roman" w:hint="default"/>
                <w:sz w:val="18"/>
                <w:szCs w:val="18"/>
              </w:rPr>
            </w:pPr>
            <w:r>
              <w:rPr>
                <w:rFonts w:ascii="Times New Roman"/>
                <w:spacing w:val="-1"/>
                <w:sz w:val="18"/>
              </w:rPr>
              <w:t>510,230.35</w:t>
            </w:r>
          </w:p>
        </w:tc>
      </w:tr>
      <w:tr>
        <w:trPr>
          <w:trHeight w:val="397"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北京卓易讯畅科技有限公司</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6"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3"/>
              <w:jc w:val="right"/>
              <w:rPr>
                <w:rFonts w:ascii="Times New Roman" w:hAnsi="Times New Roman" w:cs="Times New Roman" w:eastAsia="Times New Roman" w:hint="default"/>
                <w:sz w:val="18"/>
                <w:szCs w:val="18"/>
              </w:rPr>
            </w:pPr>
            <w:r>
              <w:rPr>
                <w:rFonts w:ascii="Times New Roman"/>
                <w:spacing w:val="-1"/>
                <w:sz w:val="18"/>
              </w:rPr>
              <w:t>4,902,374.79</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98" w:right="0"/>
              <w:jc w:val="left"/>
              <w:rPr>
                <w:rFonts w:ascii="Times New Roman" w:hAnsi="Times New Roman" w:cs="Times New Roman" w:eastAsia="Times New Roman" w:hint="default"/>
                <w:sz w:val="18"/>
                <w:szCs w:val="18"/>
              </w:rPr>
            </w:pPr>
            <w:r>
              <w:rPr>
                <w:rFonts w:ascii="Times New Roman"/>
                <w:sz w:val="18"/>
              </w:rPr>
              <w:t>7.71</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245,118.74</w:t>
            </w:r>
          </w:p>
        </w:tc>
      </w:tr>
      <w:tr>
        <w:trPr>
          <w:trHeight w:val="396"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福建靠谱网络有限公司</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6"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3"/>
              <w:jc w:val="right"/>
              <w:rPr>
                <w:rFonts w:ascii="Times New Roman" w:hAnsi="Times New Roman" w:cs="Times New Roman" w:eastAsia="Times New Roman" w:hint="default"/>
                <w:sz w:val="18"/>
                <w:szCs w:val="18"/>
              </w:rPr>
            </w:pPr>
            <w:r>
              <w:rPr>
                <w:rFonts w:ascii="Times New Roman"/>
                <w:spacing w:val="-1"/>
                <w:sz w:val="18"/>
              </w:rPr>
              <w:t>4,700,495.75</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98" w:right="0"/>
              <w:jc w:val="left"/>
              <w:rPr>
                <w:rFonts w:ascii="Times New Roman" w:hAnsi="Times New Roman" w:cs="Times New Roman" w:eastAsia="Times New Roman" w:hint="default"/>
                <w:sz w:val="18"/>
                <w:szCs w:val="18"/>
              </w:rPr>
            </w:pPr>
            <w:r>
              <w:rPr>
                <w:rFonts w:ascii="Times New Roman"/>
                <w:sz w:val="18"/>
              </w:rPr>
              <w:t>7.39</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8"/>
              <w:jc w:val="right"/>
              <w:rPr>
                <w:rFonts w:ascii="Times New Roman" w:hAnsi="Times New Roman" w:cs="Times New Roman" w:eastAsia="Times New Roman" w:hint="default"/>
                <w:sz w:val="18"/>
                <w:szCs w:val="18"/>
              </w:rPr>
            </w:pPr>
            <w:r>
              <w:rPr>
                <w:rFonts w:ascii="Times New Roman"/>
                <w:spacing w:val="-1"/>
                <w:sz w:val="18"/>
              </w:rPr>
              <w:t>235,024.79</w:t>
            </w:r>
          </w:p>
        </w:tc>
      </w:tr>
      <w:tr>
        <w:trPr>
          <w:trHeight w:val="397"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湖南省新闻出版广电局</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6"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0"/>
              <w:jc w:val="right"/>
              <w:rPr>
                <w:rFonts w:ascii="Times New Roman" w:hAnsi="Times New Roman" w:cs="Times New Roman" w:eastAsia="Times New Roman" w:hint="default"/>
                <w:sz w:val="18"/>
                <w:szCs w:val="18"/>
              </w:rPr>
            </w:pPr>
            <w:r>
              <w:rPr>
                <w:rFonts w:ascii="Times New Roman"/>
                <w:spacing w:val="-1"/>
                <w:sz w:val="18"/>
              </w:rPr>
              <w:t>4,511,200.00</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98" w:right="0"/>
              <w:jc w:val="left"/>
              <w:rPr>
                <w:rFonts w:ascii="Times New Roman" w:hAnsi="Times New Roman" w:cs="Times New Roman" w:eastAsia="Times New Roman" w:hint="default"/>
                <w:sz w:val="18"/>
                <w:szCs w:val="18"/>
              </w:rPr>
            </w:pPr>
            <w:r>
              <w:rPr>
                <w:rFonts w:ascii="Times New Roman"/>
                <w:sz w:val="18"/>
              </w:rPr>
              <w:t>7.10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45,112.00</w:t>
            </w:r>
          </w:p>
        </w:tc>
      </w:tr>
      <w:tr>
        <w:trPr>
          <w:trHeight w:val="404"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苹果在线商店</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6"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0"/>
              <w:jc w:val="right"/>
              <w:rPr>
                <w:rFonts w:ascii="Times New Roman" w:hAnsi="Times New Roman" w:cs="Times New Roman" w:eastAsia="Times New Roman" w:hint="default"/>
                <w:sz w:val="18"/>
                <w:szCs w:val="18"/>
              </w:rPr>
            </w:pPr>
            <w:r>
              <w:rPr>
                <w:rFonts w:ascii="Times New Roman"/>
                <w:spacing w:val="-1"/>
                <w:sz w:val="18"/>
              </w:rPr>
              <w:t>3,667,944.29</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98" w:right="0"/>
              <w:jc w:val="left"/>
              <w:rPr>
                <w:rFonts w:ascii="Times New Roman" w:hAnsi="Times New Roman" w:cs="Times New Roman" w:eastAsia="Times New Roman" w:hint="default"/>
                <w:sz w:val="18"/>
                <w:szCs w:val="18"/>
              </w:rPr>
            </w:pPr>
            <w:r>
              <w:rPr>
                <w:rFonts w:ascii="Times New Roman"/>
                <w:sz w:val="18"/>
              </w:rPr>
              <w:t>5.77</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183,397.21</w:t>
            </w:r>
          </w:p>
        </w:tc>
      </w:tr>
      <w:tr>
        <w:trPr>
          <w:trHeight w:val="323" w:hRule="exact"/>
        </w:trPr>
        <w:tc>
          <w:tcPr>
            <w:tcW w:w="254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31"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27,986,621.84</w:t>
            </w:r>
            <w:r>
              <w:rPr>
                <w:rFonts w:ascii="Times New Roman"/>
                <w:spacing w:val="-1"/>
                <w:sz w:val="18"/>
              </w:rPr>
            </w:r>
          </w:p>
        </w:tc>
        <w:tc>
          <w:tcPr>
            <w:tcW w:w="1107"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5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44.02</w:t>
            </w:r>
            <w:r>
              <w:rPr>
                <w:rFonts w:ascii="Times New Roman"/>
                <w:sz w:val="18"/>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1,218,883.09</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720" w:right="0"/>
        <w:jc w:val="left"/>
      </w:pPr>
      <w:r>
        <w:rPr/>
        <w:t>（</w:t>
      </w:r>
      <w:r>
        <w:rPr>
          <w:rFonts w:ascii="Times New Roman" w:hAnsi="Times New Roman" w:cs="Times New Roman" w:eastAsia="Times New Roman" w:hint="default"/>
        </w:rPr>
        <w:t>6</w:t>
      </w:r>
      <w:r>
        <w:rPr/>
        <w:t>）本期应收账款计提、收回或转回的坏账准备情况</w:t>
      </w:r>
    </w:p>
    <w:p>
      <w:pPr>
        <w:spacing w:line="240" w:lineRule="auto" w:before="6"/>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701"/>
        <w:gridCol w:w="4096"/>
      </w:tblGrid>
      <w:tr>
        <w:trPr>
          <w:trHeight w:val="275" w:hRule="exact"/>
        </w:trPr>
        <w:tc>
          <w:tcPr>
            <w:tcW w:w="4701" w:type="dxa"/>
            <w:tcBorders>
              <w:top w:val="nil" w:sz="6" w:space="0" w:color="auto"/>
              <w:left w:val="nil" w:sz="6" w:space="0" w:color="auto"/>
              <w:bottom w:val="single" w:sz="4" w:space="0" w:color="000000"/>
              <w:right w:val="nil" w:sz="6" w:space="0" w:color="auto"/>
            </w:tcBorders>
          </w:tcPr>
          <w:p>
            <w:pPr>
              <w:pStyle w:val="TableParagraph"/>
              <w:spacing w:line="180" w:lineRule="exact"/>
              <w:ind w:left="36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096" w:type="dxa"/>
            <w:tcBorders>
              <w:top w:val="nil" w:sz="6" w:space="0" w:color="auto"/>
              <w:left w:val="nil" w:sz="6" w:space="0" w:color="auto"/>
              <w:bottom w:val="single" w:sz="4" w:space="0" w:color="000000"/>
              <w:right w:val="nil" w:sz="6" w:space="0" w:color="auto"/>
            </w:tcBorders>
          </w:tcPr>
          <w:p>
            <w:pPr>
              <w:pStyle w:val="TableParagraph"/>
              <w:spacing w:line="180" w:lineRule="exact"/>
              <w:ind w:left="363"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431" w:hRule="exact"/>
        </w:trPr>
        <w:tc>
          <w:tcPr>
            <w:tcW w:w="470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本期计提应收账款坏账准备</w:t>
            </w:r>
          </w:p>
        </w:tc>
        <w:tc>
          <w:tcPr>
            <w:tcW w:w="409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712" w:right="0"/>
              <w:jc w:val="left"/>
              <w:rPr>
                <w:rFonts w:ascii="Times New Roman" w:hAnsi="Times New Roman" w:cs="Times New Roman" w:eastAsia="Times New Roman" w:hint="default"/>
                <w:sz w:val="18"/>
                <w:szCs w:val="18"/>
              </w:rPr>
            </w:pPr>
            <w:r>
              <w:rPr>
                <w:rFonts w:ascii="Times New Roman"/>
                <w:sz w:val="18"/>
              </w:rPr>
              <w:t>10,272,161.78</w:t>
            </w:r>
          </w:p>
        </w:tc>
      </w:tr>
      <w:tr>
        <w:trPr>
          <w:trHeight w:val="305" w:hRule="exact"/>
        </w:trPr>
        <w:tc>
          <w:tcPr>
            <w:tcW w:w="47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本期收回或转回的应收账款坏账准备</w:t>
            </w:r>
          </w:p>
        </w:tc>
        <w:tc>
          <w:tcPr>
            <w:tcW w:w="40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01"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29"/>
          <w:szCs w:val="29"/>
        </w:rPr>
      </w:pPr>
    </w:p>
    <w:p>
      <w:pPr>
        <w:pStyle w:val="BodyText"/>
        <w:spacing w:line="240" w:lineRule="auto" w:before="44"/>
        <w:ind w:left="720" w:right="0"/>
        <w:jc w:val="left"/>
      </w:pPr>
      <w:r>
        <w:rPr/>
        <w:t>（</w:t>
      </w:r>
      <w:r>
        <w:rPr>
          <w:rFonts w:ascii="Times New Roman" w:hAnsi="Times New Roman" w:cs="Times New Roman" w:eastAsia="Times New Roman" w:hint="default"/>
        </w:rPr>
        <w:t>7</w:t>
      </w:r>
      <w:r>
        <w:rPr/>
        <w:t>）本报告期核销的应收账款</w:t>
      </w:r>
    </w:p>
    <w:p>
      <w:pPr>
        <w:spacing w:line="240" w:lineRule="auto" w:before="9"/>
        <w:rPr>
          <w:rFonts w:ascii="宋体" w:hAnsi="宋体" w:cs="宋体" w:eastAsia="宋体" w:hint="default"/>
          <w:sz w:val="24"/>
          <w:szCs w:val="24"/>
        </w:rPr>
      </w:pPr>
    </w:p>
    <w:tbl>
      <w:tblPr>
        <w:tblW w:w="0" w:type="auto"/>
        <w:jc w:val="left"/>
        <w:tblInd w:w="252" w:type="dxa"/>
        <w:tblLayout w:type="fixed"/>
        <w:tblCellMar>
          <w:top w:w="0" w:type="dxa"/>
          <w:left w:w="0" w:type="dxa"/>
          <w:bottom w:w="0" w:type="dxa"/>
          <w:right w:w="0" w:type="dxa"/>
        </w:tblCellMar>
        <w:tblLook w:val="01E0"/>
      </w:tblPr>
      <w:tblGrid>
        <w:gridCol w:w="3517"/>
        <w:gridCol w:w="2422"/>
        <w:gridCol w:w="2584"/>
      </w:tblGrid>
      <w:tr>
        <w:trPr>
          <w:trHeight w:val="275" w:hRule="exact"/>
        </w:trPr>
        <w:tc>
          <w:tcPr>
            <w:tcW w:w="3517" w:type="dxa"/>
            <w:tcBorders>
              <w:top w:val="nil" w:sz="6" w:space="0" w:color="auto"/>
              <w:left w:val="nil" w:sz="6" w:space="0" w:color="auto"/>
              <w:bottom w:val="single" w:sz="4" w:space="0" w:color="000000"/>
              <w:right w:val="nil" w:sz="6" w:space="0" w:color="auto"/>
            </w:tcBorders>
          </w:tcPr>
          <w:p>
            <w:pPr>
              <w:pStyle w:val="TableParagraph"/>
              <w:spacing w:line="180" w:lineRule="exact"/>
              <w:ind w:right="8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22" w:type="dxa"/>
            <w:tcBorders>
              <w:top w:val="nil" w:sz="6" w:space="0" w:color="auto"/>
              <w:left w:val="nil" w:sz="6" w:space="0" w:color="auto"/>
              <w:bottom w:val="single" w:sz="4" w:space="0" w:color="000000"/>
              <w:right w:val="nil" w:sz="6" w:space="0" w:color="auto"/>
            </w:tcBorders>
          </w:tcPr>
          <w:p>
            <w:pPr>
              <w:pStyle w:val="TableParagraph"/>
              <w:spacing w:line="180" w:lineRule="exact"/>
              <w:ind w:right="55"/>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584" w:type="dxa"/>
            <w:tcBorders>
              <w:top w:val="nil" w:sz="6" w:space="0" w:color="auto"/>
              <w:left w:val="nil" w:sz="6" w:space="0" w:color="auto"/>
              <w:bottom w:val="single" w:sz="4" w:space="0" w:color="000000"/>
              <w:right w:val="nil" w:sz="6" w:space="0" w:color="auto"/>
            </w:tcBorders>
          </w:tcPr>
          <w:p>
            <w:pPr>
              <w:pStyle w:val="TableParagraph"/>
              <w:spacing w:line="180" w:lineRule="exact"/>
              <w:ind w:right="730"/>
              <w:jc w:val="right"/>
              <w:rPr>
                <w:rFonts w:ascii="宋体" w:hAnsi="宋体" w:cs="宋体" w:eastAsia="宋体" w:hint="default"/>
                <w:sz w:val="18"/>
                <w:szCs w:val="18"/>
              </w:rPr>
            </w:pPr>
            <w:r>
              <w:rPr>
                <w:rFonts w:ascii="宋体" w:hAnsi="宋体" w:cs="宋体" w:eastAsia="宋体" w:hint="default"/>
                <w:b/>
                <w:bCs/>
                <w:w w:val="95"/>
                <w:sz w:val="18"/>
                <w:szCs w:val="18"/>
              </w:rPr>
              <w:t>履行核销程序</w:t>
            </w:r>
            <w:r>
              <w:rPr>
                <w:rFonts w:ascii="宋体" w:hAnsi="宋体" w:cs="宋体" w:eastAsia="宋体" w:hint="default"/>
                <w:sz w:val="18"/>
                <w:szCs w:val="18"/>
              </w:rPr>
            </w:r>
          </w:p>
        </w:tc>
      </w:tr>
      <w:tr>
        <w:trPr>
          <w:trHeight w:val="326" w:hRule="exact"/>
        </w:trPr>
        <w:tc>
          <w:tcPr>
            <w:tcW w:w="351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民营渠道客户实际核销的应收账款</w:t>
            </w:r>
          </w:p>
        </w:tc>
        <w:tc>
          <w:tcPr>
            <w:tcW w:w="242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55"/>
              <w:jc w:val="center"/>
              <w:rPr>
                <w:rFonts w:ascii="Times New Roman" w:hAnsi="Times New Roman" w:cs="Times New Roman" w:eastAsia="Times New Roman" w:hint="default"/>
                <w:sz w:val="18"/>
                <w:szCs w:val="18"/>
              </w:rPr>
            </w:pPr>
            <w:r>
              <w:rPr>
                <w:rFonts w:ascii="Times New Roman"/>
                <w:sz w:val="18"/>
              </w:rPr>
              <w:t>2,799,949.66</w:t>
            </w:r>
          </w:p>
        </w:tc>
        <w:tc>
          <w:tcPr>
            <w:tcW w:w="258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732"/>
              <w:jc w:val="right"/>
              <w:rPr>
                <w:rFonts w:ascii="宋体" w:hAnsi="宋体" w:cs="宋体" w:eastAsia="宋体" w:hint="default"/>
                <w:sz w:val="18"/>
                <w:szCs w:val="18"/>
              </w:rPr>
            </w:pPr>
            <w:r>
              <w:rPr>
                <w:rFonts w:ascii="宋体" w:hAnsi="宋体" w:cs="宋体" w:eastAsia="宋体" w:hint="default"/>
                <w:sz w:val="18"/>
                <w:szCs w:val="18"/>
              </w:rPr>
              <w:t>内部核销程序</w:t>
            </w:r>
          </w:p>
        </w:tc>
      </w:tr>
    </w:tbl>
    <w:p>
      <w:pPr>
        <w:spacing w:line="240" w:lineRule="auto" w:before="8"/>
        <w:rPr>
          <w:rFonts w:ascii="宋体" w:hAnsi="宋体" w:cs="宋体" w:eastAsia="宋体" w:hint="default"/>
          <w:sz w:val="20"/>
          <w:szCs w:val="20"/>
        </w:rPr>
      </w:pPr>
    </w:p>
    <w:p>
      <w:pPr>
        <w:pStyle w:val="BodyText"/>
        <w:spacing w:line="240" w:lineRule="auto" w:before="44"/>
        <w:ind w:left="631" w:right="0"/>
        <w:jc w:val="left"/>
      </w:pPr>
      <w:r>
        <w:rPr/>
        <w:t>（</w:t>
      </w:r>
      <w:r>
        <w:rPr>
          <w:rFonts w:ascii="Times New Roman" w:hAnsi="Times New Roman" w:cs="Times New Roman" w:eastAsia="Times New Roman" w:hint="default"/>
        </w:rPr>
        <w:t>8</w:t>
      </w:r>
      <w:r>
        <w:rPr/>
        <w:t>）本报告期因金融资产转移而终止确认的应收账款</w:t>
      </w:r>
    </w:p>
    <w:p>
      <w:pPr>
        <w:spacing w:line="240" w:lineRule="auto" w:before="6"/>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969"/>
        <w:gridCol w:w="2654"/>
        <w:gridCol w:w="3175"/>
      </w:tblGrid>
      <w:tr>
        <w:trPr>
          <w:trHeight w:val="272" w:hRule="exact"/>
        </w:trPr>
        <w:tc>
          <w:tcPr>
            <w:tcW w:w="2969" w:type="dxa"/>
            <w:tcBorders>
              <w:top w:val="nil" w:sz="6" w:space="0" w:color="auto"/>
              <w:left w:val="nil" w:sz="6" w:space="0" w:color="auto"/>
              <w:bottom w:val="single" w:sz="4" w:space="0" w:color="000000"/>
              <w:right w:val="nil" w:sz="6" w:space="0" w:color="auto"/>
            </w:tcBorders>
          </w:tcPr>
          <w:p>
            <w:pPr>
              <w:pStyle w:val="TableParagraph"/>
              <w:spacing w:line="180" w:lineRule="exact"/>
              <w:ind w:left="220"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654" w:type="dxa"/>
            <w:tcBorders>
              <w:top w:val="nil" w:sz="6" w:space="0" w:color="auto"/>
              <w:left w:val="nil" w:sz="6" w:space="0" w:color="auto"/>
              <w:bottom w:val="single" w:sz="4" w:space="0" w:color="000000"/>
              <w:right w:val="nil" w:sz="6" w:space="0" w:color="auto"/>
            </w:tcBorders>
          </w:tcPr>
          <w:p>
            <w:pPr>
              <w:pStyle w:val="TableParagraph"/>
              <w:spacing w:line="180" w:lineRule="exact"/>
              <w:ind w:right="554"/>
              <w:jc w:val="right"/>
              <w:rPr>
                <w:rFonts w:ascii="宋体" w:hAnsi="宋体" w:cs="宋体" w:eastAsia="宋体" w:hint="default"/>
                <w:sz w:val="18"/>
                <w:szCs w:val="18"/>
              </w:rPr>
            </w:pPr>
            <w:r>
              <w:rPr>
                <w:rFonts w:ascii="宋体" w:hAnsi="宋体" w:cs="宋体" w:eastAsia="宋体" w:hint="default"/>
                <w:b/>
                <w:bCs/>
                <w:w w:val="95"/>
                <w:sz w:val="18"/>
                <w:szCs w:val="18"/>
              </w:rPr>
              <w:t>终止确认金额</w:t>
            </w:r>
            <w:r>
              <w:rPr>
                <w:rFonts w:ascii="宋体" w:hAnsi="宋体" w:cs="宋体" w:eastAsia="宋体" w:hint="default"/>
                <w:sz w:val="18"/>
                <w:szCs w:val="18"/>
              </w:rPr>
            </w:r>
          </w:p>
        </w:tc>
        <w:tc>
          <w:tcPr>
            <w:tcW w:w="3175" w:type="dxa"/>
            <w:tcBorders>
              <w:top w:val="nil" w:sz="6" w:space="0" w:color="auto"/>
              <w:left w:val="nil" w:sz="6" w:space="0" w:color="auto"/>
              <w:bottom w:val="single" w:sz="4" w:space="0" w:color="000000"/>
              <w:right w:val="nil" w:sz="6" w:space="0" w:color="auto"/>
            </w:tcBorders>
          </w:tcPr>
          <w:p>
            <w:pPr>
              <w:pStyle w:val="TableParagraph"/>
              <w:spacing w:line="180" w:lineRule="exact"/>
              <w:ind w:left="237" w:right="0"/>
              <w:jc w:val="center"/>
              <w:rPr>
                <w:rFonts w:ascii="宋体" w:hAnsi="宋体" w:cs="宋体" w:eastAsia="宋体" w:hint="default"/>
                <w:sz w:val="18"/>
                <w:szCs w:val="18"/>
              </w:rPr>
            </w:pPr>
            <w:r>
              <w:rPr>
                <w:rFonts w:ascii="宋体" w:hAnsi="宋体" w:cs="宋体" w:eastAsia="宋体" w:hint="default"/>
                <w:b/>
                <w:bCs/>
                <w:sz w:val="18"/>
                <w:szCs w:val="18"/>
              </w:rPr>
              <w:t>与终止确认相关的利得和损失</w:t>
            </w:r>
            <w:r>
              <w:rPr>
                <w:rFonts w:ascii="宋体" w:hAnsi="宋体" w:cs="宋体" w:eastAsia="宋体" w:hint="default"/>
                <w:sz w:val="18"/>
                <w:szCs w:val="18"/>
              </w:rPr>
            </w:r>
          </w:p>
        </w:tc>
      </w:tr>
      <w:tr>
        <w:trPr>
          <w:trHeight w:val="431" w:hRule="exact"/>
        </w:trPr>
        <w:tc>
          <w:tcPr>
            <w:tcW w:w="296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727" w:right="0"/>
              <w:jc w:val="left"/>
              <w:rPr>
                <w:rFonts w:ascii="宋体" w:hAnsi="宋体" w:cs="宋体" w:eastAsia="宋体" w:hint="default"/>
                <w:sz w:val="18"/>
                <w:szCs w:val="18"/>
              </w:rPr>
            </w:pPr>
            <w:r>
              <w:rPr>
                <w:rFonts w:ascii="宋体" w:hAnsi="宋体" w:cs="宋体" w:eastAsia="宋体" w:hint="default"/>
                <w:sz w:val="18"/>
                <w:szCs w:val="18"/>
              </w:rPr>
              <w:t>新华系统客户</w:t>
            </w:r>
          </w:p>
        </w:tc>
        <w:tc>
          <w:tcPr>
            <w:tcW w:w="265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529"/>
              <w:jc w:val="right"/>
              <w:rPr>
                <w:rFonts w:ascii="Times New Roman" w:hAnsi="Times New Roman" w:cs="Times New Roman" w:eastAsia="Times New Roman" w:hint="default"/>
                <w:sz w:val="18"/>
                <w:szCs w:val="18"/>
              </w:rPr>
            </w:pPr>
            <w:r>
              <w:rPr>
                <w:rFonts w:ascii="Times New Roman"/>
                <w:spacing w:val="-1"/>
                <w:sz w:val="18"/>
              </w:rPr>
              <w:t>10,915,559.59</w:t>
            </w:r>
          </w:p>
        </w:tc>
        <w:tc>
          <w:tcPr>
            <w:tcW w:w="317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329" w:right="0"/>
              <w:jc w:val="center"/>
              <w:rPr>
                <w:rFonts w:ascii="Times New Roman" w:hAnsi="Times New Roman" w:cs="Times New Roman" w:eastAsia="Times New Roman" w:hint="default"/>
                <w:sz w:val="18"/>
                <w:szCs w:val="18"/>
              </w:rPr>
            </w:pPr>
            <w:r>
              <w:rPr>
                <w:rFonts w:ascii="Times New Roman"/>
                <w:sz w:val="18"/>
              </w:rPr>
              <w:t>5,415,559.59</w:t>
            </w:r>
          </w:p>
        </w:tc>
      </w:tr>
      <w:tr>
        <w:trPr>
          <w:trHeight w:val="295" w:hRule="exact"/>
        </w:trPr>
        <w:tc>
          <w:tcPr>
            <w:tcW w:w="296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5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2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10,915,559.59</w:t>
            </w:r>
            <w:r>
              <w:rPr>
                <w:rFonts w:ascii="Times New Roman"/>
                <w:spacing w:val="-1"/>
                <w:sz w:val="18"/>
              </w:rPr>
            </w:r>
          </w:p>
        </w:tc>
        <w:tc>
          <w:tcPr>
            <w:tcW w:w="3175" w:type="dxa"/>
            <w:tcBorders>
              <w:top w:val="nil" w:sz="6" w:space="0" w:color="auto"/>
              <w:left w:val="nil" w:sz="6" w:space="0" w:color="auto"/>
              <w:bottom w:val="nil" w:sz="6" w:space="0" w:color="auto"/>
              <w:right w:val="nil" w:sz="6" w:space="0" w:color="auto"/>
            </w:tcBorders>
          </w:tcPr>
          <w:p>
            <w:pPr>
              <w:pStyle w:val="TableParagraph"/>
              <w:tabs>
                <w:tab w:pos="1456" w:val="left" w:leader="none"/>
              </w:tabs>
              <w:spacing w:line="240" w:lineRule="auto" w:before="92"/>
              <w:ind w:left="330"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z w:val="18"/>
                <w:u w:val="thick" w:color="000000"/>
              </w:rPr>
              <w:t>5,415,559.59</w:t>
              <w:tab/>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720" w:right="0"/>
        <w:jc w:val="left"/>
      </w:pPr>
      <w:r>
        <w:rPr/>
        <w:t>注：公司已将金融资产所有权上几乎所有的风险和报酬转移给了转入方，终止确认该金融资产。</w:t>
      </w:r>
    </w:p>
    <w:p>
      <w:pPr>
        <w:spacing w:line="240" w:lineRule="auto" w:before="6"/>
        <w:rPr>
          <w:rFonts w:ascii="宋体" w:hAnsi="宋体" w:cs="宋体" w:eastAsia="宋体" w:hint="default"/>
          <w:sz w:val="21"/>
          <w:szCs w:val="21"/>
        </w:rPr>
      </w:pPr>
    </w:p>
    <w:p>
      <w:pPr>
        <w:pStyle w:val="BodyText"/>
        <w:spacing w:line="240" w:lineRule="auto"/>
        <w:ind w:left="720" w:right="0"/>
        <w:jc w:val="left"/>
      </w:pPr>
      <w:r>
        <w:rPr/>
        <w:t>（</w:t>
      </w:r>
      <w:r>
        <w:rPr>
          <w:rFonts w:ascii="Times New Roman" w:hAnsi="Times New Roman" w:cs="Times New Roman" w:eastAsia="Times New Roman" w:hint="default"/>
        </w:rPr>
        <w:t>9</w:t>
      </w:r>
      <w:r>
        <w:rPr/>
        <w:t>）本报告期公司无因应收账款转移而继续涉入形成的资产、负债。</w:t>
      </w:r>
    </w:p>
    <w:p>
      <w:pPr>
        <w:spacing w:after="0" w:line="240" w:lineRule="auto"/>
        <w:jc w:val="left"/>
        <w:sectPr>
          <w:pgSz w:w="11910" w:h="16840"/>
          <w:pgMar w:header="0" w:footer="979" w:top="1480" w:bottom="1160" w:left="1440" w:right="1300"/>
        </w:sectPr>
      </w:pPr>
    </w:p>
    <w:p>
      <w:pPr>
        <w:pStyle w:val="BodyText"/>
        <w:spacing w:line="240" w:lineRule="auto" w:before="19"/>
        <w:ind w:left="720" w:right="0"/>
        <w:jc w:val="left"/>
      </w:pPr>
      <w:r>
        <w:rPr>
          <w:rFonts w:ascii="Times New Roman" w:hAnsi="Times New Roman" w:cs="Times New Roman" w:eastAsia="Times New Roman" w:hint="default"/>
        </w:rPr>
        <w:t>4.</w:t>
      </w:r>
      <w:r>
        <w:rPr/>
        <w:t>预付款项</w:t>
      </w:r>
    </w:p>
    <w:p>
      <w:pPr>
        <w:spacing w:line="240" w:lineRule="auto" w:before="5"/>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1</w:t>
      </w:r>
      <w:r>
        <w:rPr/>
        <w:t>）按账龄列示</w:t>
      </w:r>
    </w:p>
    <w:p>
      <w:pPr>
        <w:spacing w:line="240" w:lineRule="auto" w:before="6"/>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092"/>
        <w:gridCol w:w="1753"/>
        <w:gridCol w:w="1608"/>
        <w:gridCol w:w="1743"/>
        <w:gridCol w:w="1602"/>
      </w:tblGrid>
      <w:tr>
        <w:trPr>
          <w:trHeight w:val="275" w:hRule="exact"/>
        </w:trPr>
        <w:tc>
          <w:tcPr>
            <w:tcW w:w="209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753" w:type="dxa"/>
            <w:tcBorders>
              <w:top w:val="nil" w:sz="6" w:space="0" w:color="auto"/>
              <w:left w:val="nil" w:sz="6" w:space="0" w:color="auto"/>
              <w:bottom w:val="single" w:sz="4" w:space="0" w:color="000000"/>
              <w:right w:val="nil" w:sz="6" w:space="0" w:color="auto"/>
            </w:tcBorders>
          </w:tcPr>
          <w:p>
            <w:pPr>
              <w:pStyle w:val="TableParagraph"/>
              <w:spacing w:line="180" w:lineRule="exact"/>
              <w:ind w:left="47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608" w:type="dxa"/>
            <w:tcBorders>
              <w:top w:val="nil" w:sz="6" w:space="0" w:color="auto"/>
              <w:left w:val="nil" w:sz="6" w:space="0" w:color="auto"/>
              <w:bottom w:val="single" w:sz="4" w:space="0" w:color="000000"/>
              <w:right w:val="nil" w:sz="6" w:space="0" w:color="auto"/>
            </w:tcBorders>
          </w:tcPr>
          <w:p>
            <w:pPr>
              <w:pStyle w:val="TableParagraph"/>
              <w:spacing w:line="194" w:lineRule="exact"/>
              <w:ind w:right="84"/>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43" w:type="dxa"/>
            <w:tcBorders>
              <w:top w:val="nil" w:sz="6" w:space="0" w:color="auto"/>
              <w:left w:val="nil" w:sz="6" w:space="0" w:color="auto"/>
              <w:bottom w:val="single" w:sz="4" w:space="0" w:color="000000"/>
              <w:right w:val="nil" w:sz="6" w:space="0" w:color="auto"/>
            </w:tcBorders>
          </w:tcPr>
          <w:p>
            <w:pPr>
              <w:pStyle w:val="TableParagraph"/>
              <w:spacing w:line="180" w:lineRule="exact"/>
              <w:ind w:left="46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602" w:type="dxa"/>
            <w:tcBorders>
              <w:top w:val="nil" w:sz="6" w:space="0" w:color="auto"/>
              <w:left w:val="nil" w:sz="6" w:space="0" w:color="auto"/>
              <w:bottom w:val="single" w:sz="4" w:space="0" w:color="000000"/>
              <w:right w:val="nil" w:sz="6" w:space="0" w:color="auto"/>
            </w:tcBorders>
          </w:tcPr>
          <w:p>
            <w:pPr>
              <w:pStyle w:val="TableParagraph"/>
              <w:spacing w:line="194" w:lineRule="exact"/>
              <w:ind w:left="31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31" w:hRule="exact"/>
        </w:trPr>
        <w:tc>
          <w:tcPr>
            <w:tcW w:w="209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5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09"/>
              <w:jc w:val="right"/>
              <w:rPr>
                <w:rFonts w:ascii="Times New Roman" w:hAnsi="Times New Roman" w:cs="Times New Roman" w:eastAsia="Times New Roman" w:hint="default"/>
                <w:sz w:val="18"/>
                <w:szCs w:val="18"/>
              </w:rPr>
            </w:pPr>
            <w:r>
              <w:rPr>
                <w:rFonts w:ascii="Times New Roman"/>
                <w:spacing w:val="-1"/>
                <w:sz w:val="18"/>
              </w:rPr>
              <w:t>26,855,288.12</w:t>
            </w:r>
            <w:r>
              <w:rPr>
                <w:rFonts w:ascii="Times New Roman"/>
                <w:sz w:val="18"/>
              </w:rPr>
            </w:r>
          </w:p>
        </w:tc>
        <w:tc>
          <w:tcPr>
            <w:tcW w:w="160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52" w:right="0"/>
              <w:jc w:val="center"/>
              <w:rPr>
                <w:rFonts w:ascii="Times New Roman" w:hAnsi="Times New Roman" w:cs="Times New Roman" w:eastAsia="Times New Roman" w:hint="default"/>
                <w:sz w:val="18"/>
                <w:szCs w:val="18"/>
              </w:rPr>
            </w:pPr>
            <w:r>
              <w:rPr>
                <w:rFonts w:ascii="Times New Roman"/>
                <w:sz w:val="18"/>
              </w:rPr>
              <w:t>97.44</w:t>
            </w:r>
          </w:p>
        </w:tc>
        <w:tc>
          <w:tcPr>
            <w:tcW w:w="174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09"/>
              <w:jc w:val="right"/>
              <w:rPr>
                <w:rFonts w:ascii="Times New Roman" w:hAnsi="Times New Roman" w:cs="Times New Roman" w:eastAsia="Times New Roman" w:hint="default"/>
                <w:sz w:val="18"/>
                <w:szCs w:val="18"/>
              </w:rPr>
            </w:pPr>
            <w:r>
              <w:rPr>
                <w:rFonts w:ascii="Times New Roman"/>
                <w:spacing w:val="-1"/>
                <w:sz w:val="18"/>
              </w:rPr>
              <w:t>12,273,671.37</w:t>
            </w:r>
          </w:p>
        </w:tc>
        <w:tc>
          <w:tcPr>
            <w:tcW w:w="160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59" w:right="0"/>
              <w:jc w:val="center"/>
              <w:rPr>
                <w:rFonts w:ascii="Times New Roman" w:hAnsi="Times New Roman" w:cs="Times New Roman" w:eastAsia="Times New Roman" w:hint="default"/>
                <w:sz w:val="18"/>
                <w:szCs w:val="18"/>
              </w:rPr>
            </w:pPr>
            <w:r>
              <w:rPr>
                <w:rFonts w:ascii="Times New Roman"/>
                <w:sz w:val="18"/>
              </w:rPr>
              <w:t>97.28</w:t>
            </w:r>
          </w:p>
        </w:tc>
      </w:tr>
      <w:tr>
        <w:trPr>
          <w:trHeight w:val="400"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08"/>
              <w:jc w:val="right"/>
              <w:rPr>
                <w:rFonts w:ascii="Times New Roman" w:hAnsi="Times New Roman" w:cs="Times New Roman" w:eastAsia="Times New Roman" w:hint="default"/>
                <w:sz w:val="18"/>
                <w:szCs w:val="18"/>
              </w:rPr>
            </w:pPr>
            <w:r>
              <w:rPr>
                <w:rFonts w:ascii="Times New Roman"/>
                <w:spacing w:val="-1"/>
                <w:sz w:val="18"/>
              </w:rPr>
              <w:t>645,601.30</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2" w:right="0"/>
              <w:jc w:val="center"/>
              <w:rPr>
                <w:rFonts w:ascii="Times New Roman" w:hAnsi="Times New Roman" w:cs="Times New Roman" w:eastAsia="Times New Roman" w:hint="default"/>
                <w:sz w:val="18"/>
                <w:szCs w:val="18"/>
              </w:rPr>
            </w:pPr>
            <w:r>
              <w:rPr>
                <w:rFonts w:ascii="Times New Roman"/>
                <w:sz w:val="18"/>
              </w:rPr>
              <w:t>2.34</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08"/>
              <w:jc w:val="right"/>
              <w:rPr>
                <w:rFonts w:ascii="Times New Roman" w:hAnsi="Times New Roman" w:cs="Times New Roman" w:eastAsia="Times New Roman" w:hint="default"/>
                <w:sz w:val="18"/>
                <w:szCs w:val="18"/>
              </w:rPr>
            </w:pPr>
            <w:r>
              <w:rPr>
                <w:rFonts w:ascii="Times New Roman"/>
                <w:spacing w:val="-1"/>
                <w:sz w:val="18"/>
              </w:rPr>
              <w:t>150,113.40</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9" w:right="0"/>
              <w:jc w:val="center"/>
              <w:rPr>
                <w:rFonts w:ascii="Times New Roman" w:hAnsi="Times New Roman" w:cs="Times New Roman" w:eastAsia="Times New Roman" w:hint="default"/>
                <w:sz w:val="18"/>
                <w:szCs w:val="18"/>
              </w:rPr>
            </w:pPr>
            <w:r>
              <w:rPr>
                <w:rFonts w:ascii="Times New Roman"/>
                <w:sz w:val="18"/>
              </w:rPr>
              <w:t>1.19</w:t>
            </w:r>
          </w:p>
        </w:tc>
      </w:tr>
      <w:tr>
        <w:trPr>
          <w:trHeight w:val="400"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08"/>
              <w:jc w:val="right"/>
              <w:rPr>
                <w:rFonts w:ascii="Times New Roman" w:hAnsi="Times New Roman" w:cs="Times New Roman" w:eastAsia="Times New Roman" w:hint="default"/>
                <w:sz w:val="18"/>
                <w:szCs w:val="18"/>
              </w:rPr>
            </w:pPr>
            <w:r>
              <w:rPr>
                <w:rFonts w:ascii="Times New Roman"/>
                <w:spacing w:val="-1"/>
                <w:sz w:val="18"/>
              </w:rPr>
              <w:t>60,000.00</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0.22</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08"/>
              <w:jc w:val="right"/>
              <w:rPr>
                <w:rFonts w:ascii="Times New Roman" w:hAnsi="Times New Roman" w:cs="Times New Roman" w:eastAsia="Times New Roman" w:hint="default"/>
                <w:sz w:val="18"/>
                <w:szCs w:val="18"/>
              </w:rPr>
            </w:pPr>
            <w:r>
              <w:rPr>
                <w:rFonts w:ascii="Times New Roman"/>
                <w:spacing w:val="-1"/>
                <w:sz w:val="18"/>
              </w:rPr>
              <w:t>156,604.80</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1.24</w:t>
            </w:r>
          </w:p>
        </w:tc>
      </w:tr>
      <w:tr>
        <w:trPr>
          <w:trHeight w:val="384"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08"/>
              <w:jc w:val="right"/>
              <w:rPr>
                <w:rFonts w:ascii="Times New Roman" w:hAnsi="Times New Roman" w:cs="Times New Roman" w:eastAsia="Times New Roman" w:hint="default"/>
                <w:sz w:val="18"/>
                <w:szCs w:val="18"/>
              </w:rPr>
            </w:pPr>
            <w:r>
              <w:rPr>
                <w:rFonts w:ascii="Times New Roman"/>
                <w:spacing w:val="-1"/>
                <w:sz w:val="18"/>
              </w:rPr>
              <w:t>300.00</w:t>
            </w:r>
          </w:p>
        </w:tc>
        <w:tc>
          <w:tcPr>
            <w:tcW w:w="160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08"/>
              <w:jc w:val="right"/>
              <w:rPr>
                <w:rFonts w:ascii="Times New Roman" w:hAnsi="Times New Roman" w:cs="Times New Roman" w:eastAsia="Times New Roman" w:hint="default"/>
                <w:sz w:val="18"/>
                <w:szCs w:val="18"/>
              </w:rPr>
            </w:pPr>
            <w:r>
              <w:rPr>
                <w:rFonts w:ascii="Times New Roman"/>
                <w:spacing w:val="-1"/>
                <w:sz w:val="18"/>
              </w:rPr>
              <w:t>37,139.60</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9" w:right="0"/>
              <w:jc w:val="center"/>
              <w:rPr>
                <w:rFonts w:ascii="Times New Roman" w:hAnsi="Times New Roman" w:cs="Times New Roman" w:eastAsia="Times New Roman" w:hint="default"/>
                <w:sz w:val="18"/>
                <w:szCs w:val="18"/>
              </w:rPr>
            </w:pPr>
            <w:r>
              <w:rPr>
                <w:rFonts w:ascii="Times New Roman"/>
                <w:sz w:val="18"/>
              </w:rPr>
              <w:t>0.29</w:t>
            </w:r>
          </w:p>
        </w:tc>
      </w:tr>
      <w:tr>
        <w:trPr>
          <w:trHeight w:val="312"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0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double" w:color="000000"/>
              </w:rPr>
              <w:t>27,561,189.42</w:t>
            </w:r>
            <w:r>
              <w:rPr>
                <w:rFonts w:ascii="Times New Roman"/>
                <w:spacing w:val="-1"/>
                <w:sz w:val="18"/>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2"/>
              <w:jc w:val="center"/>
              <w:rPr>
                <w:rFonts w:ascii="Times New Roman" w:hAnsi="Times New Roman" w:cs="Times New Roman" w:eastAsia="Times New Roman" w:hint="default"/>
                <w:sz w:val="18"/>
                <w:szCs w:val="18"/>
              </w:rPr>
            </w:pPr>
            <w:r>
              <w:rPr>
                <w:rFonts w:ascii="Times New Roman"/>
                <w:sz w:val="18"/>
              </w:rPr>
            </w:r>
            <w:r>
              <w:rPr>
                <w:rFonts w:ascii="Times New Roman"/>
                <w:sz w:val="18"/>
                <w:u w:val="double" w:color="000000"/>
              </w:rPr>
              <w:t>100</w:t>
            </w:r>
            <w:r>
              <w:rPr>
                <w:rFonts w:ascii="Times New Roman"/>
                <w:sz w:val="18"/>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0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12,617,529.17</w:t>
            </w:r>
            <w:r>
              <w:rPr>
                <w:rFonts w:ascii="Times New Roman"/>
                <w:spacing w:val="-1"/>
                <w:sz w:val="18"/>
              </w:rPr>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6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720" w:right="0"/>
        <w:jc w:val="left"/>
      </w:pPr>
      <w:r>
        <w:rPr/>
        <w:t>（</w:t>
      </w:r>
      <w:r>
        <w:rPr>
          <w:rFonts w:ascii="Times New Roman" w:hAnsi="Times New Roman" w:cs="Times New Roman" w:eastAsia="Times New Roman" w:hint="default"/>
        </w:rPr>
        <w:t>2</w:t>
      </w:r>
      <w:r>
        <w:rPr/>
        <w:t>）预付款项金额前五名情况</w:t>
      </w:r>
    </w:p>
    <w:p>
      <w:pPr>
        <w:spacing w:line="240" w:lineRule="auto" w:before="4"/>
        <w:rPr>
          <w:rFonts w:ascii="宋体" w:hAnsi="宋体" w:cs="宋体" w:eastAsia="宋体" w:hint="default"/>
          <w:sz w:val="24"/>
          <w:szCs w:val="24"/>
        </w:rPr>
      </w:pPr>
    </w:p>
    <w:tbl>
      <w:tblPr>
        <w:tblW w:w="0" w:type="auto"/>
        <w:jc w:val="left"/>
        <w:tblInd w:w="252" w:type="dxa"/>
        <w:tblLayout w:type="fixed"/>
        <w:tblCellMar>
          <w:top w:w="0" w:type="dxa"/>
          <w:left w:w="0" w:type="dxa"/>
          <w:bottom w:w="0" w:type="dxa"/>
          <w:right w:w="0" w:type="dxa"/>
        </w:tblCellMar>
        <w:tblLook w:val="01E0"/>
      </w:tblPr>
      <w:tblGrid>
        <w:gridCol w:w="2419"/>
        <w:gridCol w:w="1305"/>
        <w:gridCol w:w="1215"/>
        <w:gridCol w:w="925"/>
        <w:gridCol w:w="1120"/>
        <w:gridCol w:w="1814"/>
      </w:tblGrid>
      <w:tr>
        <w:trPr>
          <w:trHeight w:val="238" w:hRule="exact"/>
        </w:trPr>
        <w:tc>
          <w:tcPr>
            <w:tcW w:w="2419" w:type="dxa"/>
            <w:tcBorders>
              <w:top w:val="nil" w:sz="6" w:space="0" w:color="auto"/>
              <w:left w:val="nil" w:sz="6" w:space="0" w:color="auto"/>
              <w:bottom w:val="single" w:sz="4" w:space="0" w:color="000000"/>
              <w:right w:val="nil" w:sz="6" w:space="0" w:color="auto"/>
            </w:tcBorders>
          </w:tcPr>
          <w:p>
            <w:pPr>
              <w:pStyle w:val="TableParagraph"/>
              <w:spacing w:line="151" w:lineRule="exact"/>
              <w:ind w:left="28" w:right="0"/>
              <w:jc w:val="center"/>
              <w:rPr>
                <w:rFonts w:ascii="宋体" w:hAnsi="宋体" w:cs="宋体" w:eastAsia="宋体" w:hint="default"/>
                <w:sz w:val="15"/>
                <w:szCs w:val="15"/>
              </w:rPr>
            </w:pPr>
            <w:r>
              <w:rPr>
                <w:rFonts w:ascii="宋体" w:hAnsi="宋体" w:cs="宋体" w:eastAsia="宋体" w:hint="default"/>
                <w:b/>
                <w:bCs/>
                <w:sz w:val="15"/>
                <w:szCs w:val="15"/>
              </w:rPr>
              <w:t>单位名称</w:t>
            </w:r>
            <w:r>
              <w:rPr>
                <w:rFonts w:ascii="宋体" w:hAnsi="宋体" w:cs="宋体" w:eastAsia="宋体" w:hint="default"/>
                <w:sz w:val="15"/>
                <w:szCs w:val="15"/>
              </w:rPr>
            </w:r>
          </w:p>
        </w:tc>
        <w:tc>
          <w:tcPr>
            <w:tcW w:w="1305" w:type="dxa"/>
            <w:tcBorders>
              <w:top w:val="nil" w:sz="6" w:space="0" w:color="auto"/>
              <w:left w:val="nil" w:sz="6" w:space="0" w:color="auto"/>
              <w:bottom w:val="single" w:sz="4" w:space="0" w:color="000000"/>
              <w:right w:val="nil" w:sz="6" w:space="0" w:color="auto"/>
            </w:tcBorders>
          </w:tcPr>
          <w:p>
            <w:pPr>
              <w:pStyle w:val="TableParagraph"/>
              <w:spacing w:line="151" w:lineRule="exact"/>
              <w:ind w:left="18" w:right="0"/>
              <w:jc w:val="center"/>
              <w:rPr>
                <w:rFonts w:ascii="宋体" w:hAnsi="宋体" w:cs="宋体" w:eastAsia="宋体" w:hint="default"/>
                <w:sz w:val="15"/>
                <w:szCs w:val="15"/>
              </w:rPr>
            </w:pPr>
            <w:r>
              <w:rPr>
                <w:rFonts w:ascii="宋体" w:hAnsi="宋体" w:cs="宋体" w:eastAsia="宋体" w:hint="default"/>
                <w:b/>
                <w:bCs/>
                <w:sz w:val="15"/>
                <w:szCs w:val="15"/>
              </w:rPr>
              <w:t>与本公司关系</w:t>
            </w:r>
            <w:r>
              <w:rPr>
                <w:rFonts w:ascii="宋体" w:hAnsi="宋体" w:cs="宋体" w:eastAsia="宋体" w:hint="default"/>
                <w:sz w:val="15"/>
                <w:szCs w:val="15"/>
              </w:rPr>
            </w:r>
          </w:p>
        </w:tc>
        <w:tc>
          <w:tcPr>
            <w:tcW w:w="1215" w:type="dxa"/>
            <w:tcBorders>
              <w:top w:val="nil" w:sz="6" w:space="0" w:color="auto"/>
              <w:left w:val="nil" w:sz="6" w:space="0" w:color="auto"/>
              <w:bottom w:val="single" w:sz="4" w:space="0" w:color="000000"/>
              <w:right w:val="nil" w:sz="6" w:space="0" w:color="auto"/>
            </w:tcBorders>
          </w:tcPr>
          <w:p>
            <w:pPr>
              <w:pStyle w:val="TableParagraph"/>
              <w:spacing w:line="151" w:lineRule="exact"/>
              <w:ind w:right="58"/>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925" w:type="dxa"/>
            <w:tcBorders>
              <w:top w:val="nil" w:sz="6" w:space="0" w:color="auto"/>
              <w:left w:val="nil" w:sz="6" w:space="0" w:color="auto"/>
              <w:bottom w:val="single" w:sz="4" w:space="0" w:color="000000"/>
              <w:right w:val="nil" w:sz="6" w:space="0" w:color="auto"/>
            </w:tcBorders>
          </w:tcPr>
          <w:p>
            <w:pPr>
              <w:pStyle w:val="TableParagraph"/>
              <w:spacing w:line="151" w:lineRule="exact"/>
              <w:ind w:right="28"/>
              <w:jc w:val="center"/>
              <w:rPr>
                <w:rFonts w:ascii="宋体" w:hAnsi="宋体" w:cs="宋体" w:eastAsia="宋体" w:hint="default"/>
                <w:sz w:val="15"/>
                <w:szCs w:val="15"/>
              </w:rPr>
            </w:pPr>
            <w:r>
              <w:rPr>
                <w:rFonts w:ascii="宋体" w:hAnsi="宋体" w:cs="宋体" w:eastAsia="宋体" w:hint="default"/>
                <w:b/>
                <w:bCs/>
                <w:sz w:val="15"/>
                <w:szCs w:val="15"/>
              </w:rPr>
              <w:t>账龄</w:t>
            </w:r>
            <w:r>
              <w:rPr>
                <w:rFonts w:ascii="宋体" w:hAnsi="宋体" w:cs="宋体" w:eastAsia="宋体" w:hint="default"/>
                <w:sz w:val="15"/>
                <w:szCs w:val="15"/>
              </w:rPr>
            </w:r>
          </w:p>
        </w:tc>
        <w:tc>
          <w:tcPr>
            <w:tcW w:w="1120" w:type="dxa"/>
            <w:tcBorders>
              <w:top w:val="nil" w:sz="6" w:space="0" w:color="auto"/>
              <w:left w:val="nil" w:sz="6" w:space="0" w:color="auto"/>
              <w:bottom w:val="single" w:sz="4" w:space="0" w:color="000000"/>
              <w:right w:val="nil" w:sz="6" w:space="0" w:color="auto"/>
            </w:tcBorders>
          </w:tcPr>
          <w:p>
            <w:pPr>
              <w:pStyle w:val="TableParagraph"/>
              <w:spacing w:line="151" w:lineRule="exact"/>
              <w:ind w:right="161"/>
              <w:jc w:val="right"/>
              <w:rPr>
                <w:rFonts w:ascii="宋体" w:hAnsi="宋体" w:cs="宋体" w:eastAsia="宋体" w:hint="default"/>
                <w:sz w:val="15"/>
                <w:szCs w:val="15"/>
              </w:rPr>
            </w:pPr>
            <w:r>
              <w:rPr>
                <w:rFonts w:ascii="宋体" w:hAnsi="宋体" w:cs="宋体" w:eastAsia="宋体" w:hint="default"/>
                <w:b/>
                <w:bCs/>
                <w:sz w:val="15"/>
                <w:szCs w:val="15"/>
              </w:rPr>
              <w:t>未结算原因</w:t>
            </w:r>
            <w:r>
              <w:rPr>
                <w:rFonts w:ascii="宋体" w:hAnsi="宋体" w:cs="宋体" w:eastAsia="宋体" w:hint="default"/>
                <w:sz w:val="15"/>
                <w:szCs w:val="15"/>
              </w:rPr>
            </w:r>
          </w:p>
        </w:tc>
        <w:tc>
          <w:tcPr>
            <w:tcW w:w="1814" w:type="dxa"/>
            <w:tcBorders>
              <w:top w:val="nil" w:sz="6" w:space="0" w:color="auto"/>
              <w:left w:val="nil" w:sz="6" w:space="0" w:color="auto"/>
              <w:bottom w:val="single" w:sz="4" w:space="0" w:color="000000"/>
              <w:right w:val="nil" w:sz="6" w:space="0" w:color="auto"/>
            </w:tcBorders>
          </w:tcPr>
          <w:p>
            <w:pPr>
              <w:pStyle w:val="TableParagraph"/>
              <w:spacing w:line="162" w:lineRule="exact"/>
              <w:ind w:left="18" w:right="0"/>
              <w:jc w:val="center"/>
              <w:rPr>
                <w:rFonts w:ascii="宋体" w:hAnsi="宋体" w:cs="宋体" w:eastAsia="宋体" w:hint="default"/>
                <w:sz w:val="15"/>
                <w:szCs w:val="15"/>
              </w:rPr>
            </w:pPr>
            <w:r>
              <w:rPr>
                <w:rFonts w:ascii="宋体" w:hAnsi="宋体" w:cs="宋体" w:eastAsia="宋体" w:hint="default"/>
                <w:b/>
                <w:bCs/>
                <w:sz w:val="15"/>
                <w:szCs w:val="15"/>
              </w:rPr>
              <w:t>占期末余额比例（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348" w:hRule="exact"/>
        </w:trPr>
        <w:tc>
          <w:tcPr>
            <w:tcW w:w="2419"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left="108" w:right="0"/>
              <w:jc w:val="left"/>
              <w:rPr>
                <w:rFonts w:ascii="宋体" w:hAnsi="宋体" w:cs="宋体" w:eastAsia="宋体" w:hint="default"/>
                <w:sz w:val="15"/>
                <w:szCs w:val="15"/>
              </w:rPr>
            </w:pPr>
            <w:r>
              <w:rPr>
                <w:rFonts w:ascii="宋体" w:hAnsi="宋体" w:cs="宋体" w:eastAsia="宋体" w:hint="default"/>
                <w:sz w:val="15"/>
                <w:szCs w:val="15"/>
              </w:rPr>
              <w:t>人民东方出版传媒有限公司</w:t>
            </w:r>
          </w:p>
        </w:tc>
        <w:tc>
          <w:tcPr>
            <w:tcW w:w="1305"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left="11" w:right="0"/>
              <w:jc w:val="center"/>
              <w:rPr>
                <w:rFonts w:ascii="宋体" w:hAnsi="宋体" w:cs="宋体" w:eastAsia="宋体" w:hint="default"/>
                <w:sz w:val="15"/>
                <w:szCs w:val="15"/>
              </w:rPr>
            </w:pPr>
            <w:r>
              <w:rPr>
                <w:rFonts w:ascii="宋体" w:hAnsi="宋体" w:cs="宋体" w:eastAsia="宋体" w:hint="default"/>
                <w:sz w:val="15"/>
                <w:szCs w:val="15"/>
              </w:rPr>
              <w:t>业务合作方</w:t>
            </w:r>
          </w:p>
        </w:tc>
        <w:tc>
          <w:tcPr>
            <w:tcW w:w="1215"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59"/>
              <w:jc w:val="right"/>
              <w:rPr>
                <w:rFonts w:ascii="Times New Roman" w:hAnsi="Times New Roman" w:cs="Times New Roman" w:eastAsia="Times New Roman" w:hint="default"/>
                <w:sz w:val="15"/>
                <w:szCs w:val="15"/>
              </w:rPr>
            </w:pPr>
            <w:r>
              <w:rPr>
                <w:rFonts w:ascii="Times New Roman"/>
                <w:spacing w:val="-1"/>
                <w:sz w:val="15"/>
              </w:rPr>
              <w:t>20,000,000.00</w:t>
            </w:r>
          </w:p>
        </w:tc>
        <w:tc>
          <w:tcPr>
            <w:tcW w:w="925"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35"/>
              <w:jc w:val="center"/>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64"/>
              <w:jc w:val="right"/>
              <w:rPr>
                <w:rFonts w:ascii="宋体" w:hAnsi="宋体" w:cs="宋体" w:eastAsia="宋体" w:hint="default"/>
                <w:sz w:val="15"/>
                <w:szCs w:val="15"/>
              </w:rPr>
            </w:pPr>
            <w:r>
              <w:rPr>
                <w:rFonts w:ascii="宋体" w:hAnsi="宋体" w:cs="宋体" w:eastAsia="宋体" w:hint="default"/>
                <w:spacing w:val="-1"/>
                <w:sz w:val="15"/>
                <w:szCs w:val="15"/>
              </w:rPr>
              <w:t>业务合作款</w:t>
            </w:r>
          </w:p>
        </w:tc>
        <w:tc>
          <w:tcPr>
            <w:tcW w:w="1814"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left="91" w:right="0"/>
              <w:jc w:val="center"/>
              <w:rPr>
                <w:rFonts w:ascii="Times New Roman" w:hAnsi="Times New Roman" w:cs="Times New Roman" w:eastAsia="Times New Roman" w:hint="default"/>
                <w:sz w:val="15"/>
                <w:szCs w:val="15"/>
              </w:rPr>
            </w:pPr>
            <w:r>
              <w:rPr>
                <w:rFonts w:ascii="Times New Roman"/>
                <w:sz w:val="15"/>
              </w:rPr>
              <w:t>72.57</w:t>
            </w:r>
          </w:p>
        </w:tc>
      </w:tr>
      <w:tr>
        <w:trPr>
          <w:trHeight w:val="36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15"/>
                <w:szCs w:val="15"/>
              </w:rPr>
            </w:pPr>
            <w:r>
              <w:rPr>
                <w:rFonts w:ascii="宋体" w:hAnsi="宋体" w:cs="宋体" w:eastAsia="宋体" w:hint="default"/>
                <w:sz w:val="15"/>
                <w:szCs w:val="15"/>
              </w:rPr>
              <w:t>尚巴创新文化（北京）股份公司</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8" w:right="0"/>
              <w:jc w:val="center"/>
              <w:rPr>
                <w:rFonts w:ascii="宋体" w:hAnsi="宋体" w:cs="宋体" w:eastAsia="宋体" w:hint="default"/>
                <w:sz w:val="15"/>
                <w:szCs w:val="15"/>
              </w:rPr>
            </w:pPr>
            <w:r>
              <w:rPr>
                <w:rFonts w:ascii="宋体" w:hAnsi="宋体" w:cs="宋体" w:eastAsia="宋体" w:hint="default"/>
                <w:sz w:val="15"/>
                <w:szCs w:val="15"/>
              </w:rPr>
              <w:t>非关联方</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9"/>
              <w:jc w:val="right"/>
              <w:rPr>
                <w:rFonts w:ascii="Times New Roman" w:hAnsi="Times New Roman" w:cs="Times New Roman" w:eastAsia="Times New Roman" w:hint="default"/>
                <w:sz w:val="15"/>
                <w:szCs w:val="15"/>
              </w:rPr>
            </w:pPr>
            <w:r>
              <w:rPr>
                <w:rFonts w:ascii="Times New Roman"/>
                <w:spacing w:val="-1"/>
                <w:sz w:val="15"/>
              </w:rPr>
              <w:t>1,692,214.61</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5"/>
              <w:jc w:val="center"/>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4"/>
              <w:jc w:val="right"/>
              <w:rPr>
                <w:rFonts w:ascii="宋体" w:hAnsi="宋体" w:cs="宋体" w:eastAsia="宋体" w:hint="default"/>
                <w:sz w:val="15"/>
                <w:szCs w:val="15"/>
              </w:rPr>
            </w:pPr>
            <w:r>
              <w:rPr>
                <w:rFonts w:ascii="宋体" w:hAnsi="宋体" w:cs="宋体" w:eastAsia="宋体" w:hint="default"/>
                <w:spacing w:val="-1"/>
                <w:sz w:val="15"/>
                <w:szCs w:val="15"/>
              </w:rPr>
              <w:t>未到结算期</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89" w:right="0"/>
              <w:jc w:val="center"/>
              <w:rPr>
                <w:rFonts w:ascii="Times New Roman" w:hAnsi="Times New Roman" w:cs="Times New Roman" w:eastAsia="Times New Roman" w:hint="default"/>
                <w:sz w:val="15"/>
                <w:szCs w:val="15"/>
              </w:rPr>
            </w:pPr>
            <w:r>
              <w:rPr>
                <w:rFonts w:ascii="Times New Roman"/>
                <w:sz w:val="15"/>
              </w:rPr>
              <w:t>6.14</w:t>
            </w:r>
          </w:p>
        </w:tc>
      </w:tr>
      <w:tr>
        <w:trPr>
          <w:trHeight w:val="36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15"/>
                <w:szCs w:val="15"/>
              </w:rPr>
            </w:pPr>
            <w:r>
              <w:rPr>
                <w:rFonts w:ascii="宋体" w:hAnsi="宋体" w:cs="宋体" w:eastAsia="宋体" w:hint="default"/>
                <w:sz w:val="15"/>
                <w:szCs w:val="15"/>
              </w:rPr>
              <w:t>语文出版社有限公司</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8" w:right="0"/>
              <w:jc w:val="center"/>
              <w:rPr>
                <w:rFonts w:ascii="宋体" w:hAnsi="宋体" w:cs="宋体" w:eastAsia="宋体" w:hint="default"/>
                <w:sz w:val="15"/>
                <w:szCs w:val="15"/>
              </w:rPr>
            </w:pPr>
            <w:r>
              <w:rPr>
                <w:rFonts w:ascii="宋体" w:hAnsi="宋体" w:cs="宋体" w:eastAsia="宋体" w:hint="default"/>
                <w:sz w:val="15"/>
                <w:szCs w:val="15"/>
              </w:rPr>
              <w:t>非关联方</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9"/>
              <w:jc w:val="right"/>
              <w:rPr>
                <w:rFonts w:ascii="Times New Roman" w:hAnsi="Times New Roman" w:cs="Times New Roman" w:eastAsia="Times New Roman" w:hint="default"/>
                <w:sz w:val="15"/>
                <w:szCs w:val="15"/>
              </w:rPr>
            </w:pPr>
            <w:r>
              <w:rPr>
                <w:rFonts w:ascii="Times New Roman"/>
                <w:spacing w:val="-1"/>
                <w:sz w:val="15"/>
              </w:rPr>
              <w:t>628,217.96</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5"/>
              <w:jc w:val="center"/>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4"/>
              <w:jc w:val="right"/>
              <w:rPr>
                <w:rFonts w:ascii="宋体" w:hAnsi="宋体" w:cs="宋体" w:eastAsia="宋体" w:hint="default"/>
                <w:sz w:val="15"/>
                <w:szCs w:val="15"/>
              </w:rPr>
            </w:pPr>
            <w:r>
              <w:rPr>
                <w:rFonts w:ascii="宋体" w:hAnsi="宋体" w:cs="宋体" w:eastAsia="宋体" w:hint="default"/>
                <w:spacing w:val="-1"/>
                <w:sz w:val="15"/>
                <w:szCs w:val="15"/>
              </w:rPr>
              <w:t>未到结算期</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89" w:right="0"/>
              <w:jc w:val="center"/>
              <w:rPr>
                <w:rFonts w:ascii="Times New Roman" w:hAnsi="Times New Roman" w:cs="Times New Roman" w:eastAsia="Times New Roman" w:hint="default"/>
                <w:sz w:val="15"/>
                <w:szCs w:val="15"/>
              </w:rPr>
            </w:pPr>
            <w:r>
              <w:rPr>
                <w:rFonts w:ascii="Times New Roman"/>
                <w:sz w:val="15"/>
              </w:rPr>
              <w:t>2.28</w:t>
            </w:r>
          </w:p>
        </w:tc>
      </w:tr>
      <w:tr>
        <w:trPr>
          <w:trHeight w:val="360"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15"/>
                <w:szCs w:val="15"/>
              </w:rPr>
            </w:pPr>
            <w:r>
              <w:rPr>
                <w:rFonts w:ascii="宋体" w:hAnsi="宋体" w:cs="宋体" w:eastAsia="宋体" w:hint="default"/>
                <w:sz w:val="15"/>
                <w:szCs w:val="15"/>
              </w:rPr>
              <w:t>北京互联通网络科技有限公司</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8" w:right="0"/>
              <w:jc w:val="center"/>
              <w:rPr>
                <w:rFonts w:ascii="宋体" w:hAnsi="宋体" w:cs="宋体" w:eastAsia="宋体" w:hint="default"/>
                <w:sz w:val="15"/>
                <w:szCs w:val="15"/>
              </w:rPr>
            </w:pPr>
            <w:r>
              <w:rPr>
                <w:rFonts w:ascii="宋体" w:hAnsi="宋体" w:cs="宋体" w:eastAsia="宋体" w:hint="default"/>
                <w:sz w:val="15"/>
                <w:szCs w:val="15"/>
              </w:rPr>
              <w:t>非关联方</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9"/>
              <w:jc w:val="right"/>
              <w:rPr>
                <w:rFonts w:ascii="Times New Roman" w:hAnsi="Times New Roman" w:cs="Times New Roman" w:eastAsia="Times New Roman" w:hint="default"/>
                <w:sz w:val="15"/>
                <w:szCs w:val="15"/>
              </w:rPr>
            </w:pPr>
            <w:r>
              <w:rPr>
                <w:rFonts w:ascii="Times New Roman"/>
                <w:spacing w:val="-1"/>
                <w:sz w:val="15"/>
              </w:rPr>
              <w:t>594,750.47</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5"/>
              <w:jc w:val="center"/>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4"/>
              <w:jc w:val="right"/>
              <w:rPr>
                <w:rFonts w:ascii="宋体" w:hAnsi="宋体" w:cs="宋体" w:eastAsia="宋体" w:hint="default"/>
                <w:sz w:val="15"/>
                <w:szCs w:val="15"/>
              </w:rPr>
            </w:pPr>
            <w:r>
              <w:rPr>
                <w:rFonts w:ascii="宋体" w:hAnsi="宋体" w:cs="宋体" w:eastAsia="宋体" w:hint="default"/>
                <w:spacing w:val="-1"/>
                <w:sz w:val="15"/>
                <w:szCs w:val="15"/>
              </w:rPr>
              <w:t>未到结算期</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89" w:right="0"/>
              <w:jc w:val="center"/>
              <w:rPr>
                <w:rFonts w:ascii="Times New Roman" w:hAnsi="Times New Roman" w:cs="Times New Roman" w:eastAsia="Times New Roman" w:hint="default"/>
                <w:sz w:val="15"/>
                <w:szCs w:val="15"/>
              </w:rPr>
            </w:pPr>
            <w:r>
              <w:rPr>
                <w:rFonts w:ascii="Times New Roman"/>
                <w:sz w:val="15"/>
              </w:rPr>
              <w:t>2.16</w:t>
            </w:r>
          </w:p>
        </w:tc>
      </w:tr>
      <w:tr>
        <w:trPr>
          <w:trHeight w:val="362"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15"/>
                <w:szCs w:val="15"/>
              </w:rPr>
            </w:pPr>
            <w:r>
              <w:rPr>
                <w:rFonts w:ascii="宋体" w:hAnsi="宋体" w:cs="宋体" w:eastAsia="宋体" w:hint="default"/>
                <w:sz w:val="15"/>
                <w:szCs w:val="15"/>
              </w:rPr>
              <w:t>广州爱九游信息技术有限公司</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8" w:right="0"/>
              <w:jc w:val="center"/>
              <w:rPr>
                <w:rFonts w:ascii="宋体" w:hAnsi="宋体" w:cs="宋体" w:eastAsia="宋体" w:hint="default"/>
                <w:sz w:val="15"/>
                <w:szCs w:val="15"/>
              </w:rPr>
            </w:pPr>
            <w:r>
              <w:rPr>
                <w:rFonts w:ascii="宋体" w:hAnsi="宋体" w:cs="宋体" w:eastAsia="宋体" w:hint="default"/>
                <w:sz w:val="15"/>
                <w:szCs w:val="15"/>
              </w:rPr>
              <w:t>非关联方</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60"/>
              <w:jc w:val="right"/>
              <w:rPr>
                <w:rFonts w:ascii="Times New Roman" w:hAnsi="Times New Roman" w:cs="Times New Roman" w:eastAsia="Times New Roman" w:hint="default"/>
                <w:sz w:val="15"/>
                <w:szCs w:val="15"/>
              </w:rPr>
            </w:pPr>
            <w:r>
              <w:rPr>
                <w:rFonts w:ascii="Times New Roman"/>
                <w:spacing w:val="-2"/>
                <w:sz w:val="15"/>
              </w:rPr>
              <w:t>513,371.04</w:t>
            </w:r>
            <w:r>
              <w:rPr>
                <w:rFonts w:ascii="Times New Roman"/>
                <w:sz w:val="15"/>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5"/>
              <w:jc w:val="center"/>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4"/>
              <w:jc w:val="right"/>
              <w:rPr>
                <w:rFonts w:ascii="宋体" w:hAnsi="宋体" w:cs="宋体" w:eastAsia="宋体" w:hint="default"/>
                <w:sz w:val="15"/>
                <w:szCs w:val="15"/>
              </w:rPr>
            </w:pPr>
            <w:r>
              <w:rPr>
                <w:rFonts w:ascii="宋体" w:hAnsi="宋体" w:cs="宋体" w:eastAsia="宋体" w:hint="default"/>
                <w:spacing w:val="-1"/>
                <w:sz w:val="15"/>
                <w:szCs w:val="15"/>
              </w:rPr>
              <w:t>未到结算期</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89" w:right="0"/>
              <w:jc w:val="center"/>
              <w:rPr>
                <w:rFonts w:ascii="Times New Roman" w:hAnsi="Times New Roman" w:cs="Times New Roman" w:eastAsia="Times New Roman" w:hint="default"/>
                <w:sz w:val="15"/>
                <w:szCs w:val="15"/>
              </w:rPr>
            </w:pPr>
            <w:r>
              <w:rPr>
                <w:rFonts w:ascii="Times New Roman"/>
                <w:sz w:val="15"/>
              </w:rPr>
              <w:t>1.86</w:t>
            </w:r>
          </w:p>
        </w:tc>
      </w:tr>
      <w:tr>
        <w:trPr>
          <w:trHeight w:val="293"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3"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305"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9"/>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23,428,554.08</w:t>
            </w:r>
            <w:r>
              <w:rPr>
                <w:rFonts w:ascii="Times New Roman"/>
                <w:spacing w:val="-1"/>
                <w:sz w:val="15"/>
              </w:rPr>
            </w:r>
          </w:p>
        </w:tc>
        <w:tc>
          <w:tcPr>
            <w:tcW w:w="92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85.01</w:t>
            </w:r>
            <w:r>
              <w:rPr>
                <w:rFonts w:ascii="Times New Roman"/>
                <w:sz w:val="15"/>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720" w:right="0"/>
        <w:jc w:val="left"/>
      </w:pPr>
      <w:r>
        <w:rPr>
          <w:rFonts w:ascii="Times New Roman" w:hAnsi="Times New Roman" w:cs="Times New Roman" w:eastAsia="Times New Roman" w:hint="default"/>
        </w:rPr>
        <w:t>5. </w:t>
      </w:r>
      <w:r>
        <w:rPr>
          <w:rFonts w:ascii="Times New Roman" w:hAnsi="Times New Roman" w:cs="Times New Roman" w:eastAsia="Times New Roman" w:hint="default"/>
          <w:spacing w:val="2"/>
        </w:rPr>
        <w:t> </w:t>
      </w:r>
      <w:r>
        <w:rPr/>
        <w:t>应收利息</w:t>
      </w:r>
    </w:p>
    <w:p>
      <w:pPr>
        <w:spacing w:line="240" w:lineRule="auto" w:before="8"/>
        <w:rPr>
          <w:rFonts w:ascii="宋体" w:hAnsi="宋体" w:cs="宋体" w:eastAsia="宋体" w:hint="default"/>
          <w:sz w:val="24"/>
          <w:szCs w:val="24"/>
        </w:rPr>
      </w:pPr>
    </w:p>
    <w:tbl>
      <w:tblPr>
        <w:tblW w:w="0" w:type="auto"/>
        <w:jc w:val="left"/>
        <w:tblInd w:w="252" w:type="dxa"/>
        <w:tblLayout w:type="fixed"/>
        <w:tblCellMar>
          <w:top w:w="0" w:type="dxa"/>
          <w:left w:w="0" w:type="dxa"/>
          <w:bottom w:w="0" w:type="dxa"/>
          <w:right w:w="0" w:type="dxa"/>
        </w:tblCellMar>
        <w:tblLook w:val="01E0"/>
      </w:tblPr>
      <w:tblGrid>
        <w:gridCol w:w="3109"/>
        <w:gridCol w:w="2787"/>
        <w:gridCol w:w="2901"/>
      </w:tblGrid>
      <w:tr>
        <w:trPr>
          <w:trHeight w:val="272" w:hRule="exact"/>
        </w:trPr>
        <w:tc>
          <w:tcPr>
            <w:tcW w:w="3109" w:type="dxa"/>
            <w:tcBorders>
              <w:top w:val="nil" w:sz="6" w:space="0" w:color="auto"/>
              <w:left w:val="nil" w:sz="6" w:space="0" w:color="auto"/>
              <w:bottom w:val="single" w:sz="4" w:space="0" w:color="000000"/>
              <w:right w:val="nil" w:sz="6" w:space="0" w:color="auto"/>
            </w:tcBorders>
          </w:tcPr>
          <w:p>
            <w:pPr>
              <w:pStyle w:val="TableParagraph"/>
              <w:spacing w:line="180" w:lineRule="exact"/>
              <w:ind w:right="17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87" w:type="dxa"/>
            <w:tcBorders>
              <w:top w:val="nil" w:sz="6" w:space="0" w:color="auto"/>
              <w:left w:val="nil" w:sz="6" w:space="0" w:color="auto"/>
              <w:bottom w:val="single" w:sz="4" w:space="0" w:color="000000"/>
              <w:right w:val="nil" w:sz="6" w:space="0" w:color="auto"/>
            </w:tcBorders>
          </w:tcPr>
          <w:p>
            <w:pPr>
              <w:pStyle w:val="TableParagraph"/>
              <w:spacing w:line="180" w:lineRule="exact"/>
              <w:ind w:left="92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01" w:type="dxa"/>
            <w:tcBorders>
              <w:top w:val="nil" w:sz="6" w:space="0" w:color="auto"/>
              <w:left w:val="nil" w:sz="6" w:space="0" w:color="auto"/>
              <w:bottom w:val="single" w:sz="4" w:space="0" w:color="000000"/>
              <w:right w:val="nil" w:sz="6" w:space="0" w:color="auto"/>
            </w:tcBorders>
          </w:tcPr>
          <w:p>
            <w:pPr>
              <w:pStyle w:val="TableParagraph"/>
              <w:spacing w:line="180" w:lineRule="exact"/>
              <w:ind w:right="38"/>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16" w:hRule="exact"/>
        </w:trPr>
        <w:tc>
          <w:tcPr>
            <w:tcW w:w="310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79"/>
              <w:jc w:val="center"/>
              <w:rPr>
                <w:rFonts w:ascii="宋体" w:hAnsi="宋体" w:cs="宋体" w:eastAsia="宋体" w:hint="default"/>
                <w:sz w:val="18"/>
                <w:szCs w:val="18"/>
              </w:rPr>
            </w:pPr>
            <w:r>
              <w:rPr>
                <w:rFonts w:ascii="宋体" w:hAnsi="宋体" w:cs="宋体" w:eastAsia="宋体" w:hint="default"/>
                <w:sz w:val="18"/>
                <w:szCs w:val="18"/>
              </w:rPr>
              <w:t>募集资金定期存款</w:t>
            </w:r>
          </w:p>
        </w:tc>
        <w:tc>
          <w:tcPr>
            <w:tcW w:w="2787"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956"/>
              <w:jc w:val="right"/>
              <w:rPr>
                <w:rFonts w:ascii="Times New Roman" w:hAnsi="Times New Roman" w:cs="Times New Roman" w:eastAsia="Times New Roman" w:hint="default"/>
                <w:sz w:val="18"/>
                <w:szCs w:val="18"/>
              </w:rPr>
            </w:pPr>
            <w:r>
              <w:rPr>
                <w:rFonts w:ascii="Times New Roman"/>
                <w:spacing w:val="-1"/>
                <w:sz w:val="18"/>
              </w:rPr>
              <w:t>81,114.09</w:t>
            </w:r>
          </w:p>
        </w:tc>
        <w:tc>
          <w:tcPr>
            <w:tcW w:w="2901"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35"/>
              <w:jc w:val="center"/>
              <w:rPr>
                <w:rFonts w:ascii="Times New Roman" w:hAnsi="Times New Roman" w:cs="Times New Roman" w:eastAsia="Times New Roman" w:hint="default"/>
                <w:sz w:val="18"/>
                <w:szCs w:val="18"/>
              </w:rPr>
            </w:pPr>
            <w:r>
              <w:rPr>
                <w:rFonts w:ascii="Times New Roman"/>
                <w:sz w:val="18"/>
              </w:rPr>
              <w:t>2,442,897.09</w:t>
            </w:r>
          </w:p>
        </w:tc>
      </w:tr>
      <w:tr>
        <w:trPr>
          <w:trHeight w:val="311" w:hRule="exact"/>
        </w:trPr>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9"/>
              <w:jc w:val="center"/>
              <w:rPr>
                <w:rFonts w:ascii="宋体" w:hAnsi="宋体" w:cs="宋体" w:eastAsia="宋体" w:hint="default"/>
                <w:sz w:val="18"/>
                <w:szCs w:val="18"/>
              </w:rPr>
            </w:pPr>
            <w:r>
              <w:rPr>
                <w:rFonts w:ascii="宋体" w:hAnsi="宋体" w:cs="宋体" w:eastAsia="宋体" w:hint="default"/>
                <w:sz w:val="18"/>
                <w:szCs w:val="18"/>
              </w:rPr>
              <w:t>合计</w:t>
            </w:r>
          </w:p>
        </w:tc>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5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81,114.09</w:t>
            </w:r>
            <w:r>
              <w:rPr>
                <w:rFonts w:ascii="Times New Roman"/>
                <w:spacing w:val="-1"/>
                <w:sz w:val="18"/>
              </w:rPr>
            </w: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5"/>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2,442,897.09</w:t>
            </w:r>
            <w:r>
              <w:rPr>
                <w:rFonts w:ascii="Times New Roman"/>
                <w:sz w:val="18"/>
              </w:rPr>
            </w:r>
          </w:p>
        </w:tc>
      </w:tr>
    </w:tbl>
    <w:p>
      <w:pPr>
        <w:spacing w:line="240" w:lineRule="auto" w:before="12"/>
        <w:rPr>
          <w:rFonts w:ascii="宋体" w:hAnsi="宋体" w:cs="宋体" w:eastAsia="宋体" w:hint="default"/>
          <w:sz w:val="29"/>
          <w:szCs w:val="29"/>
        </w:rPr>
      </w:pPr>
    </w:p>
    <w:tbl>
      <w:tblPr>
        <w:tblW w:w="0" w:type="auto"/>
        <w:jc w:val="left"/>
        <w:tblInd w:w="115" w:type="dxa"/>
        <w:tblLayout w:type="fixed"/>
        <w:tblCellMar>
          <w:top w:w="0" w:type="dxa"/>
          <w:left w:w="0" w:type="dxa"/>
          <w:bottom w:w="0" w:type="dxa"/>
          <w:right w:w="0" w:type="dxa"/>
        </w:tblCellMar>
        <w:tblLook w:val="01E0"/>
      </w:tblPr>
      <w:tblGrid>
        <w:gridCol w:w="1890"/>
        <w:gridCol w:w="1043"/>
        <w:gridCol w:w="1654"/>
        <w:gridCol w:w="831"/>
        <w:gridCol w:w="1010"/>
        <w:gridCol w:w="1590"/>
        <w:gridCol w:w="779"/>
      </w:tblGrid>
      <w:tr>
        <w:trPr>
          <w:trHeight w:val="978" w:hRule="exact"/>
        </w:trPr>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其他应收款</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）分类列示</w:t>
            </w:r>
          </w:p>
        </w:tc>
        <w:tc>
          <w:tcPr>
            <w:tcW w:w="6908" w:type="dxa"/>
            <w:gridSpan w:val="6"/>
            <w:tcBorders>
              <w:top w:val="nil" w:sz="6" w:space="0" w:color="auto"/>
              <w:left w:val="nil" w:sz="6" w:space="0" w:color="auto"/>
              <w:bottom w:val="nil" w:sz="6" w:space="0" w:color="auto"/>
              <w:right w:val="nil" w:sz="6" w:space="0" w:color="auto"/>
            </w:tcBorders>
          </w:tcPr>
          <w:p>
            <w:pPr/>
          </w:p>
        </w:tc>
      </w:tr>
      <w:tr>
        <w:trPr>
          <w:trHeight w:val="414" w:hRule="exact"/>
        </w:trPr>
        <w:tc>
          <w:tcPr>
            <w:tcW w:w="1890"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427" w:right="0"/>
              <w:jc w:val="left"/>
              <w:rPr>
                <w:rFonts w:ascii="宋体" w:hAnsi="宋体" w:cs="宋体" w:eastAsia="宋体" w:hint="default"/>
                <w:sz w:val="13"/>
                <w:szCs w:val="13"/>
              </w:rPr>
            </w:pPr>
            <w:r>
              <w:rPr>
                <w:rFonts w:ascii="宋体" w:hAnsi="宋体" w:cs="宋体" w:eastAsia="宋体" w:hint="default"/>
                <w:b/>
                <w:bCs/>
                <w:sz w:val="13"/>
                <w:szCs w:val="13"/>
              </w:rPr>
              <w:t>期末余额</w:t>
            </w:r>
            <w:r>
              <w:rPr>
                <w:rFonts w:ascii="宋体" w:hAnsi="宋体" w:cs="宋体" w:eastAsia="宋体" w:hint="default"/>
                <w:sz w:val="13"/>
                <w:szCs w:val="13"/>
              </w:rPr>
            </w:r>
          </w:p>
        </w:tc>
        <w:tc>
          <w:tcPr>
            <w:tcW w:w="831"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410" w:right="0"/>
              <w:jc w:val="left"/>
              <w:rPr>
                <w:rFonts w:ascii="宋体" w:hAnsi="宋体" w:cs="宋体" w:eastAsia="宋体" w:hint="default"/>
                <w:sz w:val="13"/>
                <w:szCs w:val="13"/>
              </w:rPr>
            </w:pPr>
            <w:r>
              <w:rPr>
                <w:rFonts w:ascii="宋体" w:hAnsi="宋体" w:cs="宋体" w:eastAsia="宋体" w:hint="default"/>
                <w:b/>
                <w:bCs/>
                <w:sz w:val="13"/>
                <w:szCs w:val="13"/>
              </w:rPr>
              <w:t>期初余额</w:t>
            </w:r>
            <w:r>
              <w:rPr>
                <w:rFonts w:ascii="宋体" w:hAnsi="宋体" w:cs="宋体" w:eastAsia="宋体" w:hint="default"/>
                <w:sz w:val="13"/>
                <w:szCs w:val="13"/>
              </w:rPr>
            </w:r>
          </w:p>
        </w:tc>
        <w:tc>
          <w:tcPr>
            <w:tcW w:w="779" w:type="dxa"/>
            <w:tcBorders>
              <w:top w:val="nil" w:sz="6" w:space="0" w:color="auto"/>
              <w:left w:val="nil" w:sz="6" w:space="0" w:color="auto"/>
              <w:bottom w:val="nil" w:sz="6" w:space="0" w:color="auto"/>
              <w:right w:val="nil" w:sz="6" w:space="0" w:color="auto"/>
            </w:tcBorders>
          </w:tcPr>
          <w:p>
            <w:pPr/>
          </w:p>
        </w:tc>
      </w:tr>
      <w:tr>
        <w:trPr>
          <w:trHeight w:val="428" w:hRule="exact"/>
        </w:trPr>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center"/>
              <w:rPr>
                <w:rFonts w:ascii="宋体" w:hAnsi="宋体" w:cs="宋体" w:eastAsia="宋体" w:hint="default"/>
                <w:sz w:val="13"/>
                <w:szCs w:val="13"/>
              </w:rPr>
            </w:pPr>
            <w:r>
              <w:rPr>
                <w:rFonts w:ascii="宋体" w:hAnsi="宋体" w:cs="宋体" w:eastAsia="宋体" w:hint="default"/>
                <w:b/>
                <w:bCs/>
                <w:sz w:val="13"/>
                <w:szCs w:val="13"/>
              </w:rPr>
              <w:t>类别</w:t>
            </w:r>
            <w:r>
              <w:rPr>
                <w:rFonts w:ascii="宋体" w:hAnsi="宋体" w:cs="宋体" w:eastAsia="宋体" w:hint="default"/>
                <w:sz w:val="13"/>
                <w:szCs w:val="13"/>
              </w:rPr>
            </w:r>
          </w:p>
        </w:tc>
        <w:tc>
          <w:tcPr>
            <w:tcW w:w="1043"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164" w:lineRule="exact" w:before="74"/>
              <w:ind w:left="124" w:right="0"/>
              <w:jc w:val="left"/>
              <w:rPr>
                <w:rFonts w:ascii="宋体" w:hAnsi="宋体" w:cs="宋体" w:eastAsia="宋体" w:hint="default"/>
                <w:sz w:val="13"/>
                <w:szCs w:val="13"/>
              </w:rPr>
            </w:pPr>
            <w:r>
              <w:rPr>
                <w:rFonts w:ascii="宋体" w:hAnsi="宋体" w:cs="宋体" w:eastAsia="宋体" w:hint="default"/>
                <w:b/>
                <w:bCs/>
                <w:sz w:val="13"/>
                <w:szCs w:val="13"/>
              </w:rPr>
              <w:t>占总额</w:t>
            </w:r>
            <w:r>
              <w:rPr>
                <w:rFonts w:ascii="宋体" w:hAnsi="宋体" w:cs="宋体" w:eastAsia="宋体" w:hint="default"/>
                <w:sz w:val="13"/>
                <w:szCs w:val="13"/>
              </w:rPr>
            </w:r>
          </w:p>
          <w:p>
            <w:pPr>
              <w:pStyle w:val="TableParagraph"/>
              <w:spacing w:line="164" w:lineRule="exact"/>
              <w:ind w:left="1027" w:right="0"/>
              <w:jc w:val="left"/>
              <w:rPr>
                <w:rFonts w:ascii="宋体" w:hAnsi="宋体" w:cs="宋体" w:eastAsia="宋体" w:hint="default"/>
                <w:sz w:val="13"/>
                <w:szCs w:val="13"/>
              </w:rPr>
            </w:pPr>
            <w:r>
              <w:rPr>
                <w:rFonts w:ascii="宋体" w:hAnsi="宋体" w:cs="宋体" w:eastAsia="宋体" w:hint="default"/>
                <w:b/>
                <w:bCs/>
                <w:sz w:val="13"/>
                <w:szCs w:val="13"/>
              </w:rPr>
              <w:t>坏账</w:t>
            </w:r>
            <w:r>
              <w:rPr>
                <w:rFonts w:ascii="宋体" w:hAnsi="宋体" w:cs="宋体" w:eastAsia="宋体" w:hint="default"/>
                <w:sz w:val="13"/>
                <w:szCs w:val="13"/>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54"/>
              <w:jc w:val="right"/>
              <w:rPr>
                <w:rFonts w:ascii="宋体" w:hAnsi="宋体" w:cs="宋体" w:eastAsia="宋体" w:hint="default"/>
                <w:sz w:val="13"/>
                <w:szCs w:val="13"/>
              </w:rPr>
            </w:pPr>
            <w:r>
              <w:rPr>
                <w:rFonts w:ascii="宋体" w:hAnsi="宋体" w:cs="宋体" w:eastAsia="宋体" w:hint="default"/>
                <w:b/>
                <w:bCs/>
                <w:sz w:val="13"/>
                <w:szCs w:val="13"/>
              </w:rPr>
              <w:t>坏账准备</w:t>
            </w:r>
            <w:r>
              <w:rPr>
                <w:rFonts w:ascii="宋体" w:hAnsi="宋体" w:cs="宋体" w:eastAsia="宋体" w:hint="default"/>
                <w:sz w:val="13"/>
                <w:szCs w:val="13"/>
              </w:rPr>
            </w:r>
          </w:p>
        </w:tc>
        <w:tc>
          <w:tcPr>
            <w:tcW w:w="1010"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164" w:lineRule="exact" w:before="74"/>
              <w:ind w:left="122" w:right="0"/>
              <w:jc w:val="left"/>
              <w:rPr>
                <w:rFonts w:ascii="宋体" w:hAnsi="宋体" w:cs="宋体" w:eastAsia="宋体" w:hint="default"/>
                <w:sz w:val="13"/>
                <w:szCs w:val="13"/>
              </w:rPr>
            </w:pPr>
            <w:r>
              <w:rPr>
                <w:rFonts w:ascii="宋体" w:hAnsi="宋体" w:cs="宋体" w:eastAsia="宋体" w:hint="default"/>
                <w:b/>
                <w:bCs/>
                <w:sz w:val="13"/>
                <w:szCs w:val="13"/>
              </w:rPr>
              <w:t>占总额</w:t>
            </w:r>
            <w:r>
              <w:rPr>
                <w:rFonts w:ascii="宋体" w:hAnsi="宋体" w:cs="宋体" w:eastAsia="宋体" w:hint="default"/>
                <w:sz w:val="13"/>
                <w:szCs w:val="13"/>
              </w:rPr>
            </w:r>
          </w:p>
          <w:p>
            <w:pPr>
              <w:pStyle w:val="TableParagraph"/>
              <w:spacing w:line="164" w:lineRule="exact"/>
              <w:ind w:left="984" w:right="0"/>
              <w:jc w:val="left"/>
              <w:rPr>
                <w:rFonts w:ascii="宋体" w:hAnsi="宋体" w:cs="宋体" w:eastAsia="宋体" w:hint="default"/>
                <w:sz w:val="13"/>
                <w:szCs w:val="13"/>
              </w:rPr>
            </w:pPr>
            <w:r>
              <w:rPr>
                <w:rFonts w:ascii="宋体" w:hAnsi="宋体" w:cs="宋体" w:eastAsia="宋体" w:hint="default"/>
                <w:b/>
                <w:bCs/>
                <w:sz w:val="13"/>
                <w:szCs w:val="13"/>
              </w:rPr>
              <w:t>坏账</w:t>
            </w:r>
            <w:r>
              <w:rPr>
                <w:rFonts w:ascii="宋体" w:hAnsi="宋体" w:cs="宋体" w:eastAsia="宋体" w:hint="default"/>
                <w:sz w:val="13"/>
                <w:szCs w:val="13"/>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9" w:right="0"/>
              <w:jc w:val="left"/>
              <w:rPr>
                <w:rFonts w:ascii="宋体" w:hAnsi="宋体" w:cs="宋体" w:eastAsia="宋体" w:hint="default"/>
                <w:sz w:val="13"/>
                <w:szCs w:val="13"/>
              </w:rPr>
            </w:pPr>
            <w:r>
              <w:rPr>
                <w:rFonts w:ascii="宋体" w:hAnsi="宋体" w:cs="宋体" w:eastAsia="宋体" w:hint="default"/>
                <w:b/>
                <w:bCs/>
                <w:sz w:val="13"/>
                <w:szCs w:val="13"/>
              </w:rPr>
              <w:t>坏账准备</w:t>
            </w:r>
            <w:r>
              <w:rPr>
                <w:rFonts w:ascii="宋体" w:hAnsi="宋体" w:cs="宋体" w:eastAsia="宋体" w:hint="default"/>
                <w:sz w:val="13"/>
                <w:szCs w:val="13"/>
              </w:rPr>
            </w:r>
          </w:p>
        </w:tc>
      </w:tr>
      <w:tr>
        <w:trPr>
          <w:trHeight w:val="191" w:hRule="exact"/>
        </w:trPr>
        <w:tc>
          <w:tcPr>
            <w:tcW w:w="1890"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Style w:val="TableParagraph"/>
              <w:spacing w:line="155" w:lineRule="exact"/>
              <w:ind w:right="69"/>
              <w:jc w:val="center"/>
              <w:rPr>
                <w:rFonts w:ascii="宋体" w:hAnsi="宋体" w:cs="宋体" w:eastAsia="宋体" w:hint="default"/>
                <w:sz w:val="13"/>
                <w:szCs w:val="13"/>
              </w:rPr>
            </w:pPr>
            <w:r>
              <w:rPr>
                <w:rFonts w:ascii="宋体" w:hAnsi="宋体" w:cs="宋体" w:eastAsia="宋体" w:hint="default"/>
                <w:b/>
                <w:bCs/>
                <w:sz w:val="13"/>
                <w:szCs w:val="13"/>
              </w:rPr>
              <w:t>金额</w:t>
            </w:r>
            <w:r>
              <w:rPr>
                <w:rFonts w:ascii="宋体" w:hAnsi="宋体" w:cs="宋体" w:eastAsia="宋体" w:hint="default"/>
                <w:sz w:val="13"/>
                <w:szCs w:val="13"/>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89" w:right="0"/>
              <w:jc w:val="left"/>
              <w:rPr>
                <w:rFonts w:ascii="宋体" w:hAnsi="宋体" w:cs="宋体" w:eastAsia="宋体" w:hint="default"/>
                <w:sz w:val="13"/>
                <w:szCs w:val="13"/>
              </w:rPr>
            </w:pPr>
            <w:r>
              <w:rPr>
                <w:rFonts w:ascii="宋体" w:hAnsi="宋体" w:cs="宋体" w:eastAsia="宋体" w:hint="default"/>
                <w:b/>
                <w:bCs/>
                <w:sz w:val="13"/>
                <w:szCs w:val="13"/>
              </w:rPr>
              <w:t>比例</w:t>
            </w:r>
            <w:r>
              <w:rPr>
                <w:rFonts w:ascii="宋体" w:hAnsi="宋体" w:cs="宋体" w:eastAsia="宋体" w:hint="default"/>
                <w:sz w:val="13"/>
                <w:szCs w:val="13"/>
              </w:rPr>
            </w:r>
          </w:p>
        </w:tc>
        <w:tc>
          <w:tcPr>
            <w:tcW w:w="831" w:type="dxa"/>
            <w:tcBorders>
              <w:top w:val="nil" w:sz="6" w:space="0" w:color="auto"/>
              <w:left w:val="nil" w:sz="6" w:space="0" w:color="auto"/>
              <w:bottom w:val="nil" w:sz="6" w:space="0" w:color="auto"/>
              <w:right w:val="nil" w:sz="6" w:space="0" w:color="auto"/>
            </w:tcBorders>
          </w:tcPr>
          <w:p>
            <w:pPr>
              <w:pStyle w:val="TableParagraph"/>
              <w:spacing w:line="155" w:lineRule="exact"/>
              <w:ind w:right="154"/>
              <w:jc w:val="right"/>
              <w:rPr>
                <w:rFonts w:ascii="宋体" w:hAnsi="宋体" w:cs="宋体" w:eastAsia="宋体" w:hint="default"/>
                <w:sz w:val="13"/>
                <w:szCs w:val="13"/>
              </w:rPr>
            </w:pPr>
            <w:r>
              <w:rPr>
                <w:rFonts w:ascii="宋体" w:hAnsi="宋体" w:cs="宋体" w:eastAsia="宋体" w:hint="default"/>
                <w:b/>
                <w:bCs/>
                <w:sz w:val="13"/>
                <w:szCs w:val="13"/>
              </w:rPr>
              <w:t>计提比例</w:t>
            </w:r>
            <w:r>
              <w:rPr>
                <w:rFonts w:ascii="宋体" w:hAnsi="宋体" w:cs="宋体" w:eastAsia="宋体" w:hint="default"/>
                <w:sz w:val="13"/>
                <w:szCs w:val="13"/>
              </w:rPr>
            </w:r>
          </w:p>
        </w:tc>
        <w:tc>
          <w:tcPr>
            <w:tcW w:w="1010" w:type="dxa"/>
            <w:tcBorders>
              <w:top w:val="nil" w:sz="6" w:space="0" w:color="auto"/>
              <w:left w:val="nil" w:sz="6" w:space="0" w:color="auto"/>
              <w:bottom w:val="nil" w:sz="6" w:space="0" w:color="auto"/>
              <w:right w:val="nil" w:sz="6" w:space="0" w:color="auto"/>
            </w:tcBorders>
          </w:tcPr>
          <w:p>
            <w:pPr>
              <w:pStyle w:val="TableParagraph"/>
              <w:spacing w:line="155" w:lineRule="exact"/>
              <w:ind w:right="24"/>
              <w:jc w:val="center"/>
              <w:rPr>
                <w:rFonts w:ascii="宋体" w:hAnsi="宋体" w:cs="宋体" w:eastAsia="宋体" w:hint="default"/>
                <w:sz w:val="13"/>
                <w:szCs w:val="13"/>
              </w:rPr>
            </w:pPr>
            <w:r>
              <w:rPr>
                <w:rFonts w:ascii="宋体" w:hAnsi="宋体" w:cs="宋体" w:eastAsia="宋体" w:hint="default"/>
                <w:b/>
                <w:bCs/>
                <w:sz w:val="13"/>
                <w:szCs w:val="13"/>
              </w:rPr>
              <w:t>金额</w:t>
            </w:r>
            <w:r>
              <w:rPr>
                <w:rFonts w:ascii="宋体" w:hAnsi="宋体" w:cs="宋体" w:eastAsia="宋体" w:hint="default"/>
                <w:sz w:val="13"/>
                <w:szCs w:val="13"/>
              </w:rPr>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6"/>
              <w:ind w:left="187" w:right="0"/>
              <w:jc w:val="left"/>
              <w:rPr>
                <w:rFonts w:ascii="宋体" w:hAnsi="宋体" w:cs="宋体" w:eastAsia="宋体" w:hint="default"/>
                <w:sz w:val="13"/>
                <w:szCs w:val="13"/>
              </w:rPr>
            </w:pPr>
            <w:r>
              <w:rPr>
                <w:rFonts w:ascii="宋体" w:hAnsi="宋体" w:cs="宋体" w:eastAsia="宋体" w:hint="default"/>
                <w:b/>
                <w:bCs/>
                <w:sz w:val="13"/>
                <w:szCs w:val="13"/>
              </w:rPr>
              <w:t>比例</w:t>
            </w:r>
            <w:r>
              <w:rPr>
                <w:rFonts w:ascii="宋体" w:hAnsi="宋体" w:cs="宋体" w:eastAsia="宋体" w:hint="default"/>
                <w:sz w:val="13"/>
                <w:szCs w:val="13"/>
              </w:rPr>
            </w:r>
          </w:p>
        </w:tc>
        <w:tc>
          <w:tcPr>
            <w:tcW w:w="779" w:type="dxa"/>
            <w:tcBorders>
              <w:top w:val="nil" w:sz="6" w:space="0" w:color="auto"/>
              <w:left w:val="nil" w:sz="6" w:space="0" w:color="auto"/>
              <w:bottom w:val="nil" w:sz="6" w:space="0" w:color="auto"/>
              <w:right w:val="nil" w:sz="6" w:space="0" w:color="auto"/>
            </w:tcBorders>
          </w:tcPr>
          <w:p>
            <w:pPr>
              <w:pStyle w:val="TableParagraph"/>
              <w:spacing w:line="155" w:lineRule="exact"/>
              <w:ind w:left="119" w:right="0"/>
              <w:jc w:val="left"/>
              <w:rPr>
                <w:rFonts w:ascii="宋体" w:hAnsi="宋体" w:cs="宋体" w:eastAsia="宋体" w:hint="default"/>
                <w:sz w:val="13"/>
                <w:szCs w:val="13"/>
              </w:rPr>
            </w:pPr>
            <w:r>
              <w:rPr>
                <w:rFonts w:ascii="宋体" w:hAnsi="宋体" w:cs="宋体" w:eastAsia="宋体" w:hint="default"/>
                <w:b/>
                <w:bCs/>
                <w:sz w:val="13"/>
                <w:szCs w:val="13"/>
              </w:rPr>
              <w:t>计提比例</w:t>
            </w:r>
            <w:r>
              <w:rPr>
                <w:rFonts w:ascii="宋体" w:hAnsi="宋体" w:cs="宋体" w:eastAsia="宋体" w:hint="default"/>
                <w:sz w:val="13"/>
                <w:szCs w:val="13"/>
              </w:rPr>
            </w:r>
          </w:p>
        </w:tc>
      </w:tr>
      <w:tr>
        <w:trPr>
          <w:trHeight w:val="395" w:hRule="exact"/>
        </w:trPr>
        <w:tc>
          <w:tcPr>
            <w:tcW w:w="1890" w:type="dxa"/>
            <w:tcBorders>
              <w:top w:val="nil" w:sz="6" w:space="0" w:color="auto"/>
              <w:left w:val="nil" w:sz="6" w:space="0" w:color="auto"/>
              <w:bottom w:val="single" w:sz="4" w:space="0" w:color="000000"/>
              <w:right w:val="nil" w:sz="6" w:space="0" w:color="auto"/>
            </w:tcBorders>
          </w:tcPr>
          <w:p>
            <w:pPr/>
          </w:p>
        </w:tc>
        <w:tc>
          <w:tcPr>
            <w:tcW w:w="1043" w:type="dxa"/>
            <w:tcBorders>
              <w:top w:val="nil" w:sz="6" w:space="0" w:color="auto"/>
              <w:left w:val="nil" w:sz="6" w:space="0" w:color="auto"/>
              <w:bottom w:val="single" w:sz="4" w:space="0" w:color="000000"/>
              <w:right w:val="nil" w:sz="6" w:space="0" w:color="auto"/>
            </w:tcBorders>
          </w:tcPr>
          <w:p>
            <w:pPr/>
          </w:p>
        </w:tc>
        <w:tc>
          <w:tcPr>
            <w:tcW w:w="1654" w:type="dxa"/>
            <w:tcBorders>
              <w:top w:val="nil" w:sz="6" w:space="0" w:color="auto"/>
              <w:left w:val="nil" w:sz="6" w:space="0" w:color="auto"/>
              <w:bottom w:val="single" w:sz="4" w:space="0" w:color="000000"/>
              <w:right w:val="nil" w:sz="6" w:space="0" w:color="auto"/>
            </w:tcBorders>
          </w:tcPr>
          <w:p>
            <w:pPr>
              <w:pStyle w:val="TableParagraph"/>
              <w:spacing w:line="139" w:lineRule="exact"/>
              <w:ind w:left="1027" w:right="0"/>
              <w:jc w:val="left"/>
              <w:rPr>
                <w:rFonts w:ascii="宋体" w:hAnsi="宋体" w:cs="宋体" w:eastAsia="宋体" w:hint="default"/>
                <w:sz w:val="13"/>
                <w:szCs w:val="13"/>
              </w:rPr>
            </w:pPr>
            <w:r>
              <w:rPr>
                <w:rFonts w:ascii="宋体" w:hAnsi="宋体" w:cs="宋体" w:eastAsia="宋体" w:hint="default"/>
                <w:b/>
                <w:bCs/>
                <w:sz w:val="13"/>
                <w:szCs w:val="13"/>
              </w:rPr>
              <w:t>准备</w:t>
            </w:r>
            <w:r>
              <w:rPr>
                <w:rFonts w:ascii="宋体" w:hAnsi="宋体" w:cs="宋体" w:eastAsia="宋体" w:hint="default"/>
                <w:sz w:val="13"/>
                <w:szCs w:val="13"/>
              </w:rPr>
            </w:r>
          </w:p>
          <w:p>
            <w:pPr>
              <w:pStyle w:val="TableParagraph"/>
              <w:spacing w:line="175" w:lineRule="exact"/>
              <w:ind w:left="124" w:right="0"/>
              <w:jc w:val="left"/>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831"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219" w:right="0"/>
              <w:jc w:val="left"/>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1010" w:type="dxa"/>
            <w:tcBorders>
              <w:top w:val="nil" w:sz="6" w:space="0" w:color="auto"/>
              <w:left w:val="nil" w:sz="6" w:space="0" w:color="auto"/>
              <w:bottom w:val="single" w:sz="4" w:space="0" w:color="000000"/>
              <w:right w:val="nil" w:sz="6" w:space="0" w:color="auto"/>
            </w:tcBorders>
          </w:tcPr>
          <w:p>
            <w:pPr/>
          </w:p>
        </w:tc>
        <w:tc>
          <w:tcPr>
            <w:tcW w:w="1590" w:type="dxa"/>
            <w:tcBorders>
              <w:top w:val="nil" w:sz="6" w:space="0" w:color="auto"/>
              <w:left w:val="nil" w:sz="6" w:space="0" w:color="auto"/>
              <w:bottom w:val="single" w:sz="4" w:space="0" w:color="000000"/>
              <w:right w:val="nil" w:sz="6" w:space="0" w:color="auto"/>
            </w:tcBorders>
          </w:tcPr>
          <w:p>
            <w:pPr>
              <w:pStyle w:val="TableParagraph"/>
              <w:spacing w:line="139" w:lineRule="exact"/>
              <w:ind w:left="984" w:right="0"/>
              <w:jc w:val="left"/>
              <w:rPr>
                <w:rFonts w:ascii="宋体" w:hAnsi="宋体" w:cs="宋体" w:eastAsia="宋体" w:hint="default"/>
                <w:sz w:val="13"/>
                <w:szCs w:val="13"/>
              </w:rPr>
            </w:pPr>
            <w:r>
              <w:rPr>
                <w:rFonts w:ascii="宋体" w:hAnsi="宋体" w:cs="宋体" w:eastAsia="宋体" w:hint="default"/>
                <w:b/>
                <w:bCs/>
                <w:sz w:val="13"/>
                <w:szCs w:val="13"/>
              </w:rPr>
              <w:t>准备</w:t>
            </w:r>
            <w:r>
              <w:rPr>
                <w:rFonts w:ascii="宋体" w:hAnsi="宋体" w:cs="宋体" w:eastAsia="宋体" w:hint="default"/>
                <w:sz w:val="13"/>
                <w:szCs w:val="13"/>
              </w:rPr>
            </w:r>
          </w:p>
          <w:p>
            <w:pPr>
              <w:pStyle w:val="TableParagraph"/>
              <w:spacing w:line="175" w:lineRule="exact"/>
              <w:ind w:left="122" w:right="0"/>
              <w:jc w:val="left"/>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779"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184" w:right="0"/>
              <w:jc w:val="left"/>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r>
      <w:tr>
        <w:trPr>
          <w:trHeight w:val="375" w:hRule="exact"/>
        </w:trPr>
        <w:tc>
          <w:tcPr>
            <w:tcW w:w="1890"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107" w:right="0"/>
              <w:jc w:val="left"/>
              <w:rPr>
                <w:rFonts w:ascii="宋体" w:hAnsi="宋体" w:cs="宋体" w:eastAsia="宋体" w:hint="default"/>
                <w:sz w:val="13"/>
                <w:szCs w:val="13"/>
              </w:rPr>
            </w:pPr>
            <w:r>
              <w:rPr>
                <w:rFonts w:ascii="宋体" w:hAnsi="宋体" w:cs="宋体" w:eastAsia="宋体" w:hint="default"/>
                <w:sz w:val="13"/>
                <w:szCs w:val="13"/>
              </w:rPr>
              <w:t>单项金额重大并单项计提坏</w:t>
            </w:r>
          </w:p>
        </w:tc>
        <w:tc>
          <w:tcPr>
            <w:tcW w:w="1043" w:type="dxa"/>
            <w:tcBorders>
              <w:top w:val="single" w:sz="4" w:space="0" w:color="000000"/>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nil" w:sz="6" w:space="0" w:color="auto"/>
              <w:right w:val="nil" w:sz="6" w:space="0" w:color="auto"/>
            </w:tcBorders>
          </w:tcPr>
          <w:p>
            <w:pPr/>
          </w:p>
        </w:tc>
        <w:tc>
          <w:tcPr>
            <w:tcW w:w="831" w:type="dxa"/>
            <w:tcBorders>
              <w:top w:val="single" w:sz="4" w:space="0" w:color="000000"/>
              <w:left w:val="nil" w:sz="6" w:space="0" w:color="auto"/>
              <w:bottom w:val="nil" w:sz="6" w:space="0" w:color="auto"/>
              <w:right w:val="nil" w:sz="6" w:space="0" w:color="auto"/>
            </w:tcBorders>
          </w:tcPr>
          <w:p>
            <w:pPr/>
          </w:p>
        </w:tc>
        <w:tc>
          <w:tcPr>
            <w:tcW w:w="1010" w:type="dxa"/>
            <w:tcBorders>
              <w:top w:val="single" w:sz="4" w:space="0" w:color="000000"/>
              <w:left w:val="nil" w:sz="6" w:space="0" w:color="auto"/>
              <w:bottom w:val="nil" w:sz="6" w:space="0" w:color="auto"/>
              <w:right w:val="nil" w:sz="6" w:space="0" w:color="auto"/>
            </w:tcBorders>
          </w:tcPr>
          <w:p>
            <w:pPr/>
          </w:p>
        </w:tc>
        <w:tc>
          <w:tcPr>
            <w:tcW w:w="1590" w:type="dxa"/>
            <w:tcBorders>
              <w:top w:val="single" w:sz="4" w:space="0" w:color="000000"/>
              <w:left w:val="nil" w:sz="6" w:space="0" w:color="auto"/>
              <w:bottom w:val="nil" w:sz="6" w:space="0" w:color="auto"/>
              <w:right w:val="nil" w:sz="6" w:space="0" w:color="auto"/>
            </w:tcBorders>
          </w:tcPr>
          <w:p>
            <w:pPr/>
          </w:p>
        </w:tc>
        <w:tc>
          <w:tcPr>
            <w:tcW w:w="779" w:type="dxa"/>
            <w:tcBorders>
              <w:top w:val="single" w:sz="4" w:space="0" w:color="000000"/>
              <w:left w:val="nil" w:sz="6" w:space="0" w:color="auto"/>
              <w:bottom w:val="nil" w:sz="6" w:space="0" w:color="auto"/>
              <w:right w:val="nil" w:sz="6" w:space="0" w:color="auto"/>
            </w:tcBorders>
          </w:tcPr>
          <w:p>
            <w:pPr/>
          </w:p>
        </w:tc>
      </w:tr>
      <w:tr>
        <w:trPr>
          <w:trHeight w:val="340" w:hRule="exact"/>
        </w:trPr>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 w:right="0"/>
              <w:jc w:val="left"/>
              <w:rPr>
                <w:rFonts w:ascii="宋体" w:hAnsi="宋体" w:cs="宋体" w:eastAsia="宋体" w:hint="default"/>
                <w:sz w:val="13"/>
                <w:szCs w:val="13"/>
              </w:rPr>
            </w:pPr>
            <w:r>
              <w:rPr>
                <w:rFonts w:ascii="宋体" w:hAnsi="宋体" w:cs="宋体" w:eastAsia="宋体" w:hint="default"/>
                <w:sz w:val="13"/>
                <w:szCs w:val="13"/>
              </w:rPr>
              <w:t>账准备的其他应收款</w:t>
            </w:r>
          </w:p>
        </w:tc>
        <w:tc>
          <w:tcPr>
            <w:tcW w:w="1043"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r>
      <w:tr>
        <w:trPr>
          <w:trHeight w:val="341" w:hRule="exact"/>
        </w:trPr>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3"/>
                <w:szCs w:val="13"/>
              </w:rPr>
            </w:pPr>
            <w:r>
              <w:rPr>
                <w:rFonts w:ascii="宋体" w:hAnsi="宋体" w:cs="宋体" w:eastAsia="宋体" w:hint="default"/>
                <w:sz w:val="13"/>
                <w:szCs w:val="13"/>
              </w:rPr>
              <w:t>按组合计提坏账准备的其他</w:t>
            </w:r>
          </w:p>
        </w:tc>
        <w:tc>
          <w:tcPr>
            <w:tcW w:w="1043"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r>
      <w:tr>
        <w:trPr>
          <w:trHeight w:val="318" w:hRule="exact"/>
        </w:trPr>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3"/>
                <w:szCs w:val="13"/>
              </w:rPr>
            </w:pPr>
            <w:r>
              <w:rPr>
                <w:rFonts w:ascii="宋体" w:hAnsi="宋体" w:cs="宋体" w:eastAsia="宋体" w:hint="default"/>
                <w:sz w:val="13"/>
                <w:szCs w:val="13"/>
              </w:rPr>
              <w:t>应收款</w:t>
            </w:r>
          </w:p>
        </w:tc>
        <w:tc>
          <w:tcPr>
            <w:tcW w:w="1043"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r>
      <w:tr>
        <w:trPr>
          <w:trHeight w:val="364" w:hRule="exact"/>
        </w:trPr>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7"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组合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3" w:right="0"/>
              <w:jc w:val="left"/>
              <w:rPr>
                <w:rFonts w:ascii="Times New Roman" w:hAnsi="Times New Roman" w:cs="Times New Roman" w:eastAsia="Times New Roman" w:hint="default"/>
                <w:sz w:val="13"/>
                <w:szCs w:val="13"/>
              </w:rPr>
            </w:pPr>
            <w:r>
              <w:rPr>
                <w:rFonts w:ascii="Times New Roman"/>
                <w:sz w:val="13"/>
              </w:rPr>
              <w:t>11,432,150.53</w:t>
            </w:r>
          </w:p>
        </w:tc>
        <w:tc>
          <w:tcPr>
            <w:tcW w:w="1654"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75"/>
              <w:ind w:right="149"/>
              <w:jc w:val="right"/>
              <w:rPr>
                <w:rFonts w:ascii="Times New Roman" w:hAnsi="Times New Roman" w:cs="Times New Roman" w:eastAsia="Times New Roman" w:hint="default"/>
                <w:sz w:val="13"/>
                <w:szCs w:val="13"/>
              </w:rPr>
            </w:pPr>
            <w:r>
              <w:rPr>
                <w:rFonts w:ascii="Times New Roman"/>
                <w:sz w:val="13"/>
              </w:rPr>
              <w:t>99.72</w:t>
              <w:tab/>
              <w:t>3,952,417.44</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5"/>
              <w:jc w:val="right"/>
              <w:rPr>
                <w:rFonts w:ascii="Times New Roman" w:hAnsi="Times New Roman" w:cs="Times New Roman" w:eastAsia="Times New Roman" w:hint="default"/>
                <w:sz w:val="13"/>
                <w:szCs w:val="13"/>
              </w:rPr>
            </w:pPr>
            <w:r>
              <w:rPr>
                <w:rFonts w:ascii="Times New Roman"/>
                <w:sz w:val="13"/>
              </w:rPr>
              <w:t>34.57</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42"/>
              <w:jc w:val="right"/>
              <w:rPr>
                <w:rFonts w:ascii="Times New Roman" w:hAnsi="Times New Roman" w:cs="Times New Roman" w:eastAsia="Times New Roman" w:hint="default"/>
                <w:sz w:val="13"/>
                <w:szCs w:val="13"/>
              </w:rPr>
            </w:pPr>
            <w:r>
              <w:rPr>
                <w:rFonts w:ascii="Times New Roman"/>
                <w:sz w:val="13"/>
              </w:rPr>
              <w:t>10,984,937.95</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tabs>
                <w:tab w:pos="772" w:val="left" w:leader="none"/>
              </w:tabs>
              <w:spacing w:line="240" w:lineRule="auto"/>
              <w:ind w:left="252" w:right="0"/>
              <w:jc w:val="left"/>
              <w:rPr>
                <w:rFonts w:ascii="Times New Roman" w:hAnsi="Times New Roman" w:cs="Times New Roman" w:eastAsia="Times New Roman" w:hint="default"/>
                <w:sz w:val="13"/>
                <w:szCs w:val="13"/>
              </w:rPr>
            </w:pPr>
            <w:r>
              <w:rPr>
                <w:rFonts w:ascii="Times New Roman"/>
                <w:sz w:val="13"/>
              </w:rPr>
              <w:t>99.46</w:t>
              <w:tab/>
              <w:t>3,735,950.20</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8"/>
              <w:jc w:val="right"/>
              <w:rPr>
                <w:rFonts w:ascii="Times New Roman" w:hAnsi="Times New Roman" w:cs="Times New Roman" w:eastAsia="Times New Roman" w:hint="default"/>
                <w:sz w:val="13"/>
                <w:szCs w:val="13"/>
              </w:rPr>
            </w:pPr>
            <w:r>
              <w:rPr>
                <w:rFonts w:ascii="Times New Roman"/>
                <w:sz w:val="13"/>
              </w:rPr>
              <w:t>34.01</w:t>
            </w:r>
          </w:p>
        </w:tc>
      </w:tr>
      <w:tr>
        <w:trPr>
          <w:trHeight w:val="360" w:hRule="exact"/>
        </w:trPr>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组合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2</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97" w:right="0"/>
              <w:jc w:val="left"/>
              <w:rPr>
                <w:rFonts w:ascii="Times New Roman" w:hAnsi="Times New Roman" w:cs="Times New Roman" w:eastAsia="Times New Roman" w:hint="default"/>
                <w:sz w:val="13"/>
                <w:szCs w:val="13"/>
              </w:rPr>
            </w:pPr>
            <w:r>
              <w:rPr>
                <w:rFonts w:ascii="Times New Roman"/>
                <w:sz w:val="13"/>
              </w:rPr>
              <w:t>31,685.79</w:t>
            </w:r>
          </w:p>
        </w:tc>
        <w:tc>
          <w:tcPr>
            <w:tcW w:w="1654" w:type="dxa"/>
            <w:tcBorders>
              <w:top w:val="nil" w:sz="6" w:space="0" w:color="auto"/>
              <w:left w:val="nil" w:sz="6" w:space="0" w:color="auto"/>
              <w:bottom w:val="nil" w:sz="6" w:space="0" w:color="auto"/>
              <w:right w:val="nil" w:sz="6" w:space="0" w:color="auto"/>
            </w:tcBorders>
          </w:tcPr>
          <w:p>
            <w:pPr>
              <w:pStyle w:val="TableParagraph"/>
              <w:tabs>
                <w:tab w:pos="897" w:val="left" w:leader="none"/>
              </w:tabs>
              <w:spacing w:line="240" w:lineRule="auto" w:before="72"/>
              <w:ind w:left="321" w:right="0"/>
              <w:jc w:val="left"/>
              <w:rPr>
                <w:rFonts w:ascii="Times New Roman" w:hAnsi="Times New Roman" w:cs="Times New Roman" w:eastAsia="Times New Roman" w:hint="default"/>
                <w:sz w:val="13"/>
                <w:szCs w:val="13"/>
              </w:rPr>
            </w:pPr>
            <w:r>
              <w:rPr>
                <w:rFonts w:ascii="Times New Roman"/>
                <w:sz w:val="13"/>
              </w:rPr>
              <w:t>0.28</w:t>
              <w:tab/>
              <w:t>10,482.90</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5"/>
              <w:jc w:val="right"/>
              <w:rPr>
                <w:rFonts w:ascii="Times New Roman" w:hAnsi="Times New Roman" w:cs="Times New Roman" w:eastAsia="Times New Roman" w:hint="default"/>
                <w:sz w:val="13"/>
                <w:szCs w:val="13"/>
              </w:rPr>
            </w:pPr>
            <w:r>
              <w:rPr>
                <w:rFonts w:ascii="Times New Roman"/>
                <w:sz w:val="13"/>
              </w:rPr>
              <w:t>33.08</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122"/>
              <w:jc w:val="right"/>
              <w:rPr>
                <w:rFonts w:ascii="Times New Roman" w:hAnsi="Times New Roman" w:cs="Times New Roman" w:eastAsia="Times New Roman" w:hint="default"/>
                <w:sz w:val="13"/>
                <w:szCs w:val="13"/>
              </w:rPr>
            </w:pPr>
            <w:r>
              <w:rPr>
                <w:rFonts w:ascii="Times New Roman"/>
                <w:sz w:val="13"/>
              </w:rPr>
              <w:t>59,973.79</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tabs>
                <w:tab w:pos="696" w:val="left" w:leader="none"/>
              </w:tabs>
              <w:spacing w:line="240" w:lineRule="auto"/>
              <w:ind w:right="120"/>
              <w:jc w:val="right"/>
              <w:rPr>
                <w:rFonts w:ascii="Times New Roman" w:hAnsi="Times New Roman" w:cs="Times New Roman" w:eastAsia="Times New Roman" w:hint="default"/>
                <w:sz w:val="13"/>
                <w:szCs w:val="13"/>
              </w:rPr>
            </w:pPr>
            <w:r>
              <w:rPr>
                <w:rFonts w:ascii="Times New Roman"/>
                <w:sz w:val="13"/>
              </w:rPr>
              <w:t>0.54</w:t>
              <w:tab/>
              <w:t>3,975.48</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108"/>
              <w:jc w:val="right"/>
              <w:rPr>
                <w:rFonts w:ascii="Times New Roman" w:hAnsi="Times New Roman" w:cs="Times New Roman" w:eastAsia="Times New Roman" w:hint="default"/>
                <w:sz w:val="13"/>
                <w:szCs w:val="13"/>
              </w:rPr>
            </w:pPr>
            <w:r>
              <w:rPr>
                <w:rFonts w:ascii="Times New Roman"/>
                <w:sz w:val="13"/>
              </w:rPr>
              <w:t>6.63</w:t>
            </w:r>
          </w:p>
        </w:tc>
      </w:tr>
      <w:tr>
        <w:trPr>
          <w:trHeight w:val="371" w:hRule="exact"/>
        </w:trPr>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3"/>
                <w:szCs w:val="13"/>
              </w:rPr>
            </w:pPr>
            <w:r>
              <w:rPr>
                <w:rFonts w:ascii="宋体" w:hAnsi="宋体" w:cs="宋体" w:eastAsia="宋体" w:hint="default"/>
                <w:sz w:val="13"/>
                <w:szCs w:val="13"/>
              </w:rPr>
              <w:t>组合小计</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13"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11,463,836.32</w:t>
            </w:r>
            <w:r>
              <w:rPr>
                <w:rFonts w:ascii="Times New Roman"/>
                <w:sz w:val="13"/>
              </w:rPr>
            </w:r>
          </w:p>
        </w:tc>
        <w:tc>
          <w:tcPr>
            <w:tcW w:w="1654" w:type="dxa"/>
            <w:tcBorders>
              <w:top w:val="nil" w:sz="6" w:space="0" w:color="auto"/>
              <w:left w:val="nil" w:sz="6" w:space="0" w:color="auto"/>
              <w:bottom w:val="nil" w:sz="6" w:space="0" w:color="auto"/>
              <w:right w:val="nil" w:sz="6" w:space="0" w:color="auto"/>
            </w:tcBorders>
          </w:tcPr>
          <w:p>
            <w:pPr>
              <w:pStyle w:val="TableParagraph"/>
              <w:tabs>
                <w:tab w:pos="463" w:val="left" w:leader="none"/>
              </w:tabs>
              <w:spacing w:line="240" w:lineRule="auto" w:before="71"/>
              <w:ind w:right="149"/>
              <w:jc w:val="right"/>
              <w:rPr>
                <w:rFonts w:ascii="Times New Roman" w:hAnsi="Times New Roman" w:cs="Times New Roman" w:eastAsia="Times New Roman" w:hint="default"/>
                <w:sz w:val="13"/>
                <w:szCs w:val="13"/>
              </w:rPr>
            </w:pPr>
            <w:r>
              <w:rPr>
                <w:rFonts w:ascii="Times New Roman"/>
                <w:w w:val="99"/>
                <w:sz w:val="13"/>
              </w:rPr>
            </w:r>
            <w:r>
              <w:rPr>
                <w:rFonts w:ascii="Times New Roman"/>
                <w:w w:val="95"/>
                <w:sz w:val="13"/>
                <w:u w:val="single" w:color="000000"/>
              </w:rPr>
              <w:t>100</w:t>
            </w:r>
            <w:r>
              <w:rPr>
                <w:rFonts w:ascii="Times New Roman"/>
                <w:w w:val="95"/>
                <w:sz w:val="13"/>
              </w:rPr>
              <w:tab/>
            </w:r>
            <w:r>
              <w:rPr>
                <w:rFonts w:ascii="Times New Roman"/>
                <w:sz w:val="13"/>
                <w:u w:val="single" w:color="000000"/>
              </w:rPr>
              <w:t>3,962,900.34</w:t>
            </w:r>
            <w:r>
              <w:rPr>
                <w:rFonts w:ascii="Times New Roman"/>
                <w:sz w:val="13"/>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5"/>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34.57</w:t>
            </w:r>
            <w:r>
              <w:rPr>
                <w:rFonts w:ascii="Times New Roman"/>
                <w:sz w:val="13"/>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120"/>
              <w:jc w:val="right"/>
              <w:rPr>
                <w:rFonts w:ascii="Times New Roman" w:hAnsi="Times New Roman" w:cs="Times New Roman" w:eastAsia="Times New Roman" w:hint="default"/>
                <w:sz w:val="13"/>
                <w:szCs w:val="13"/>
              </w:rPr>
            </w:pPr>
            <w:r>
              <w:rPr>
                <w:rFonts w:ascii="Times New Roman"/>
                <w:w w:val="99"/>
                <w:sz w:val="13"/>
              </w:rPr>
            </w:r>
            <w:r>
              <w:rPr>
                <w:rFonts w:ascii="Times New Roman"/>
                <w:spacing w:val="-1"/>
                <w:sz w:val="13"/>
                <w:u w:val="single" w:color="000000"/>
              </w:rPr>
              <w:t>11,044,911.74</w:t>
            </w:r>
            <w:r>
              <w:rPr>
                <w:rFonts w:ascii="Times New Roman"/>
                <w:spacing w:val="-1"/>
                <w:sz w:val="13"/>
              </w:rPr>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tabs>
                <w:tab w:pos="436" w:val="left" w:leader="none"/>
              </w:tabs>
              <w:spacing w:line="240" w:lineRule="auto"/>
              <w:ind w:right="117"/>
              <w:jc w:val="right"/>
              <w:rPr>
                <w:rFonts w:ascii="Times New Roman" w:hAnsi="Times New Roman" w:cs="Times New Roman" w:eastAsia="Times New Roman" w:hint="default"/>
                <w:sz w:val="13"/>
                <w:szCs w:val="13"/>
              </w:rPr>
            </w:pPr>
            <w:r>
              <w:rPr>
                <w:rFonts w:ascii="Times New Roman"/>
                <w:w w:val="99"/>
                <w:sz w:val="13"/>
              </w:rPr>
            </w:r>
            <w:r>
              <w:rPr>
                <w:rFonts w:ascii="Times New Roman"/>
                <w:w w:val="95"/>
                <w:sz w:val="13"/>
                <w:u w:val="single" w:color="000000"/>
              </w:rPr>
              <w:t>100</w:t>
            </w:r>
            <w:r>
              <w:rPr>
                <w:rFonts w:ascii="Times New Roman"/>
                <w:w w:val="95"/>
                <w:sz w:val="13"/>
              </w:rPr>
              <w:tab/>
            </w:r>
            <w:r>
              <w:rPr>
                <w:rFonts w:ascii="Times New Roman"/>
                <w:sz w:val="13"/>
                <w:u w:val="single" w:color="000000"/>
              </w:rPr>
              <w:t>3,739,925.68</w:t>
            </w:r>
            <w:r>
              <w:rPr>
                <w:rFonts w:ascii="Times New Roman"/>
                <w:sz w:val="13"/>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108"/>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33.86</w:t>
            </w:r>
            <w:r>
              <w:rPr>
                <w:rFonts w:ascii="Times New Roman"/>
                <w:sz w:val="13"/>
              </w:rPr>
            </w:r>
          </w:p>
        </w:tc>
      </w:tr>
    </w:tbl>
    <w:p>
      <w:pPr>
        <w:spacing w:after="0" w:line="240" w:lineRule="auto"/>
        <w:jc w:val="right"/>
        <w:rPr>
          <w:rFonts w:ascii="Times New Roman" w:hAnsi="Times New Roman" w:cs="Times New Roman" w:eastAsia="Times New Roman" w:hint="default"/>
          <w:sz w:val="13"/>
          <w:szCs w:val="13"/>
        </w:rPr>
        <w:sectPr>
          <w:pgSz w:w="11910" w:h="16840"/>
          <w:pgMar w:header="0" w:footer="979" w:top="1480" w:bottom="1160" w:left="1440" w:right="1300"/>
        </w:sectPr>
      </w:pPr>
    </w:p>
    <w:p>
      <w:pPr>
        <w:tabs>
          <w:tab w:pos="6954" w:val="left" w:leader="none"/>
        </w:tabs>
        <w:spacing w:before="47"/>
        <w:ind w:left="3476" w:right="0" w:firstLine="0"/>
        <w:jc w:val="left"/>
        <w:rPr>
          <w:rFonts w:ascii="宋体" w:hAnsi="宋体" w:cs="宋体" w:eastAsia="宋体" w:hint="default"/>
          <w:sz w:val="13"/>
          <w:szCs w:val="13"/>
        </w:rPr>
      </w:pPr>
      <w:r>
        <w:rPr>
          <w:rFonts w:ascii="宋体" w:hAnsi="宋体" w:cs="宋体" w:eastAsia="宋体" w:hint="default"/>
          <w:b/>
          <w:bCs/>
          <w:sz w:val="13"/>
          <w:szCs w:val="13"/>
        </w:rPr>
        <w:t>期末余额</w:t>
        <w:tab/>
        <w:t>期初余额</w:t>
      </w:r>
      <w:r>
        <w:rPr>
          <w:rFonts w:ascii="宋体" w:hAnsi="宋体" w:cs="宋体" w:eastAsia="宋体" w:hint="default"/>
          <w:sz w:val="13"/>
          <w:szCs w:val="13"/>
        </w:rPr>
      </w:r>
    </w:p>
    <w:p>
      <w:pPr>
        <w:spacing w:line="240" w:lineRule="auto" w:before="13"/>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0" w:footer="979" w:top="1480" w:bottom="1160" w:left="1440" w:right="1300"/>
        </w:sectPr>
      </w:pPr>
    </w:p>
    <w:p>
      <w:pPr>
        <w:spacing w:line="165" w:lineRule="exact" w:before="59"/>
        <w:ind w:left="0" w:right="773" w:firstLine="0"/>
        <w:jc w:val="right"/>
        <w:rPr>
          <w:rFonts w:ascii="宋体" w:hAnsi="宋体" w:cs="宋体" w:eastAsia="宋体" w:hint="default"/>
          <w:sz w:val="13"/>
          <w:szCs w:val="13"/>
        </w:rPr>
      </w:pPr>
      <w:r>
        <w:rPr>
          <w:rFonts w:ascii="宋体" w:hAnsi="宋体" w:cs="宋体" w:eastAsia="宋体" w:hint="default"/>
          <w:b/>
          <w:bCs/>
          <w:w w:val="95"/>
          <w:sz w:val="13"/>
          <w:szCs w:val="13"/>
        </w:rPr>
        <w:t>占总额</w:t>
      </w:r>
      <w:r>
        <w:rPr>
          <w:rFonts w:ascii="宋体" w:hAnsi="宋体" w:cs="宋体" w:eastAsia="宋体" w:hint="default"/>
          <w:sz w:val="13"/>
          <w:szCs w:val="13"/>
        </w:rPr>
      </w:r>
    </w:p>
    <w:p>
      <w:pPr>
        <w:tabs>
          <w:tab w:pos="3173" w:val="left" w:leader="none"/>
        </w:tabs>
        <w:spacing w:line="165" w:lineRule="exact" w:before="0"/>
        <w:ind w:left="0" w:right="0" w:firstLine="0"/>
        <w:jc w:val="right"/>
        <w:rPr>
          <w:rFonts w:ascii="宋体" w:hAnsi="宋体" w:cs="宋体" w:eastAsia="宋体" w:hint="default"/>
          <w:sz w:val="13"/>
          <w:szCs w:val="13"/>
        </w:rPr>
      </w:pPr>
      <w:r>
        <w:rPr>
          <w:rFonts w:ascii="宋体" w:hAnsi="宋体" w:cs="宋体" w:eastAsia="宋体" w:hint="default"/>
          <w:b/>
          <w:bCs/>
          <w:sz w:val="13"/>
          <w:szCs w:val="13"/>
        </w:rPr>
        <w:t>类别</w:t>
        <w:tab/>
        <w:t>坏账</w:t>
      </w:r>
      <w:r>
        <w:rPr>
          <w:rFonts w:ascii="宋体" w:hAnsi="宋体" w:cs="宋体" w:eastAsia="宋体" w:hint="default"/>
          <w:sz w:val="13"/>
          <w:szCs w:val="13"/>
        </w:rPr>
      </w:r>
    </w:p>
    <w:p>
      <w:pPr>
        <w:tabs>
          <w:tab w:pos="878" w:val="left" w:leader="none"/>
        </w:tabs>
        <w:spacing w:line="185" w:lineRule="exact" w:before="9"/>
        <w:ind w:left="0" w:right="835" w:firstLine="0"/>
        <w:jc w:val="right"/>
        <w:rPr>
          <w:rFonts w:ascii="宋体" w:hAnsi="宋体" w:cs="宋体" w:eastAsia="宋体" w:hint="default"/>
          <w:sz w:val="13"/>
          <w:szCs w:val="13"/>
        </w:rPr>
      </w:pPr>
      <w:r>
        <w:rPr>
          <w:rFonts w:ascii="宋体" w:hAnsi="宋体" w:cs="宋体" w:eastAsia="宋体" w:hint="default"/>
          <w:b/>
          <w:bCs/>
          <w:position w:val="2"/>
          <w:sz w:val="13"/>
          <w:szCs w:val="13"/>
        </w:rPr>
        <w:t>金额</w:t>
        <w:tab/>
      </w:r>
      <w:r>
        <w:rPr>
          <w:rFonts w:ascii="宋体" w:hAnsi="宋体" w:cs="宋体" w:eastAsia="宋体" w:hint="default"/>
          <w:b/>
          <w:bCs/>
          <w:sz w:val="13"/>
          <w:szCs w:val="13"/>
        </w:rPr>
        <w:t>比例</w:t>
      </w:r>
      <w:r>
        <w:rPr>
          <w:rFonts w:ascii="宋体" w:hAnsi="宋体" w:cs="宋体" w:eastAsia="宋体" w:hint="default"/>
          <w:sz w:val="13"/>
          <w:szCs w:val="13"/>
        </w:rPr>
      </w:r>
    </w:p>
    <w:p>
      <w:pPr>
        <w:spacing w:line="160" w:lineRule="exact" w:before="0"/>
        <w:ind w:left="0" w:right="0" w:firstLine="0"/>
        <w:jc w:val="right"/>
        <w:rPr>
          <w:rFonts w:ascii="宋体" w:hAnsi="宋体" w:cs="宋体" w:eastAsia="宋体" w:hint="default"/>
          <w:sz w:val="13"/>
          <w:szCs w:val="13"/>
        </w:rPr>
      </w:pPr>
      <w:r>
        <w:rPr>
          <w:rFonts w:ascii="宋体" w:hAnsi="宋体" w:cs="宋体" w:eastAsia="宋体" w:hint="default"/>
          <w:b/>
          <w:bCs/>
          <w:sz w:val="13"/>
          <w:szCs w:val="13"/>
        </w:rPr>
        <w:t>准备</w:t>
      </w:r>
      <w:r>
        <w:rPr>
          <w:rFonts w:ascii="宋体" w:hAnsi="宋体" w:cs="宋体" w:eastAsia="宋体" w:hint="default"/>
          <w:sz w:val="13"/>
          <w:szCs w:val="13"/>
        </w:rPr>
      </w:r>
    </w:p>
    <w:p>
      <w:pPr>
        <w:spacing w:line="174" w:lineRule="exact" w:before="0"/>
        <w:ind w:left="0" w:right="775" w:firstLine="0"/>
        <w:jc w:val="right"/>
        <w:rPr>
          <w:rFonts w:ascii="宋体" w:hAnsi="宋体" w:cs="宋体" w:eastAsia="宋体" w:hint="default"/>
          <w:sz w:val="13"/>
          <w:szCs w:val="13"/>
        </w:rPr>
      </w:pPr>
      <w:r>
        <w:rPr>
          <w:rFonts w:ascii="宋体" w:hAnsi="宋体" w:cs="宋体" w:eastAsia="宋体" w:hint="default"/>
          <w:b/>
          <w:bCs/>
          <w:spacing w:val="-1"/>
          <w:w w:val="95"/>
          <w:sz w:val="13"/>
          <w:szCs w:val="13"/>
        </w:rPr>
        <w:t>（</w:t>
      </w:r>
      <w:r>
        <w:rPr>
          <w:rFonts w:ascii="Times New Roman" w:hAnsi="Times New Roman" w:cs="Times New Roman" w:eastAsia="Times New Roman" w:hint="default"/>
          <w:b/>
          <w:bCs/>
          <w:spacing w:val="-1"/>
          <w:w w:val="95"/>
          <w:sz w:val="13"/>
          <w:szCs w:val="13"/>
        </w:rPr>
        <w:t>%</w:t>
      </w:r>
      <w:r>
        <w:rPr>
          <w:rFonts w:ascii="宋体" w:hAnsi="宋体" w:cs="宋体" w:eastAsia="宋体" w:hint="default"/>
          <w:b/>
          <w:bCs/>
          <w:spacing w:val="-1"/>
          <w:w w:val="95"/>
          <w:sz w:val="13"/>
          <w:szCs w:val="13"/>
        </w:rPr>
        <w:t>）</w:t>
      </w:r>
      <w:r>
        <w:rPr>
          <w:rFonts w:ascii="宋体" w:hAnsi="宋体" w:cs="宋体" w:eastAsia="宋体" w:hint="default"/>
          <w:spacing w:val="-1"/>
          <w:sz w:val="13"/>
          <w:szCs w:val="13"/>
        </w:rPr>
      </w:r>
    </w:p>
    <w:p>
      <w:pPr>
        <w:spacing w:line="453" w:lineRule="auto" w:before="78"/>
        <w:ind w:left="473" w:right="-19" w:firstLine="0"/>
        <w:jc w:val="left"/>
        <w:rPr>
          <w:rFonts w:ascii="宋体" w:hAnsi="宋体" w:cs="宋体" w:eastAsia="宋体" w:hint="default"/>
          <w:sz w:val="13"/>
          <w:szCs w:val="13"/>
        </w:rPr>
      </w:pPr>
      <w:r>
        <w:rPr/>
        <w:br w:type="column"/>
      </w:r>
      <w:r>
        <w:rPr>
          <w:rFonts w:ascii="宋体" w:hAnsi="宋体" w:cs="宋体" w:eastAsia="宋体" w:hint="default"/>
          <w:b/>
          <w:bCs/>
          <w:sz w:val="13"/>
          <w:szCs w:val="13"/>
        </w:rPr>
        <w:t>坏账准备</w:t>
      </w:r>
      <w:r>
        <w:rPr>
          <w:rFonts w:ascii="宋体" w:hAnsi="宋体" w:cs="宋体" w:eastAsia="宋体" w:hint="default"/>
          <w:b/>
          <w:bCs/>
          <w:w w:val="99"/>
          <w:sz w:val="13"/>
          <w:szCs w:val="13"/>
        </w:rPr>
        <w:t> </w:t>
      </w:r>
      <w:r>
        <w:rPr>
          <w:rFonts w:ascii="宋体" w:hAnsi="宋体" w:cs="宋体" w:eastAsia="宋体" w:hint="default"/>
          <w:b/>
          <w:bCs/>
          <w:sz w:val="13"/>
          <w:szCs w:val="13"/>
        </w:rPr>
        <w:t>计提比例</w:t>
      </w:r>
      <w:r>
        <w:rPr>
          <w:rFonts w:ascii="宋体" w:hAnsi="宋体" w:cs="宋体" w:eastAsia="宋体" w:hint="default"/>
          <w:sz w:val="13"/>
          <w:szCs w:val="13"/>
        </w:rPr>
      </w:r>
    </w:p>
    <w:p>
      <w:pPr>
        <w:spacing w:before="33"/>
        <w:ind w:left="541" w:right="-19" w:firstLine="0"/>
        <w:jc w:val="left"/>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p>
      <w:pPr>
        <w:spacing w:before="59"/>
        <w:ind w:left="0" w:right="0" w:firstLine="0"/>
        <w:jc w:val="right"/>
        <w:rPr>
          <w:rFonts w:ascii="宋体" w:hAnsi="宋体" w:cs="宋体" w:eastAsia="宋体" w:hint="default"/>
          <w:sz w:val="13"/>
          <w:szCs w:val="13"/>
        </w:rPr>
      </w:pPr>
      <w:r>
        <w:rPr>
          <w:w w:val="95"/>
        </w:rPr>
        <w:br w:type="column"/>
      </w:r>
      <w:r>
        <w:rPr>
          <w:rFonts w:ascii="宋体" w:hAnsi="宋体" w:cs="宋体" w:eastAsia="宋体" w:hint="default"/>
          <w:b/>
          <w:bCs/>
          <w:w w:val="95"/>
          <w:sz w:val="13"/>
          <w:szCs w:val="13"/>
        </w:rPr>
        <w:t>占总额</w:t>
      </w:r>
      <w:r>
        <w:rPr>
          <w:rFonts w:ascii="宋体" w:hAnsi="宋体" w:cs="宋体" w:eastAsia="宋体" w:hint="default"/>
          <w:sz w:val="13"/>
          <w:szCs w:val="13"/>
        </w:rPr>
      </w:r>
    </w:p>
    <w:p>
      <w:pPr>
        <w:spacing w:line="240" w:lineRule="auto" w:before="13"/>
        <w:rPr>
          <w:rFonts w:ascii="宋体" w:hAnsi="宋体" w:cs="宋体" w:eastAsia="宋体" w:hint="default"/>
          <w:b/>
          <w:bCs/>
          <w:sz w:val="12"/>
          <w:szCs w:val="12"/>
        </w:rPr>
      </w:pPr>
    </w:p>
    <w:p>
      <w:pPr>
        <w:tabs>
          <w:tab w:pos="837" w:val="left" w:leader="none"/>
        </w:tabs>
        <w:spacing w:before="0"/>
        <w:ind w:left="0" w:right="60" w:firstLine="0"/>
        <w:jc w:val="right"/>
        <w:rPr>
          <w:rFonts w:ascii="宋体" w:hAnsi="宋体" w:cs="宋体" w:eastAsia="宋体" w:hint="default"/>
          <w:sz w:val="13"/>
          <w:szCs w:val="13"/>
        </w:rPr>
      </w:pPr>
      <w:r>
        <w:rPr>
          <w:rFonts w:ascii="宋体" w:hAnsi="宋体" w:cs="宋体" w:eastAsia="宋体" w:hint="default"/>
          <w:b/>
          <w:bCs/>
          <w:position w:val="2"/>
          <w:sz w:val="13"/>
          <w:szCs w:val="13"/>
        </w:rPr>
        <w:t>金额</w:t>
        <w:tab/>
      </w:r>
      <w:r>
        <w:rPr>
          <w:rFonts w:ascii="宋体" w:hAnsi="宋体" w:cs="宋体" w:eastAsia="宋体" w:hint="default"/>
          <w:b/>
          <w:bCs/>
          <w:sz w:val="13"/>
          <w:szCs w:val="13"/>
        </w:rPr>
        <w:t>比例</w:t>
      </w:r>
      <w:r>
        <w:rPr>
          <w:rFonts w:ascii="宋体" w:hAnsi="宋体" w:cs="宋体" w:eastAsia="宋体" w:hint="default"/>
          <w:sz w:val="13"/>
          <w:szCs w:val="13"/>
        </w:rPr>
      </w:r>
    </w:p>
    <w:p>
      <w:pPr>
        <w:spacing w:line="240" w:lineRule="auto" w:before="5"/>
        <w:rPr>
          <w:rFonts w:ascii="宋体" w:hAnsi="宋体" w:cs="宋体" w:eastAsia="宋体" w:hint="default"/>
          <w:b/>
          <w:bCs/>
          <w:sz w:val="11"/>
          <w:szCs w:val="11"/>
        </w:rPr>
      </w:pPr>
    </w:p>
    <w:p>
      <w:pPr>
        <w:spacing w:before="0"/>
        <w:ind w:left="0" w:right="0" w:firstLine="0"/>
        <w:jc w:val="right"/>
        <w:rPr>
          <w:rFonts w:ascii="宋体" w:hAnsi="宋体" w:cs="宋体" w:eastAsia="宋体" w:hint="default"/>
          <w:sz w:val="13"/>
          <w:szCs w:val="13"/>
        </w:rPr>
      </w:pPr>
      <w:r>
        <w:rPr>
          <w:rFonts w:ascii="宋体" w:hAnsi="宋体" w:cs="宋体" w:eastAsia="宋体" w:hint="default"/>
          <w:b/>
          <w:bCs/>
          <w:spacing w:val="-1"/>
          <w:w w:val="95"/>
          <w:sz w:val="13"/>
          <w:szCs w:val="13"/>
        </w:rPr>
        <w:t>（</w:t>
      </w:r>
      <w:r>
        <w:rPr>
          <w:rFonts w:ascii="Times New Roman" w:hAnsi="Times New Roman" w:cs="Times New Roman" w:eastAsia="Times New Roman" w:hint="default"/>
          <w:b/>
          <w:bCs/>
          <w:spacing w:val="-1"/>
          <w:w w:val="95"/>
          <w:sz w:val="13"/>
          <w:szCs w:val="13"/>
        </w:rPr>
        <w:t>%</w:t>
      </w:r>
      <w:r>
        <w:rPr>
          <w:rFonts w:ascii="宋体" w:hAnsi="宋体" w:cs="宋体" w:eastAsia="宋体" w:hint="default"/>
          <w:b/>
          <w:bCs/>
          <w:spacing w:val="-1"/>
          <w:w w:val="95"/>
          <w:sz w:val="13"/>
          <w:szCs w:val="13"/>
        </w:rPr>
        <w:t>）</w:t>
      </w:r>
      <w:r>
        <w:rPr>
          <w:rFonts w:ascii="宋体" w:hAnsi="宋体" w:cs="宋体" w:eastAsia="宋体" w:hint="default"/>
          <w:spacing w:val="-1"/>
          <w:sz w:val="13"/>
          <w:szCs w:val="13"/>
        </w:rPr>
      </w:r>
    </w:p>
    <w:p>
      <w:pPr>
        <w:spacing w:line="156" w:lineRule="exact" w:before="78"/>
        <w:ind w:left="1155" w:right="0" w:firstLine="0"/>
        <w:jc w:val="left"/>
        <w:rPr>
          <w:rFonts w:ascii="宋体" w:hAnsi="宋体" w:cs="宋体" w:eastAsia="宋体" w:hint="default"/>
          <w:sz w:val="13"/>
          <w:szCs w:val="13"/>
        </w:rPr>
      </w:pPr>
      <w:r>
        <w:rPr/>
        <w:br w:type="column"/>
      </w:r>
      <w:r>
        <w:rPr>
          <w:rFonts w:ascii="宋体" w:hAnsi="宋体" w:cs="宋体" w:eastAsia="宋体" w:hint="default"/>
          <w:b/>
          <w:bCs/>
          <w:sz w:val="13"/>
          <w:szCs w:val="13"/>
        </w:rPr>
        <w:t>坏账准备</w:t>
      </w:r>
      <w:r>
        <w:rPr>
          <w:rFonts w:ascii="宋体" w:hAnsi="宋体" w:cs="宋体" w:eastAsia="宋体" w:hint="default"/>
          <w:sz w:val="13"/>
          <w:szCs w:val="13"/>
        </w:rPr>
      </w:r>
    </w:p>
    <w:p>
      <w:pPr>
        <w:spacing w:line="156" w:lineRule="exact" w:before="0"/>
        <w:ind w:left="431" w:right="0" w:firstLine="0"/>
        <w:jc w:val="left"/>
        <w:rPr>
          <w:rFonts w:ascii="宋体" w:hAnsi="宋体" w:cs="宋体" w:eastAsia="宋体" w:hint="default"/>
          <w:sz w:val="13"/>
          <w:szCs w:val="13"/>
        </w:rPr>
      </w:pPr>
      <w:r>
        <w:rPr>
          <w:rFonts w:ascii="宋体" w:hAnsi="宋体" w:cs="宋体" w:eastAsia="宋体" w:hint="default"/>
          <w:b/>
          <w:bCs/>
          <w:sz w:val="13"/>
          <w:szCs w:val="13"/>
        </w:rPr>
        <w:t>坏账</w:t>
      </w:r>
      <w:r>
        <w:rPr>
          <w:rFonts w:ascii="宋体" w:hAnsi="宋体" w:cs="宋体" w:eastAsia="宋体" w:hint="default"/>
          <w:sz w:val="13"/>
          <w:szCs w:val="13"/>
        </w:rPr>
      </w:r>
    </w:p>
    <w:p>
      <w:pPr>
        <w:spacing w:before="10"/>
        <w:ind w:left="1155" w:right="0" w:firstLine="0"/>
        <w:jc w:val="left"/>
        <w:rPr>
          <w:rFonts w:ascii="宋体" w:hAnsi="宋体" w:cs="宋体" w:eastAsia="宋体" w:hint="default"/>
          <w:sz w:val="13"/>
          <w:szCs w:val="13"/>
        </w:rPr>
      </w:pPr>
      <w:r>
        <w:rPr>
          <w:rFonts w:ascii="宋体" w:hAnsi="宋体" w:cs="宋体" w:eastAsia="宋体" w:hint="default"/>
          <w:b/>
          <w:bCs/>
          <w:sz w:val="13"/>
          <w:szCs w:val="13"/>
        </w:rPr>
        <w:t>计提比例</w:t>
      </w:r>
      <w:r>
        <w:rPr>
          <w:rFonts w:ascii="宋体" w:hAnsi="宋体" w:cs="宋体" w:eastAsia="宋体" w:hint="default"/>
          <w:sz w:val="13"/>
          <w:szCs w:val="13"/>
        </w:rPr>
      </w:r>
    </w:p>
    <w:p>
      <w:pPr>
        <w:spacing w:line="155" w:lineRule="exact" w:before="10"/>
        <w:ind w:left="431" w:right="0" w:firstLine="0"/>
        <w:jc w:val="left"/>
        <w:rPr>
          <w:rFonts w:ascii="宋体" w:hAnsi="宋体" w:cs="宋体" w:eastAsia="宋体" w:hint="default"/>
          <w:sz w:val="13"/>
          <w:szCs w:val="13"/>
        </w:rPr>
      </w:pPr>
      <w:r>
        <w:rPr>
          <w:rFonts w:ascii="宋体" w:hAnsi="宋体" w:cs="宋体" w:eastAsia="宋体" w:hint="default"/>
          <w:b/>
          <w:bCs/>
          <w:sz w:val="13"/>
          <w:szCs w:val="13"/>
        </w:rPr>
        <w:t>准备</w:t>
      </w:r>
      <w:r>
        <w:rPr>
          <w:rFonts w:ascii="宋体" w:hAnsi="宋体" w:cs="宋体" w:eastAsia="宋体" w:hint="default"/>
          <w:sz w:val="13"/>
          <w:szCs w:val="13"/>
        </w:rPr>
      </w:r>
    </w:p>
    <w:p>
      <w:pPr>
        <w:spacing w:line="164" w:lineRule="exact" w:before="0"/>
        <w:ind w:left="1220" w:right="0" w:firstLine="0"/>
        <w:jc w:val="left"/>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p>
      <w:pPr>
        <w:spacing w:after="0" w:line="164" w:lineRule="exact"/>
        <w:jc w:val="left"/>
        <w:rPr>
          <w:rFonts w:ascii="宋体" w:hAnsi="宋体" w:cs="宋体" w:eastAsia="宋体" w:hint="default"/>
          <w:sz w:val="13"/>
          <w:szCs w:val="13"/>
        </w:rPr>
        <w:sectPr>
          <w:type w:val="continuous"/>
          <w:pgSz w:w="11910" w:h="16840"/>
          <w:pgMar w:top="1580" w:bottom="1140" w:left="1440" w:right="1300"/>
          <w:cols w:num="4" w:equalWidth="0">
            <w:col w:w="4341" w:space="40"/>
            <w:col w:w="997" w:space="40"/>
            <w:col w:w="1641" w:space="40"/>
            <w:col w:w="2071"/>
          </w:cols>
        </w:sectPr>
      </w:pPr>
    </w:p>
    <w:p>
      <w:pPr>
        <w:spacing w:line="240" w:lineRule="auto" w:before="10"/>
        <w:rPr>
          <w:rFonts w:ascii="宋体" w:hAnsi="宋体" w:cs="宋体" w:eastAsia="宋体" w:hint="default"/>
          <w:b/>
          <w:bCs/>
          <w:sz w:val="5"/>
          <w:szCs w:val="5"/>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40.4pt;height:.5pt;mso-position-horizontal-relative:char;mso-position-vertical-relative:line" coordorigin="0,0" coordsize="8808,10">
            <v:group style="position:absolute;left:5;top:5;width:1836;height:2" coordorigin="5,5" coordsize="1836,2">
              <v:shape style="position:absolute;left:5;top:5;width:1836;height:2" coordorigin="5,5" coordsize="1836,0" path="m5,5l1841,5e" filled="false" stroked="true" strokeweight=".48pt" strokecolor="#000000">
                <v:path arrowok="t"/>
              </v:shape>
            </v:group>
            <v:group style="position:absolute;left:1841;top:5;width:10;height:2" coordorigin="1841,5" coordsize="10,2">
              <v:shape style="position:absolute;left:1841;top:5;width:10;height:2" coordorigin="1841,5" coordsize="10,0" path="m1841,5l1850,5e" filled="false" stroked="true" strokeweight=".48pt" strokecolor="#000000">
                <v:path arrowok="t"/>
              </v:shape>
            </v:group>
            <v:group style="position:absolute;left:1850;top:5;width:1071;height:2" coordorigin="1850,5" coordsize="1071,2">
              <v:shape style="position:absolute;left:1850;top:5;width:1071;height:2" coordorigin="1850,5" coordsize="1071,0" path="m1850,5l2921,5e" filled="false" stroked="true" strokeweight=".48pt" strokecolor="#000000">
                <v:path arrowok="t"/>
              </v:shape>
            </v:group>
            <v:group style="position:absolute;left:2921;top:5;width:10;height:2" coordorigin="2921,5" coordsize="10,2">
              <v:shape style="position:absolute;left:2921;top:5;width:10;height:2" coordorigin="2921,5" coordsize="10,0" path="m2921,5l2931,5e" filled="false" stroked="true" strokeweight=".48pt" strokecolor="#000000">
                <v:path arrowok="t"/>
              </v:shape>
            </v:group>
            <v:group style="position:absolute;left:2931;top:5;width:665;height:2" coordorigin="2931,5" coordsize="665,2">
              <v:shape style="position:absolute;left:2931;top:5;width:665;height:2" coordorigin="2931,5" coordsize="665,0" path="m2931,5l3596,5e" filled="false" stroked="true" strokeweight=".48pt" strokecolor="#000000">
                <v:path arrowok="t"/>
              </v:shape>
            </v:group>
            <v:group style="position:absolute;left:3596;top:5;width:10;height:2" coordorigin="3596,5" coordsize="10,2">
              <v:shape style="position:absolute;left:3596;top:5;width:10;height:2" coordorigin="3596,5" coordsize="10,0" path="m3596,5l3605,5e" filled="false" stroked="true" strokeweight=".48pt" strokecolor="#000000">
                <v:path arrowok="t"/>
              </v:shape>
            </v:group>
            <v:group style="position:absolute;left:3605;top:5;width:994;height:2" coordorigin="3605,5" coordsize="994,2">
              <v:shape style="position:absolute;left:3605;top:5;width:994;height:2" coordorigin="3605,5" coordsize="994,0" path="m3605,5l4599,5e" filled="false" stroked="true" strokeweight=".48pt" strokecolor="#000000">
                <v:path arrowok="t"/>
              </v:shape>
            </v:group>
            <v:group style="position:absolute;left:4599;top:5;width:10;height:2" coordorigin="4599,5" coordsize="10,2">
              <v:shape style="position:absolute;left:4599;top:5;width:10;height:2" coordorigin="4599,5" coordsize="10,0" path="m4599,5l4609,5e" filled="false" stroked="true" strokeweight=".48pt" strokecolor="#000000">
                <v:path arrowok="t"/>
              </v:shape>
            </v:group>
            <v:group style="position:absolute;left:4609;top:5;width:805;height:2" coordorigin="4609,5" coordsize="805,2">
              <v:shape style="position:absolute;left:4609;top:5;width:805;height:2" coordorigin="4609,5" coordsize="805,0" path="m4609,5l5413,5e" filled="false" stroked="true" strokeweight=".48pt" strokecolor="#000000">
                <v:path arrowok="t"/>
              </v:shape>
            </v:group>
            <v:group style="position:absolute;left:5413;top:5;width:10;height:2" coordorigin="5413,5" coordsize="10,2">
              <v:shape style="position:absolute;left:5413;top:5;width:10;height:2" coordorigin="5413,5" coordsize="10,0" path="m5413,5l5423,5e" filled="false" stroked="true" strokeweight=".48pt" strokecolor="#000000">
                <v:path arrowok="t"/>
              </v:shape>
            </v:group>
            <v:group style="position:absolute;left:5423;top:5;width:996;height:2" coordorigin="5423,5" coordsize="996,2">
              <v:shape style="position:absolute;left:5423;top:5;width:996;height:2" coordorigin="5423,5" coordsize="996,0" path="m5423,5l6419,5e" filled="false" stroked="true" strokeweight=".48pt" strokecolor="#000000">
                <v:path arrowok="t"/>
              </v:shape>
            </v:group>
            <v:group style="position:absolute;left:6419;top:5;width:10;height:2" coordorigin="6419,5" coordsize="10,2">
              <v:shape style="position:absolute;left:6419;top:5;width:10;height:2" coordorigin="6419,5" coordsize="10,0" path="m6419,5l6428,5e" filled="false" stroked="true" strokeweight=".48pt" strokecolor="#000000">
                <v:path arrowok="t"/>
              </v:shape>
            </v:group>
            <v:group style="position:absolute;left:6428;top:5;width:658;height:2" coordorigin="6428,5" coordsize="658,2">
              <v:shape style="position:absolute;left:6428;top:5;width:658;height:2" coordorigin="6428,5" coordsize="658,0" path="m6428,5l7086,5e" filled="false" stroked="true" strokeweight=".48pt" strokecolor="#000000">
                <v:path arrowok="t"/>
              </v:shape>
            </v:group>
            <v:group style="position:absolute;left:7086;top:5;width:10;height:2" coordorigin="7086,5" coordsize="10,2">
              <v:shape style="position:absolute;left:7086;top:5;width:10;height:2" coordorigin="7086,5" coordsize="10,0" path="m7086,5l7095,5e" filled="false" stroked="true" strokeweight=".48pt" strokecolor="#000000">
                <v:path arrowok="t"/>
              </v:shape>
            </v:group>
            <v:group style="position:absolute;left:7095;top:5;width:915;height:2" coordorigin="7095,5" coordsize="915,2">
              <v:shape style="position:absolute;left:7095;top:5;width:915;height:2" coordorigin="7095,5" coordsize="915,0" path="m7095,5l8010,5e" filled="false" stroked="true" strokeweight=".48pt" strokecolor="#000000">
                <v:path arrowok="t"/>
              </v:shape>
            </v:group>
            <v:group style="position:absolute;left:8010;top:5;width:10;height:2" coordorigin="8010,5" coordsize="10,2">
              <v:shape style="position:absolute;left:8010;top:5;width:10;height:2" coordorigin="8010,5" coordsize="10,0" path="m8010,5l8020,5e" filled="false" stroked="true" strokeweight=".48pt" strokecolor="#000000">
                <v:path arrowok="t"/>
              </v:shape>
            </v:group>
            <v:group style="position:absolute;left:8020;top:5;width:783;height:2" coordorigin="8020,5" coordsize="783,2">
              <v:shape style="position:absolute;left:8020;top:5;width:783;height:2" coordorigin="8020,5" coordsize="783,0" path="m8020,5l8802,5e" filled="false" stroked="true" strokeweight=".48pt" strokecolor="#000000">
                <v:path arrowok="t"/>
              </v:shape>
            </v:group>
          </v:group>
        </w:pict>
      </w:r>
      <w:r>
        <w:rPr>
          <w:rFonts w:ascii="宋体" w:hAnsi="宋体" w:cs="宋体" w:eastAsia="宋体" w:hint="default"/>
          <w:sz w:val="2"/>
          <w:szCs w:val="2"/>
        </w:rPr>
      </w:r>
    </w:p>
    <w:p>
      <w:pPr>
        <w:spacing w:line="451" w:lineRule="auto" w:before="97"/>
        <w:ind w:left="223" w:right="7363" w:firstLine="0"/>
        <w:jc w:val="left"/>
        <w:rPr>
          <w:rFonts w:ascii="宋体" w:hAnsi="宋体" w:cs="宋体" w:eastAsia="宋体" w:hint="default"/>
          <w:sz w:val="13"/>
          <w:szCs w:val="13"/>
        </w:rPr>
      </w:pPr>
      <w:r>
        <w:rPr>
          <w:rFonts w:ascii="宋体" w:hAnsi="宋体" w:cs="宋体" w:eastAsia="宋体" w:hint="default"/>
          <w:sz w:val="13"/>
          <w:szCs w:val="13"/>
        </w:rPr>
        <w:t>单项金额虽不重大但单项计</w:t>
      </w:r>
      <w:r>
        <w:rPr>
          <w:rFonts w:ascii="宋体" w:hAnsi="宋体" w:cs="宋体" w:eastAsia="宋体" w:hint="default"/>
          <w:w w:val="99"/>
          <w:sz w:val="13"/>
          <w:szCs w:val="13"/>
        </w:rPr>
        <w:t> </w:t>
      </w:r>
      <w:r>
        <w:rPr>
          <w:rFonts w:ascii="宋体" w:hAnsi="宋体" w:cs="宋体" w:eastAsia="宋体" w:hint="default"/>
          <w:sz w:val="13"/>
          <w:szCs w:val="13"/>
        </w:rPr>
        <w:t>提坏账准备的其他应收款</w:t>
      </w:r>
    </w:p>
    <w:p>
      <w:pPr>
        <w:tabs>
          <w:tab w:pos="2119" w:val="left" w:leader="none"/>
          <w:tab w:pos="3272" w:val="left" w:leader="none"/>
          <w:tab w:pos="3867" w:val="left" w:leader="none"/>
          <w:tab w:pos="5682" w:val="left" w:leader="none"/>
          <w:tab w:pos="6764" w:val="left" w:leader="none"/>
          <w:tab w:pos="7330" w:val="left" w:leader="none"/>
        </w:tabs>
        <w:spacing w:before="75"/>
        <w:ind w:left="902" w:right="0" w:firstLine="0"/>
        <w:jc w:val="left"/>
        <w:rPr>
          <w:rFonts w:ascii="Times New Roman" w:hAnsi="Times New Roman" w:cs="Times New Roman" w:eastAsia="Times New Roman" w:hint="default"/>
          <w:sz w:val="13"/>
          <w:szCs w:val="13"/>
        </w:rPr>
      </w:pPr>
      <w:r>
        <w:rPr>
          <w:rFonts w:ascii="宋体" w:hAnsi="宋体" w:cs="宋体" w:eastAsia="宋体" w:hint="default"/>
          <w:w w:val="95"/>
          <w:sz w:val="13"/>
          <w:szCs w:val="13"/>
        </w:rPr>
        <w:t>合计</w:t>
        <w:tab/>
      </w:r>
      <w:r>
        <w:rPr>
          <w:rFonts w:ascii="Times New Roman" w:hAnsi="Times New Roman" w:cs="Times New Roman" w:eastAsia="Times New Roman" w:hint="default"/>
          <w:w w:val="95"/>
          <w:sz w:val="13"/>
          <w:szCs w:val="13"/>
        </w:rPr>
      </w:r>
      <w:r>
        <w:rPr>
          <w:rFonts w:ascii="Times New Roman" w:hAnsi="Times New Roman" w:cs="Times New Roman" w:eastAsia="Times New Roman" w:hint="default"/>
          <w:spacing w:val="-1"/>
          <w:sz w:val="13"/>
          <w:szCs w:val="13"/>
          <w:u w:val="thick" w:color="000000"/>
        </w:rPr>
        <w:t>11,463,836.32</w:t>
      </w:r>
      <w:r>
        <w:rPr>
          <w:rFonts w:ascii="Times New Roman" w:hAnsi="Times New Roman" w:cs="Times New Roman" w:eastAsia="Times New Roman" w:hint="default"/>
          <w:spacing w:val="-1"/>
          <w:sz w:val="13"/>
          <w:szCs w:val="13"/>
        </w:rPr>
        <w:tab/>
      </w:r>
      <w:r>
        <w:rPr>
          <w:rFonts w:ascii="Times New Roman" w:hAnsi="Times New Roman" w:cs="Times New Roman" w:eastAsia="Times New Roman" w:hint="default"/>
          <w:w w:val="95"/>
          <w:sz w:val="13"/>
          <w:szCs w:val="13"/>
          <w:u w:val="thick" w:color="000000"/>
        </w:rPr>
        <w:t>100</w:t>
      </w:r>
      <w:r>
        <w:rPr>
          <w:rFonts w:ascii="Times New Roman" w:hAnsi="Times New Roman" w:cs="Times New Roman" w:eastAsia="Times New Roman" w:hint="default"/>
          <w:w w:val="95"/>
          <w:sz w:val="13"/>
          <w:szCs w:val="13"/>
        </w:rPr>
        <w:tab/>
      </w:r>
      <w:r>
        <w:rPr>
          <w:rFonts w:ascii="Times New Roman" w:hAnsi="Times New Roman" w:cs="Times New Roman" w:eastAsia="Times New Roman" w:hint="default"/>
          <w:sz w:val="13"/>
          <w:szCs w:val="13"/>
          <w:u w:val="thick" w:color="000000"/>
        </w:rPr>
        <w:t>3,962,900.34</w:t>
      </w:r>
      <w:r>
        <w:rPr>
          <w:rFonts w:ascii="Times New Roman" w:hAnsi="Times New Roman" w:cs="Times New Roman" w:eastAsia="Times New Roman" w:hint="default"/>
          <w:sz w:val="13"/>
          <w:szCs w:val="13"/>
        </w:rPr>
        <w:tab/>
      </w:r>
      <w:r>
        <w:rPr>
          <w:rFonts w:ascii="Times New Roman" w:hAnsi="Times New Roman" w:cs="Times New Roman" w:eastAsia="Times New Roman" w:hint="default"/>
          <w:spacing w:val="-1"/>
          <w:sz w:val="13"/>
          <w:szCs w:val="13"/>
          <w:u w:val="thick" w:color="000000"/>
        </w:rPr>
        <w:t>11,044,911.74</w:t>
      </w:r>
      <w:r>
        <w:rPr>
          <w:rFonts w:ascii="Times New Roman" w:hAnsi="Times New Roman" w:cs="Times New Roman" w:eastAsia="Times New Roman" w:hint="default"/>
          <w:spacing w:val="-1"/>
          <w:sz w:val="13"/>
          <w:szCs w:val="13"/>
        </w:rPr>
        <w:tab/>
      </w:r>
      <w:r>
        <w:rPr>
          <w:rFonts w:ascii="Times New Roman" w:hAnsi="Times New Roman" w:cs="Times New Roman" w:eastAsia="Times New Roman" w:hint="default"/>
          <w:w w:val="95"/>
          <w:sz w:val="13"/>
          <w:szCs w:val="13"/>
          <w:u w:val="thick" w:color="000000"/>
        </w:rPr>
        <w:t>100</w:t>
      </w:r>
      <w:r>
        <w:rPr>
          <w:rFonts w:ascii="Times New Roman" w:hAnsi="Times New Roman" w:cs="Times New Roman" w:eastAsia="Times New Roman" w:hint="default"/>
          <w:w w:val="95"/>
          <w:sz w:val="13"/>
          <w:szCs w:val="13"/>
        </w:rPr>
        <w:tab/>
      </w:r>
      <w:r>
        <w:rPr>
          <w:rFonts w:ascii="Times New Roman" w:hAnsi="Times New Roman" w:cs="Times New Roman" w:eastAsia="Times New Roman" w:hint="default"/>
          <w:sz w:val="13"/>
          <w:szCs w:val="13"/>
          <w:u w:val="thick" w:color="000000"/>
        </w:rPr>
        <w:t>3,739,925.68</w:t>
      </w:r>
      <w:r>
        <w:rPr>
          <w:rFonts w:ascii="Times New Roman" w:hAnsi="Times New Roman" w:cs="Times New Roman" w:eastAsia="Times New Roman" w:hint="default"/>
          <w:sz w:val="13"/>
          <w:szCs w:val="13"/>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pStyle w:val="BodyText"/>
        <w:spacing w:line="240" w:lineRule="auto"/>
        <w:ind w:left="720" w:right="0"/>
        <w:jc w:val="left"/>
      </w:pPr>
      <w:r>
        <w:rPr/>
        <w:t>（</w:t>
      </w:r>
      <w:r>
        <w:rPr>
          <w:rFonts w:ascii="Times New Roman" w:hAnsi="Times New Roman" w:cs="Times New Roman" w:eastAsia="Times New Roman" w:hint="default"/>
        </w:rPr>
        <w:t>2</w:t>
      </w:r>
      <w:r>
        <w:rPr/>
        <w:t>）组合</w:t>
      </w:r>
      <w:r>
        <w:rPr>
          <w:rFonts w:ascii="Times New Roman" w:hAnsi="Times New Roman" w:cs="Times New Roman" w:eastAsia="Times New Roman" w:hint="default"/>
        </w:rPr>
        <w:t>1</w:t>
      </w:r>
      <w:r>
        <w:rPr/>
        <w:t>中，按账龄分析法计提坏账准备的其他应收款</w:t>
      </w:r>
    </w:p>
    <w:p>
      <w:pPr>
        <w:spacing w:line="240" w:lineRule="auto" w:before="12"/>
        <w:rPr>
          <w:rFonts w:ascii="宋体" w:hAnsi="宋体" w:cs="宋体" w:eastAsia="宋体" w:hint="default"/>
          <w:sz w:val="18"/>
          <w:szCs w:val="18"/>
        </w:rPr>
      </w:pPr>
    </w:p>
    <w:p>
      <w:pPr>
        <w:tabs>
          <w:tab w:pos="6862" w:val="left" w:leader="none"/>
        </w:tabs>
        <w:spacing w:before="54"/>
        <w:ind w:left="3221"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6"/>
        <w:rPr>
          <w:rFonts w:ascii="宋体" w:hAnsi="宋体" w:cs="宋体" w:eastAsia="宋体" w:hint="default"/>
          <w:b/>
          <w:bCs/>
          <w:sz w:val="11"/>
          <w:szCs w:val="11"/>
        </w:rPr>
      </w:pPr>
    </w:p>
    <w:tbl>
      <w:tblPr>
        <w:tblW w:w="0" w:type="auto"/>
        <w:jc w:val="left"/>
        <w:tblInd w:w="252" w:type="dxa"/>
        <w:tblLayout w:type="fixed"/>
        <w:tblCellMar>
          <w:top w:w="0" w:type="dxa"/>
          <w:left w:w="0" w:type="dxa"/>
          <w:bottom w:w="0" w:type="dxa"/>
          <w:right w:w="0" w:type="dxa"/>
        </w:tblCellMar>
        <w:tblLook w:val="01E0"/>
      </w:tblPr>
      <w:tblGrid>
        <w:gridCol w:w="1502"/>
        <w:gridCol w:w="1079"/>
        <w:gridCol w:w="636"/>
        <w:gridCol w:w="830"/>
        <w:gridCol w:w="1006"/>
        <w:gridCol w:w="1043"/>
        <w:gridCol w:w="657"/>
        <w:gridCol w:w="923"/>
        <w:gridCol w:w="1120"/>
      </w:tblGrid>
      <w:tr>
        <w:trPr>
          <w:trHeight w:val="442"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9" w:right="0"/>
              <w:jc w:val="center"/>
              <w:rPr>
                <w:rFonts w:ascii="宋体" w:hAnsi="宋体" w:cs="宋体" w:eastAsia="宋体" w:hint="default"/>
                <w:sz w:val="15"/>
                <w:szCs w:val="15"/>
              </w:rPr>
            </w:pPr>
            <w:r>
              <w:rPr>
                <w:rFonts w:ascii="宋体" w:hAnsi="宋体" w:cs="宋体" w:eastAsia="宋体" w:hint="default"/>
                <w:b/>
                <w:bCs/>
                <w:sz w:val="15"/>
                <w:szCs w:val="15"/>
              </w:rPr>
              <w:t>账龄</w:t>
            </w:r>
            <w:r>
              <w:rPr>
                <w:rFonts w:ascii="宋体" w:hAnsi="宋体" w:cs="宋体" w:eastAsia="宋体" w:hint="default"/>
                <w:sz w:val="15"/>
                <w:szCs w:val="15"/>
              </w:rPr>
            </w:r>
          </w:p>
        </w:tc>
        <w:tc>
          <w:tcPr>
            <w:tcW w:w="1079"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69"/>
              <w:jc w:val="righ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0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6"/>
              <w:jc w:val="righ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120" w:type="dxa"/>
            <w:tcBorders>
              <w:top w:val="nil" w:sz="6" w:space="0" w:color="auto"/>
              <w:left w:val="nil" w:sz="6" w:space="0" w:color="auto"/>
              <w:bottom w:val="nil" w:sz="6" w:space="0" w:color="auto"/>
              <w:right w:val="nil" w:sz="6" w:space="0" w:color="auto"/>
            </w:tcBorders>
          </w:tcPr>
          <w:p>
            <w:pPr/>
          </w:p>
        </w:tc>
      </w:tr>
      <w:tr>
        <w:trPr>
          <w:trHeight w:val="365" w:hRule="exact"/>
        </w:trPr>
        <w:tc>
          <w:tcPr>
            <w:tcW w:w="1502"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164" w:lineRule="exact"/>
              <w:ind w:left="237" w:right="0"/>
              <w:jc w:val="left"/>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9"/>
              <w:jc w:val="righ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830" w:type="dxa"/>
            <w:tcBorders>
              <w:top w:val="nil" w:sz="6" w:space="0" w:color="auto"/>
              <w:left w:val="nil" w:sz="6" w:space="0" w:color="auto"/>
              <w:bottom w:val="nil" w:sz="6" w:space="0" w:color="auto"/>
              <w:right w:val="nil" w:sz="6" w:space="0" w:color="auto"/>
            </w:tcBorders>
          </w:tcPr>
          <w:p>
            <w:pPr>
              <w:pStyle w:val="TableParagraph"/>
              <w:spacing w:line="169" w:lineRule="exact"/>
              <w:ind w:right="113"/>
              <w:jc w:val="right"/>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tc>
        <w:tc>
          <w:tcPr>
            <w:tcW w:w="1006" w:type="dxa"/>
            <w:tcBorders>
              <w:top w:val="nil" w:sz="6" w:space="0" w:color="auto"/>
              <w:left w:val="nil" w:sz="6" w:space="0" w:color="auto"/>
              <w:bottom w:val="nil" w:sz="6" w:space="0" w:color="auto"/>
              <w:right w:val="nil" w:sz="6" w:space="0" w:color="auto"/>
            </w:tcBorders>
          </w:tcPr>
          <w:p>
            <w:pPr>
              <w:pStyle w:val="TableParagraph"/>
              <w:spacing w:line="164" w:lineRule="exact"/>
              <w:ind w:left="185"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043" w:type="dxa"/>
            <w:tcBorders>
              <w:top w:val="nil" w:sz="6" w:space="0" w:color="auto"/>
              <w:left w:val="nil" w:sz="6" w:space="0" w:color="auto"/>
              <w:bottom w:val="nil" w:sz="6" w:space="0" w:color="auto"/>
              <w:right w:val="nil" w:sz="6" w:space="0" w:color="auto"/>
            </w:tcBorders>
          </w:tcPr>
          <w:p>
            <w:pPr>
              <w:pStyle w:val="TableParagraph"/>
              <w:spacing w:line="164" w:lineRule="exact"/>
              <w:ind w:left="214" w:right="0"/>
              <w:jc w:val="left"/>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5"/>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923" w:type="dxa"/>
            <w:tcBorders>
              <w:top w:val="nil" w:sz="6" w:space="0" w:color="auto"/>
              <w:left w:val="nil" w:sz="6" w:space="0" w:color="auto"/>
              <w:bottom w:val="nil" w:sz="6" w:space="0" w:color="auto"/>
              <w:right w:val="nil" w:sz="6" w:space="0" w:color="auto"/>
            </w:tcBorders>
          </w:tcPr>
          <w:p>
            <w:pPr>
              <w:pStyle w:val="TableParagraph"/>
              <w:spacing w:line="169" w:lineRule="exact"/>
              <w:ind w:right="206"/>
              <w:jc w:val="right"/>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tc>
        <w:tc>
          <w:tcPr>
            <w:tcW w:w="1120" w:type="dxa"/>
            <w:tcBorders>
              <w:top w:val="nil" w:sz="6" w:space="0" w:color="auto"/>
              <w:left w:val="nil" w:sz="6" w:space="0" w:color="auto"/>
              <w:bottom w:val="nil" w:sz="6" w:space="0" w:color="auto"/>
              <w:right w:val="nil" w:sz="6" w:space="0" w:color="auto"/>
            </w:tcBorders>
          </w:tcPr>
          <w:p>
            <w:pPr>
              <w:pStyle w:val="TableParagraph"/>
              <w:spacing w:line="164" w:lineRule="exact"/>
              <w:ind w:left="207"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r>
      <w:tr>
        <w:trPr>
          <w:trHeight w:val="255" w:hRule="exact"/>
        </w:trPr>
        <w:tc>
          <w:tcPr>
            <w:tcW w:w="1502" w:type="dxa"/>
            <w:tcBorders>
              <w:top w:val="nil" w:sz="6" w:space="0" w:color="auto"/>
              <w:left w:val="nil" w:sz="6" w:space="0" w:color="auto"/>
              <w:bottom w:val="single" w:sz="4" w:space="0" w:color="000000"/>
              <w:right w:val="nil" w:sz="6" w:space="0" w:color="auto"/>
            </w:tcBorders>
          </w:tcPr>
          <w:p>
            <w:pPr/>
          </w:p>
        </w:tc>
        <w:tc>
          <w:tcPr>
            <w:tcW w:w="1079" w:type="dxa"/>
            <w:tcBorders>
              <w:top w:val="nil" w:sz="6" w:space="0" w:color="auto"/>
              <w:left w:val="nil" w:sz="6" w:space="0" w:color="auto"/>
              <w:bottom w:val="single" w:sz="4" w:space="0" w:color="000000"/>
              <w:right w:val="nil" w:sz="6" w:space="0" w:color="auto"/>
            </w:tcBorders>
          </w:tcPr>
          <w:p>
            <w:pPr/>
          </w:p>
        </w:tc>
        <w:tc>
          <w:tcPr>
            <w:tcW w:w="636" w:type="dxa"/>
            <w:tcBorders>
              <w:top w:val="nil" w:sz="6" w:space="0" w:color="auto"/>
              <w:left w:val="nil" w:sz="6" w:space="0" w:color="auto"/>
              <w:bottom w:val="single" w:sz="4" w:space="0" w:color="000000"/>
              <w:right w:val="nil" w:sz="6" w:space="0" w:color="auto"/>
            </w:tcBorders>
          </w:tcPr>
          <w:p>
            <w:pPr/>
          </w:p>
        </w:tc>
        <w:tc>
          <w:tcPr>
            <w:tcW w:w="830" w:type="dxa"/>
            <w:tcBorders>
              <w:top w:val="nil" w:sz="6" w:space="0" w:color="auto"/>
              <w:left w:val="nil" w:sz="6" w:space="0" w:color="auto"/>
              <w:bottom w:val="single" w:sz="6" w:space="0" w:color="000000"/>
              <w:right w:val="nil" w:sz="6" w:space="0" w:color="auto"/>
            </w:tcBorders>
          </w:tcPr>
          <w:p>
            <w:pPr>
              <w:pStyle w:val="TableParagraph"/>
              <w:spacing w:line="175" w:lineRule="exact"/>
              <w:ind w:right="112"/>
              <w:jc w:val="righ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006" w:type="dxa"/>
            <w:tcBorders>
              <w:top w:val="nil" w:sz="6" w:space="0" w:color="auto"/>
              <w:left w:val="nil" w:sz="6" w:space="0" w:color="auto"/>
              <w:bottom w:val="single" w:sz="4" w:space="0" w:color="000000"/>
              <w:right w:val="nil" w:sz="6" w:space="0" w:color="auto"/>
            </w:tcBorders>
          </w:tcPr>
          <w:p>
            <w:pPr/>
          </w:p>
        </w:tc>
        <w:tc>
          <w:tcPr>
            <w:tcW w:w="1043" w:type="dxa"/>
            <w:tcBorders>
              <w:top w:val="nil" w:sz="6" w:space="0" w:color="auto"/>
              <w:left w:val="nil" w:sz="6" w:space="0" w:color="auto"/>
              <w:bottom w:val="single" w:sz="4" w:space="0" w:color="000000"/>
              <w:right w:val="nil" w:sz="6" w:space="0" w:color="auto"/>
            </w:tcBorders>
          </w:tcPr>
          <w:p>
            <w:pPr/>
          </w:p>
        </w:tc>
        <w:tc>
          <w:tcPr>
            <w:tcW w:w="657" w:type="dxa"/>
            <w:tcBorders>
              <w:top w:val="nil" w:sz="6" w:space="0" w:color="auto"/>
              <w:left w:val="nil" w:sz="6" w:space="0" w:color="auto"/>
              <w:bottom w:val="single" w:sz="4" w:space="0" w:color="000000"/>
              <w:right w:val="nil" w:sz="6" w:space="0" w:color="auto"/>
            </w:tcBorders>
          </w:tcPr>
          <w:p>
            <w:pPr/>
          </w:p>
        </w:tc>
        <w:tc>
          <w:tcPr>
            <w:tcW w:w="923" w:type="dxa"/>
            <w:tcBorders>
              <w:top w:val="nil" w:sz="6" w:space="0" w:color="auto"/>
              <w:left w:val="nil" w:sz="6" w:space="0" w:color="auto"/>
              <w:bottom w:val="single" w:sz="6" w:space="0" w:color="000000"/>
              <w:right w:val="nil" w:sz="6" w:space="0" w:color="auto"/>
            </w:tcBorders>
          </w:tcPr>
          <w:p>
            <w:pPr>
              <w:pStyle w:val="TableParagraph"/>
              <w:spacing w:line="175" w:lineRule="exact"/>
              <w:ind w:right="205"/>
              <w:jc w:val="righ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20" w:type="dxa"/>
            <w:tcBorders>
              <w:top w:val="nil" w:sz="6" w:space="0" w:color="auto"/>
              <w:left w:val="nil" w:sz="6" w:space="0" w:color="auto"/>
              <w:bottom w:val="single" w:sz="4" w:space="0" w:color="000000"/>
              <w:right w:val="nil" w:sz="6" w:space="0" w:color="auto"/>
            </w:tcBorders>
          </w:tcPr>
          <w:p>
            <w:pPr/>
          </w:p>
        </w:tc>
      </w:tr>
      <w:tr>
        <w:trPr>
          <w:trHeight w:val="418" w:hRule="exact"/>
        </w:trPr>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3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c>
          <w:tcPr>
            <w:tcW w:w="1079"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88"/>
              <w:jc w:val="right"/>
              <w:rPr>
                <w:rFonts w:ascii="Times New Roman" w:hAnsi="Times New Roman" w:cs="Times New Roman" w:eastAsia="Times New Roman" w:hint="default"/>
                <w:sz w:val="15"/>
                <w:szCs w:val="15"/>
              </w:rPr>
            </w:pPr>
            <w:r>
              <w:rPr>
                <w:rFonts w:ascii="Times New Roman"/>
                <w:spacing w:val="-1"/>
                <w:sz w:val="15"/>
              </w:rPr>
              <w:t>4,026,204.54</w:t>
            </w:r>
          </w:p>
        </w:tc>
        <w:tc>
          <w:tcPr>
            <w:tcW w:w="636"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163"/>
              <w:jc w:val="right"/>
              <w:rPr>
                <w:rFonts w:ascii="Times New Roman" w:hAnsi="Times New Roman" w:cs="Times New Roman" w:eastAsia="Times New Roman" w:hint="default"/>
                <w:sz w:val="15"/>
                <w:szCs w:val="15"/>
              </w:rPr>
            </w:pPr>
            <w:r>
              <w:rPr>
                <w:rFonts w:ascii="Times New Roman"/>
                <w:spacing w:val="-1"/>
                <w:sz w:val="15"/>
              </w:rPr>
              <w:t>35.22</w:t>
            </w:r>
          </w:p>
        </w:tc>
        <w:tc>
          <w:tcPr>
            <w:tcW w:w="830" w:type="dxa"/>
            <w:tcBorders>
              <w:top w:val="single" w:sz="6" w:space="0" w:color="000000"/>
              <w:left w:val="nil" w:sz="6" w:space="0" w:color="auto"/>
              <w:bottom w:val="nil" w:sz="6" w:space="0" w:color="auto"/>
              <w:right w:val="nil" w:sz="6" w:space="0" w:color="auto"/>
            </w:tcBorders>
          </w:tcPr>
          <w:p>
            <w:pPr>
              <w:pStyle w:val="TableParagraph"/>
              <w:spacing w:line="240" w:lineRule="auto" w:before="90"/>
              <w:ind w:right="35"/>
              <w:jc w:val="center"/>
              <w:rPr>
                <w:rFonts w:ascii="Times New Roman" w:hAnsi="Times New Roman" w:cs="Times New Roman" w:eastAsia="Times New Roman" w:hint="default"/>
                <w:sz w:val="15"/>
                <w:szCs w:val="15"/>
              </w:rPr>
            </w:pPr>
            <w:r>
              <w:rPr>
                <w:rFonts w:ascii="Times New Roman"/>
                <w:w w:val="100"/>
                <w:sz w:val="15"/>
              </w:rPr>
              <w:t>1</w:t>
            </w:r>
          </w:p>
        </w:tc>
        <w:tc>
          <w:tcPr>
            <w:tcW w:w="1006"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15"/>
                <w:szCs w:val="15"/>
              </w:rPr>
            </w:pPr>
            <w:r>
              <w:rPr>
                <w:rFonts w:ascii="Times New Roman"/>
                <w:spacing w:val="-1"/>
                <w:sz w:val="15"/>
              </w:rPr>
              <w:t>40,261.35</w:t>
            </w:r>
          </w:p>
        </w:tc>
        <w:tc>
          <w:tcPr>
            <w:tcW w:w="104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91"/>
              <w:jc w:val="right"/>
              <w:rPr>
                <w:rFonts w:ascii="Times New Roman" w:hAnsi="Times New Roman" w:cs="Times New Roman" w:eastAsia="Times New Roman" w:hint="default"/>
                <w:sz w:val="15"/>
                <w:szCs w:val="15"/>
              </w:rPr>
            </w:pPr>
            <w:r>
              <w:rPr>
                <w:rFonts w:ascii="Times New Roman"/>
                <w:spacing w:val="-1"/>
                <w:sz w:val="15"/>
              </w:rPr>
              <w:t>4,330,766.77</w:t>
            </w:r>
          </w:p>
        </w:tc>
        <w:tc>
          <w:tcPr>
            <w:tcW w:w="65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39.42</w:t>
            </w:r>
          </w:p>
        </w:tc>
        <w:tc>
          <w:tcPr>
            <w:tcW w:w="923" w:type="dxa"/>
            <w:tcBorders>
              <w:top w:val="single" w:sz="6" w:space="0" w:color="000000"/>
              <w:left w:val="nil" w:sz="6" w:space="0" w:color="auto"/>
              <w:bottom w:val="nil" w:sz="6" w:space="0" w:color="auto"/>
              <w:right w:val="nil" w:sz="6" w:space="0" w:color="auto"/>
            </w:tcBorders>
          </w:tcPr>
          <w:p>
            <w:pPr>
              <w:pStyle w:val="TableParagraph"/>
              <w:spacing w:line="240" w:lineRule="auto" w:before="90"/>
              <w:ind w:left="266" w:right="0"/>
              <w:jc w:val="left"/>
              <w:rPr>
                <w:rFonts w:ascii="Times New Roman" w:hAnsi="Times New Roman" w:cs="Times New Roman" w:eastAsia="Times New Roman" w:hint="default"/>
                <w:sz w:val="15"/>
                <w:szCs w:val="15"/>
              </w:rPr>
            </w:pPr>
            <w:r>
              <w:rPr>
                <w:rFonts w:ascii="Times New Roman"/>
                <w:sz w:val="15"/>
              </w:rPr>
              <w:t>1.00</w:t>
            </w:r>
          </w:p>
        </w:tc>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43,307.68</w:t>
            </w:r>
          </w:p>
        </w:tc>
      </w:tr>
      <w:tr>
        <w:trPr>
          <w:trHeight w:val="400"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年（含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8"/>
              <w:jc w:val="right"/>
              <w:rPr>
                <w:rFonts w:ascii="Times New Roman" w:hAnsi="Times New Roman" w:cs="Times New Roman" w:eastAsia="Times New Roman" w:hint="default"/>
                <w:sz w:val="15"/>
                <w:szCs w:val="15"/>
              </w:rPr>
            </w:pPr>
            <w:r>
              <w:rPr>
                <w:rFonts w:ascii="Times New Roman"/>
                <w:spacing w:val="-1"/>
                <w:sz w:val="15"/>
              </w:rPr>
              <w:t>2,955,129.81</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3"/>
              <w:jc w:val="right"/>
              <w:rPr>
                <w:rFonts w:ascii="Times New Roman" w:hAnsi="Times New Roman" w:cs="Times New Roman" w:eastAsia="Times New Roman" w:hint="default"/>
                <w:sz w:val="15"/>
                <w:szCs w:val="15"/>
              </w:rPr>
            </w:pPr>
            <w:r>
              <w:rPr>
                <w:rFonts w:ascii="Times New Roman"/>
                <w:spacing w:val="-1"/>
                <w:sz w:val="15"/>
              </w:rPr>
              <w:t>25.85</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5"/>
              <w:jc w:val="center"/>
              <w:rPr>
                <w:rFonts w:ascii="Times New Roman" w:hAnsi="Times New Roman" w:cs="Times New Roman" w:eastAsia="Times New Roman" w:hint="default"/>
                <w:sz w:val="15"/>
                <w:szCs w:val="15"/>
              </w:rPr>
            </w:pPr>
            <w:r>
              <w:rPr>
                <w:rFonts w:ascii="Times New Roman"/>
                <w:w w:val="100"/>
                <w:sz w:val="15"/>
              </w:rPr>
              <w:t>5</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2"/>
              <w:jc w:val="right"/>
              <w:rPr>
                <w:rFonts w:ascii="Times New Roman" w:hAnsi="Times New Roman" w:cs="Times New Roman" w:eastAsia="Times New Roman" w:hint="default"/>
                <w:sz w:val="15"/>
                <w:szCs w:val="15"/>
              </w:rPr>
            </w:pPr>
            <w:r>
              <w:rPr>
                <w:rFonts w:ascii="Times New Roman"/>
                <w:spacing w:val="-1"/>
                <w:sz w:val="15"/>
              </w:rPr>
              <w:t>147,756.49</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right="91"/>
              <w:jc w:val="right"/>
              <w:rPr>
                <w:rFonts w:ascii="Times New Roman" w:hAnsi="Times New Roman" w:cs="Times New Roman" w:eastAsia="Times New Roman" w:hint="default"/>
                <w:sz w:val="15"/>
                <w:szCs w:val="15"/>
              </w:rPr>
            </w:pPr>
            <w:r>
              <w:rPr>
                <w:rFonts w:ascii="Times New Roman"/>
                <w:spacing w:val="-1"/>
                <w:sz w:val="15"/>
              </w:rPr>
              <w:t>3,071,334.32</w:t>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27.96</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66" w:right="0"/>
              <w:jc w:val="left"/>
              <w:rPr>
                <w:rFonts w:ascii="Times New Roman" w:hAnsi="Times New Roman" w:cs="Times New Roman" w:eastAsia="Times New Roman" w:hint="default"/>
                <w:sz w:val="15"/>
                <w:szCs w:val="15"/>
              </w:rPr>
            </w:pPr>
            <w:r>
              <w:rPr>
                <w:rFonts w:ascii="Times New Roman"/>
                <w:sz w:val="15"/>
              </w:rPr>
              <w:t>5.00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153,566.72</w:t>
            </w:r>
          </w:p>
        </w:tc>
      </w:tr>
      <w:tr>
        <w:trPr>
          <w:trHeight w:val="400"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 </w:t>
            </w:r>
            <w:r>
              <w:rPr>
                <w:rFonts w:ascii="宋体" w:hAnsi="宋体" w:cs="宋体" w:eastAsia="宋体" w:hint="default"/>
                <w:sz w:val="15"/>
                <w:szCs w:val="15"/>
              </w:rPr>
              <w:t>年（含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7"/>
              <w:jc w:val="right"/>
              <w:rPr>
                <w:rFonts w:ascii="Times New Roman" w:hAnsi="Times New Roman" w:cs="Times New Roman" w:eastAsia="Times New Roman" w:hint="default"/>
                <w:sz w:val="15"/>
                <w:szCs w:val="15"/>
              </w:rPr>
            </w:pPr>
            <w:r>
              <w:rPr>
                <w:rFonts w:ascii="Times New Roman"/>
                <w:spacing w:val="-2"/>
                <w:sz w:val="15"/>
              </w:rPr>
              <w:t>980,595.11</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2"/>
              <w:jc w:val="right"/>
              <w:rPr>
                <w:rFonts w:ascii="Times New Roman" w:hAnsi="Times New Roman" w:cs="Times New Roman" w:eastAsia="Times New Roman" w:hint="default"/>
                <w:sz w:val="15"/>
                <w:szCs w:val="15"/>
              </w:rPr>
            </w:pPr>
            <w:r>
              <w:rPr>
                <w:rFonts w:ascii="Times New Roman"/>
                <w:spacing w:val="-1"/>
                <w:sz w:val="15"/>
              </w:rPr>
              <w:t>8.58</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4"/>
              <w:jc w:val="center"/>
              <w:rPr>
                <w:rFonts w:ascii="Times New Roman" w:hAnsi="Times New Roman" w:cs="Times New Roman" w:eastAsia="Times New Roman" w:hint="default"/>
                <w:sz w:val="15"/>
                <w:szCs w:val="15"/>
              </w:rPr>
            </w:pPr>
            <w:r>
              <w:rPr>
                <w:rFonts w:ascii="Times New Roman"/>
                <w:sz w:val="15"/>
              </w:rPr>
              <w:t>30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2"/>
              <w:jc w:val="right"/>
              <w:rPr>
                <w:rFonts w:ascii="Times New Roman" w:hAnsi="Times New Roman" w:cs="Times New Roman" w:eastAsia="Times New Roman" w:hint="default"/>
                <w:sz w:val="15"/>
                <w:szCs w:val="15"/>
              </w:rPr>
            </w:pPr>
            <w:r>
              <w:rPr>
                <w:rFonts w:ascii="Times New Roman"/>
                <w:spacing w:val="-1"/>
                <w:sz w:val="15"/>
              </w:rPr>
              <w:t>294,178.53</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right="91"/>
              <w:jc w:val="right"/>
              <w:rPr>
                <w:rFonts w:ascii="Times New Roman" w:hAnsi="Times New Roman" w:cs="Times New Roman" w:eastAsia="Times New Roman" w:hint="default"/>
                <w:sz w:val="15"/>
                <w:szCs w:val="15"/>
              </w:rPr>
            </w:pPr>
            <w:r>
              <w:rPr>
                <w:rFonts w:ascii="Times New Roman"/>
                <w:spacing w:val="-1"/>
                <w:sz w:val="15"/>
              </w:rPr>
              <w:t>62,515.79</w:t>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0.57</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27" w:right="0"/>
              <w:jc w:val="left"/>
              <w:rPr>
                <w:rFonts w:ascii="Times New Roman" w:hAnsi="Times New Roman" w:cs="Times New Roman" w:eastAsia="Times New Roman" w:hint="default"/>
                <w:sz w:val="15"/>
                <w:szCs w:val="15"/>
              </w:rPr>
            </w:pPr>
            <w:r>
              <w:rPr>
                <w:rFonts w:ascii="Times New Roman"/>
                <w:sz w:val="15"/>
              </w:rPr>
              <w:t>30.00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18,754.74</w:t>
            </w:r>
          </w:p>
        </w:tc>
      </w:tr>
      <w:tr>
        <w:trPr>
          <w:trHeight w:val="423"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8"/>
              <w:jc w:val="right"/>
              <w:rPr>
                <w:rFonts w:ascii="Times New Roman" w:hAnsi="Times New Roman" w:cs="Times New Roman" w:eastAsia="Times New Roman" w:hint="default"/>
                <w:sz w:val="15"/>
                <w:szCs w:val="15"/>
              </w:rPr>
            </w:pPr>
            <w:r>
              <w:rPr>
                <w:rFonts w:ascii="Times New Roman"/>
                <w:spacing w:val="-1"/>
                <w:sz w:val="15"/>
              </w:rPr>
              <w:t>3,470,221.07</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3"/>
              <w:jc w:val="right"/>
              <w:rPr>
                <w:rFonts w:ascii="Times New Roman" w:hAnsi="Times New Roman" w:cs="Times New Roman" w:eastAsia="Times New Roman" w:hint="default"/>
                <w:sz w:val="15"/>
                <w:szCs w:val="15"/>
              </w:rPr>
            </w:pPr>
            <w:r>
              <w:rPr>
                <w:rFonts w:ascii="Times New Roman"/>
                <w:spacing w:val="-1"/>
                <w:sz w:val="15"/>
              </w:rPr>
              <w:t>30.35</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2"/>
              <w:jc w:val="center"/>
              <w:rPr>
                <w:rFonts w:ascii="Times New Roman" w:hAnsi="Times New Roman" w:cs="Times New Roman" w:eastAsia="Times New Roman" w:hint="default"/>
                <w:sz w:val="15"/>
                <w:szCs w:val="15"/>
              </w:rPr>
            </w:pPr>
            <w:r>
              <w:rPr>
                <w:rFonts w:ascii="Times New Roman"/>
                <w:sz w:val="15"/>
              </w:rPr>
              <w:t>100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2"/>
              <w:jc w:val="right"/>
              <w:rPr>
                <w:rFonts w:ascii="Times New Roman" w:hAnsi="Times New Roman" w:cs="Times New Roman" w:eastAsia="Times New Roman" w:hint="default"/>
                <w:sz w:val="15"/>
                <w:szCs w:val="15"/>
              </w:rPr>
            </w:pPr>
            <w:r>
              <w:rPr>
                <w:rFonts w:ascii="Times New Roman"/>
                <w:spacing w:val="-1"/>
                <w:sz w:val="15"/>
              </w:rPr>
              <w:t>3,470,221.07</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right="91"/>
              <w:jc w:val="right"/>
              <w:rPr>
                <w:rFonts w:ascii="Times New Roman" w:hAnsi="Times New Roman" w:cs="Times New Roman" w:eastAsia="Times New Roman" w:hint="default"/>
                <w:sz w:val="15"/>
                <w:szCs w:val="15"/>
              </w:rPr>
            </w:pPr>
            <w:r>
              <w:rPr>
                <w:rFonts w:ascii="Times New Roman"/>
                <w:spacing w:val="-1"/>
                <w:sz w:val="15"/>
              </w:rPr>
              <w:t>3,520,321.07</w:t>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32.05</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91" w:right="0"/>
              <w:jc w:val="left"/>
              <w:rPr>
                <w:rFonts w:ascii="Times New Roman" w:hAnsi="Times New Roman" w:cs="Times New Roman" w:eastAsia="Times New Roman" w:hint="default"/>
                <w:sz w:val="15"/>
                <w:szCs w:val="15"/>
              </w:rPr>
            </w:pPr>
            <w:r>
              <w:rPr>
                <w:rFonts w:ascii="Times New Roman"/>
                <w:sz w:val="15"/>
              </w:rPr>
              <w:t>100.00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3,520,321.06</w:t>
            </w:r>
          </w:p>
        </w:tc>
      </w:tr>
      <w:tr>
        <w:trPr>
          <w:trHeight w:val="380"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8"/>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2"/>
                <w:sz w:val="15"/>
                <w:u w:val="thick" w:color="000000"/>
              </w:rPr>
              <w:t>11,432,150.53</w:t>
            </w:r>
            <w:r>
              <w:rPr>
                <w:rFonts w:ascii="Times New Roman"/>
                <w:spacing w:val="-2"/>
                <w:sz w:val="15"/>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8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100</w:t>
            </w:r>
            <w:r>
              <w:rPr>
                <w:rFonts w:ascii="Times New Roman"/>
                <w:spacing w:val="-1"/>
                <w:sz w:val="15"/>
              </w:rPr>
            </w:r>
          </w:p>
        </w:tc>
        <w:tc>
          <w:tcPr>
            <w:tcW w:w="830"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3,952,417.44</w:t>
            </w:r>
            <w:r>
              <w:rPr>
                <w:rFonts w:ascii="Times New Roman"/>
                <w:spacing w:val="-1"/>
                <w:sz w:val="15"/>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1"/>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10,984,937.95</w:t>
            </w:r>
            <w:r>
              <w:rPr>
                <w:rFonts w:ascii="Times New Roman"/>
                <w:spacing w:val="-1"/>
                <w:sz w:val="15"/>
              </w:rPr>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923"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3,735,950.20</w:t>
            </w:r>
            <w:r>
              <w:rPr>
                <w:rFonts w:ascii="Times New Roman"/>
                <w:spacing w:val="-1"/>
                <w:sz w:val="15"/>
              </w:rPr>
            </w:r>
          </w:p>
        </w:tc>
      </w:tr>
    </w:tbl>
    <w:p>
      <w:pPr>
        <w:spacing w:line="240" w:lineRule="auto" w:before="7"/>
        <w:rPr>
          <w:rFonts w:ascii="宋体" w:hAnsi="宋体" w:cs="宋体" w:eastAsia="宋体" w:hint="default"/>
          <w:b/>
          <w:bCs/>
          <w:sz w:val="22"/>
          <w:szCs w:val="22"/>
        </w:rPr>
      </w:pPr>
    </w:p>
    <w:p>
      <w:pPr>
        <w:pStyle w:val="BodyText"/>
        <w:spacing w:line="240" w:lineRule="auto" w:before="44"/>
        <w:ind w:left="720" w:right="0"/>
        <w:jc w:val="left"/>
      </w:pPr>
      <w:r>
        <w:rPr/>
        <w:t>（</w:t>
      </w:r>
      <w:r>
        <w:rPr>
          <w:rFonts w:ascii="Times New Roman" w:hAnsi="Times New Roman" w:cs="Times New Roman" w:eastAsia="Times New Roman" w:hint="default"/>
        </w:rPr>
        <w:t>3</w:t>
      </w:r>
      <w:r>
        <w:rPr/>
        <w:t>）组合</w:t>
      </w:r>
      <w:r>
        <w:rPr>
          <w:rFonts w:ascii="Times New Roman" w:hAnsi="Times New Roman" w:cs="Times New Roman" w:eastAsia="Times New Roman" w:hint="default"/>
        </w:rPr>
        <w:t>2</w:t>
      </w:r>
      <w:r>
        <w:rPr/>
        <w:t>中，按账龄分析法计提坏账准备的其他应收款</w:t>
      </w:r>
    </w:p>
    <w:p>
      <w:pPr>
        <w:spacing w:line="240" w:lineRule="auto" w:before="2"/>
        <w:rPr>
          <w:rFonts w:ascii="宋体" w:hAnsi="宋体" w:cs="宋体" w:eastAsia="宋体" w:hint="default"/>
          <w:sz w:val="18"/>
          <w:szCs w:val="18"/>
        </w:rPr>
      </w:pPr>
    </w:p>
    <w:p>
      <w:pPr>
        <w:tabs>
          <w:tab w:pos="6906" w:val="left" w:leader="none"/>
        </w:tabs>
        <w:spacing w:before="54"/>
        <w:ind w:left="3277"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8"/>
        <w:rPr>
          <w:rFonts w:ascii="宋体" w:hAnsi="宋体" w:cs="宋体" w:eastAsia="宋体" w:hint="default"/>
          <w:b/>
          <w:bCs/>
          <w:sz w:val="9"/>
          <w:szCs w:val="9"/>
        </w:rPr>
      </w:pPr>
    </w:p>
    <w:p>
      <w:pPr>
        <w:tabs>
          <w:tab w:pos="7093" w:val="left" w:leader="none"/>
        </w:tabs>
        <w:spacing w:before="54"/>
        <w:ind w:left="3651" w:right="0" w:firstLine="0"/>
        <w:jc w:val="left"/>
        <w:rPr>
          <w:rFonts w:ascii="宋体" w:hAnsi="宋体" w:cs="宋体" w:eastAsia="宋体" w:hint="default"/>
          <w:sz w:val="15"/>
          <w:szCs w:val="15"/>
        </w:rPr>
      </w:pPr>
      <w:r>
        <w:rPr/>
        <w:pict>
          <v:shape style="position:absolute;margin-left:84.624001pt;margin-top:10.962896pt;width:439.9pt;height:117.8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4"/>
                    <w:gridCol w:w="1039"/>
                    <w:gridCol w:w="672"/>
                    <w:gridCol w:w="881"/>
                    <w:gridCol w:w="987"/>
                    <w:gridCol w:w="895"/>
                    <w:gridCol w:w="675"/>
                    <w:gridCol w:w="947"/>
                    <w:gridCol w:w="1138"/>
                  </w:tblGrid>
                  <w:tr>
                    <w:trPr>
                      <w:trHeight w:val="355"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151" w:lineRule="exact"/>
                          <w:ind w:right="20"/>
                          <w:jc w:val="center"/>
                          <w:rPr>
                            <w:rFonts w:ascii="宋体" w:hAnsi="宋体" w:cs="宋体" w:eastAsia="宋体" w:hint="default"/>
                            <w:sz w:val="15"/>
                            <w:szCs w:val="15"/>
                          </w:rPr>
                        </w:pPr>
                        <w:r>
                          <w:rPr>
                            <w:rFonts w:ascii="宋体" w:hAnsi="宋体" w:cs="宋体" w:eastAsia="宋体" w:hint="default"/>
                            <w:b/>
                            <w:bCs/>
                            <w:sz w:val="15"/>
                            <w:szCs w:val="15"/>
                          </w:rPr>
                          <w:t>账龄</w:t>
                        </w:r>
                        <w:r>
                          <w:rPr>
                            <w:rFonts w:ascii="宋体" w:hAnsi="宋体" w:cs="宋体" w:eastAsia="宋体" w:hint="default"/>
                            <w:sz w:val="15"/>
                            <w:szCs w:val="15"/>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12" w:right="0"/>
                          <w:jc w:val="left"/>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tc>
                    <w:tc>
                      <w:tcPr>
                        <w:tcW w:w="672" w:type="dxa"/>
                        <w:tcBorders>
                          <w:top w:val="nil" w:sz="6" w:space="0" w:color="auto"/>
                          <w:left w:val="nil" w:sz="6" w:space="0" w:color="auto"/>
                          <w:bottom w:val="nil" w:sz="6" w:space="0" w:color="auto"/>
                          <w:right w:val="nil" w:sz="6" w:space="0" w:color="auto"/>
                        </w:tcBorders>
                      </w:tcPr>
                      <w:p>
                        <w:pPr>
                          <w:pStyle w:val="TableParagraph"/>
                          <w:spacing w:line="189" w:lineRule="exact"/>
                          <w:ind w:right="0"/>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49"/>
                          <w:jc w:val="right"/>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51"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38" w:right="0"/>
                          <w:jc w:val="left"/>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tc>
                    <w:tc>
                      <w:tcPr>
                        <w:tcW w:w="675" w:type="dxa"/>
                        <w:tcBorders>
                          <w:top w:val="nil" w:sz="6" w:space="0" w:color="auto"/>
                          <w:left w:val="nil" w:sz="6" w:space="0" w:color="auto"/>
                          <w:bottom w:val="nil" w:sz="6" w:space="0" w:color="auto"/>
                          <w:right w:val="nil" w:sz="6" w:space="0" w:color="auto"/>
                        </w:tcBorders>
                      </w:tcPr>
                      <w:p>
                        <w:pPr>
                          <w:pStyle w:val="TableParagraph"/>
                          <w:spacing w:line="189" w:lineRule="exact"/>
                          <w:ind w:right="186"/>
                          <w:jc w:val="righ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12"/>
                          <w:jc w:val="right"/>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13"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r>
                  <w:tr>
                    <w:trPr>
                      <w:trHeight w:val="399" w:hRule="exact"/>
                    </w:trPr>
                    <w:tc>
                      <w:tcPr>
                        <w:tcW w:w="1564" w:type="dxa"/>
                        <w:tcBorders>
                          <w:top w:val="nil" w:sz="6" w:space="0" w:color="auto"/>
                          <w:left w:val="nil" w:sz="6" w:space="0" w:color="auto"/>
                          <w:bottom w:val="single" w:sz="4" w:space="0" w:color="000000"/>
                          <w:right w:val="nil" w:sz="6" w:space="0" w:color="auto"/>
                        </w:tcBorders>
                      </w:tcPr>
                      <w:p>
                        <w:pPr/>
                      </w:p>
                    </w:tc>
                    <w:tc>
                      <w:tcPr>
                        <w:tcW w:w="1039" w:type="dxa"/>
                        <w:tcBorders>
                          <w:top w:val="nil" w:sz="6" w:space="0" w:color="auto"/>
                          <w:left w:val="nil" w:sz="6" w:space="0" w:color="auto"/>
                          <w:bottom w:val="single" w:sz="4" w:space="0" w:color="000000"/>
                          <w:right w:val="nil" w:sz="6" w:space="0" w:color="auto"/>
                        </w:tcBorders>
                      </w:tcPr>
                      <w:p>
                        <w:pPr/>
                      </w:p>
                    </w:tc>
                    <w:tc>
                      <w:tcPr>
                        <w:tcW w:w="672" w:type="dxa"/>
                        <w:tcBorders>
                          <w:top w:val="nil" w:sz="6" w:space="0" w:color="auto"/>
                          <w:left w:val="nil" w:sz="6" w:space="0" w:color="auto"/>
                          <w:bottom w:val="single" w:sz="4" w:space="0" w:color="000000"/>
                          <w:right w:val="nil" w:sz="6" w:space="0" w:color="auto"/>
                        </w:tcBorders>
                      </w:tcPr>
                      <w:p>
                        <w:pPr>
                          <w:pStyle w:val="TableParagraph"/>
                          <w:spacing w:line="165" w:lineRule="exact"/>
                          <w:ind w:right="29"/>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881" w:type="dxa"/>
                        <w:tcBorders>
                          <w:top w:val="nil" w:sz="6" w:space="0" w:color="auto"/>
                          <w:left w:val="nil" w:sz="6" w:space="0" w:color="auto"/>
                          <w:bottom w:val="single" w:sz="6" w:space="0" w:color="000000"/>
                          <w:right w:val="nil" w:sz="6" w:space="0" w:color="auto"/>
                        </w:tcBorders>
                      </w:tcPr>
                      <w:p>
                        <w:pPr>
                          <w:pStyle w:val="TableParagraph"/>
                          <w:spacing w:line="240" w:lineRule="auto" w:before="120"/>
                          <w:ind w:right="149"/>
                          <w:jc w:val="righ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987" w:type="dxa"/>
                        <w:tcBorders>
                          <w:top w:val="nil" w:sz="6" w:space="0" w:color="auto"/>
                          <w:left w:val="nil" w:sz="6" w:space="0" w:color="auto"/>
                          <w:bottom w:val="single" w:sz="4" w:space="0" w:color="000000"/>
                          <w:right w:val="nil" w:sz="6" w:space="0" w:color="auto"/>
                        </w:tcBorders>
                      </w:tcPr>
                      <w:p>
                        <w:pPr/>
                      </w:p>
                    </w:tc>
                    <w:tc>
                      <w:tcPr>
                        <w:tcW w:w="895" w:type="dxa"/>
                        <w:tcBorders>
                          <w:top w:val="nil" w:sz="6" w:space="0" w:color="auto"/>
                          <w:left w:val="nil" w:sz="6" w:space="0" w:color="auto"/>
                          <w:bottom w:val="single" w:sz="4" w:space="0" w:color="000000"/>
                          <w:right w:val="nil" w:sz="6" w:space="0" w:color="auto"/>
                        </w:tcBorders>
                      </w:tcPr>
                      <w:p>
                        <w:pPr/>
                      </w:p>
                    </w:tc>
                    <w:tc>
                      <w:tcPr>
                        <w:tcW w:w="675" w:type="dxa"/>
                        <w:tcBorders>
                          <w:top w:val="nil" w:sz="6" w:space="0" w:color="auto"/>
                          <w:left w:val="nil" w:sz="6" w:space="0" w:color="auto"/>
                          <w:bottom w:val="single" w:sz="4" w:space="0" w:color="000000"/>
                          <w:right w:val="nil" w:sz="6" w:space="0" w:color="auto"/>
                        </w:tcBorders>
                      </w:tcPr>
                      <w:p>
                        <w:pPr>
                          <w:pStyle w:val="TableParagraph"/>
                          <w:spacing w:line="165" w:lineRule="exact"/>
                          <w:ind w:right="126"/>
                          <w:jc w:val="righ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947" w:type="dxa"/>
                        <w:tcBorders>
                          <w:top w:val="nil" w:sz="6" w:space="0" w:color="auto"/>
                          <w:left w:val="nil" w:sz="6" w:space="0" w:color="auto"/>
                          <w:bottom w:val="single" w:sz="6" w:space="0" w:color="000000"/>
                          <w:right w:val="nil" w:sz="6" w:space="0" w:color="auto"/>
                        </w:tcBorders>
                      </w:tcPr>
                      <w:p>
                        <w:pPr>
                          <w:pStyle w:val="TableParagraph"/>
                          <w:spacing w:line="240" w:lineRule="auto" w:before="120"/>
                          <w:ind w:right="211"/>
                          <w:jc w:val="righ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38" w:type="dxa"/>
                        <w:tcBorders>
                          <w:top w:val="nil" w:sz="6" w:space="0" w:color="auto"/>
                          <w:left w:val="nil" w:sz="6" w:space="0" w:color="auto"/>
                          <w:bottom w:val="single" w:sz="4" w:space="0" w:color="000000"/>
                          <w:right w:val="nil" w:sz="6" w:space="0" w:color="auto"/>
                        </w:tcBorders>
                      </w:tcPr>
                      <w:p>
                        <w:pPr/>
                      </w:p>
                    </w:tc>
                  </w:tr>
                  <w:tr>
                    <w:trPr>
                      <w:trHeight w:val="410" w:hRule="exact"/>
                    </w:trPr>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3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c>
                      <w:tcPr>
                        <w:tcW w:w="1039"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91"/>
                          <w:jc w:val="right"/>
                          <w:rPr>
                            <w:rFonts w:ascii="Times New Roman" w:hAnsi="Times New Roman" w:cs="Times New Roman" w:eastAsia="Times New Roman" w:hint="default"/>
                            <w:sz w:val="15"/>
                            <w:szCs w:val="15"/>
                          </w:rPr>
                        </w:pPr>
                        <w:r>
                          <w:rPr>
                            <w:rFonts w:ascii="Times New Roman"/>
                            <w:spacing w:val="-1"/>
                            <w:sz w:val="15"/>
                          </w:rPr>
                          <w:t>10,000.00</w:t>
                        </w:r>
                      </w:p>
                    </w:tc>
                    <w:tc>
                      <w:tcPr>
                        <w:tcW w:w="672"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1"/>
                          <w:jc w:val="center"/>
                          <w:rPr>
                            <w:rFonts w:ascii="Times New Roman" w:hAnsi="Times New Roman" w:cs="Times New Roman" w:eastAsia="Times New Roman" w:hint="default"/>
                            <w:sz w:val="15"/>
                            <w:szCs w:val="15"/>
                          </w:rPr>
                        </w:pPr>
                        <w:r>
                          <w:rPr>
                            <w:rFonts w:ascii="Times New Roman"/>
                            <w:sz w:val="15"/>
                          </w:rPr>
                          <w:t>31.56</w:t>
                        </w:r>
                      </w:p>
                    </w:tc>
                    <w:tc>
                      <w:tcPr>
                        <w:tcW w:w="881" w:type="dxa"/>
                        <w:tcBorders>
                          <w:top w:val="single" w:sz="6" w:space="0" w:color="000000"/>
                          <w:left w:val="nil" w:sz="6" w:space="0" w:color="auto"/>
                          <w:bottom w:val="nil" w:sz="6" w:space="0" w:color="auto"/>
                          <w:right w:val="nil" w:sz="6" w:space="0" w:color="auto"/>
                        </w:tcBorders>
                      </w:tcPr>
                      <w:p>
                        <w:pPr>
                          <w:pStyle w:val="TableParagraph"/>
                          <w:spacing w:line="240" w:lineRule="auto" w:before="88"/>
                          <w:ind w:left="278" w:right="0"/>
                          <w:jc w:val="left"/>
                          <w:rPr>
                            <w:rFonts w:ascii="Times New Roman" w:hAnsi="Times New Roman" w:cs="Times New Roman" w:eastAsia="Times New Roman" w:hint="default"/>
                            <w:sz w:val="15"/>
                            <w:szCs w:val="15"/>
                          </w:rPr>
                        </w:pPr>
                        <w:r>
                          <w:rPr>
                            <w:rFonts w:ascii="Times New Roman"/>
                            <w:sz w:val="15"/>
                          </w:rPr>
                          <w:t>5.00</w:t>
                        </w:r>
                      </w:p>
                    </w:tc>
                    <w:tc>
                      <w:tcPr>
                        <w:tcW w:w="987"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136"/>
                          <w:jc w:val="right"/>
                          <w:rPr>
                            <w:rFonts w:ascii="Times New Roman" w:hAnsi="Times New Roman" w:cs="Times New Roman" w:eastAsia="Times New Roman" w:hint="default"/>
                            <w:sz w:val="15"/>
                            <w:szCs w:val="15"/>
                          </w:rPr>
                        </w:pPr>
                        <w:r>
                          <w:rPr>
                            <w:rFonts w:ascii="Times New Roman"/>
                            <w:spacing w:val="-1"/>
                            <w:sz w:val="15"/>
                          </w:rPr>
                          <w:t>500.00</w:t>
                        </w:r>
                      </w:p>
                    </w:tc>
                    <w:tc>
                      <w:tcPr>
                        <w:tcW w:w="89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01" w:right="0"/>
                          <w:jc w:val="left"/>
                          <w:rPr>
                            <w:rFonts w:ascii="Times New Roman" w:hAnsi="Times New Roman" w:cs="Times New Roman" w:eastAsia="Times New Roman" w:hint="default"/>
                            <w:sz w:val="15"/>
                            <w:szCs w:val="15"/>
                          </w:rPr>
                        </w:pPr>
                        <w:r>
                          <w:rPr>
                            <w:rFonts w:ascii="Times New Roman"/>
                            <w:sz w:val="15"/>
                          </w:rPr>
                          <w:t>40,438.00</w:t>
                        </w:r>
                      </w:p>
                    </w:tc>
                    <w:tc>
                      <w:tcPr>
                        <w:tcW w:w="67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68"/>
                          <w:jc w:val="right"/>
                          <w:rPr>
                            <w:rFonts w:ascii="Times New Roman" w:hAnsi="Times New Roman" w:cs="Times New Roman" w:eastAsia="Times New Roman" w:hint="default"/>
                            <w:sz w:val="15"/>
                            <w:szCs w:val="15"/>
                          </w:rPr>
                        </w:pPr>
                        <w:r>
                          <w:rPr>
                            <w:rFonts w:ascii="Times New Roman"/>
                            <w:spacing w:val="-1"/>
                            <w:sz w:val="15"/>
                          </w:rPr>
                          <w:t>67.43</w:t>
                        </w:r>
                      </w:p>
                    </w:tc>
                    <w:tc>
                      <w:tcPr>
                        <w:tcW w:w="947" w:type="dxa"/>
                        <w:tcBorders>
                          <w:top w:val="single" w:sz="6" w:space="0" w:color="000000"/>
                          <w:left w:val="nil" w:sz="6" w:space="0" w:color="auto"/>
                          <w:bottom w:val="nil" w:sz="6" w:space="0" w:color="auto"/>
                          <w:right w:val="nil" w:sz="6" w:space="0" w:color="auto"/>
                        </w:tcBorders>
                      </w:tcPr>
                      <w:p>
                        <w:pPr>
                          <w:pStyle w:val="TableParagraph"/>
                          <w:spacing w:line="240" w:lineRule="auto" w:before="88"/>
                          <w:ind w:left="277" w:right="0"/>
                          <w:jc w:val="left"/>
                          <w:rPr>
                            <w:rFonts w:ascii="Times New Roman" w:hAnsi="Times New Roman" w:cs="Times New Roman" w:eastAsia="Times New Roman" w:hint="default"/>
                            <w:sz w:val="15"/>
                            <w:szCs w:val="15"/>
                          </w:rPr>
                        </w:pPr>
                        <w:r>
                          <w:rPr>
                            <w:rFonts w:ascii="Times New Roman"/>
                            <w:sz w:val="15"/>
                          </w:rPr>
                          <w:t>5.00</w:t>
                        </w:r>
                      </w:p>
                    </w:tc>
                    <w:tc>
                      <w:tcPr>
                        <w:tcW w:w="113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2,021.90</w:t>
                        </w:r>
                      </w:p>
                    </w:tc>
                  </w:tr>
                  <w:tr>
                    <w:trPr>
                      <w:trHeight w:val="397"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年（含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1"/>
                          <w:jc w:val="right"/>
                          <w:rPr>
                            <w:rFonts w:ascii="Times New Roman" w:hAnsi="Times New Roman" w:cs="Times New Roman" w:eastAsia="Times New Roman" w:hint="default"/>
                            <w:sz w:val="15"/>
                            <w:szCs w:val="15"/>
                          </w:rPr>
                        </w:pPr>
                        <w:r>
                          <w:rPr>
                            <w:rFonts w:ascii="Times New Roman"/>
                            <w:spacing w:val="-1"/>
                            <w:sz w:val="15"/>
                          </w:rPr>
                          <w:t>2,150.00</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
                          <w:jc w:val="center"/>
                          <w:rPr>
                            <w:rFonts w:ascii="Times New Roman" w:hAnsi="Times New Roman" w:cs="Times New Roman" w:eastAsia="Times New Roman" w:hint="default"/>
                            <w:sz w:val="15"/>
                            <w:szCs w:val="15"/>
                          </w:rPr>
                        </w:pPr>
                        <w:r>
                          <w:rPr>
                            <w:rFonts w:ascii="Times New Roman"/>
                            <w:sz w:val="15"/>
                          </w:rPr>
                          <w:t>6.79</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39" w:right="0"/>
                          <w:jc w:val="left"/>
                          <w:rPr>
                            <w:rFonts w:ascii="Times New Roman" w:hAnsi="Times New Roman" w:cs="Times New Roman" w:eastAsia="Times New Roman" w:hint="default"/>
                            <w:sz w:val="15"/>
                            <w:szCs w:val="15"/>
                          </w:rPr>
                        </w:pPr>
                        <w:r>
                          <w:rPr>
                            <w:rFonts w:ascii="Times New Roman"/>
                            <w:sz w:val="15"/>
                          </w:rPr>
                          <w:t>10.00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6"/>
                          <w:jc w:val="right"/>
                          <w:rPr>
                            <w:rFonts w:ascii="Times New Roman" w:hAnsi="Times New Roman" w:cs="Times New Roman" w:eastAsia="Times New Roman" w:hint="default"/>
                            <w:sz w:val="15"/>
                            <w:szCs w:val="15"/>
                          </w:rPr>
                        </w:pPr>
                        <w:r>
                          <w:rPr>
                            <w:rFonts w:ascii="Times New Roman"/>
                            <w:spacing w:val="-1"/>
                            <w:sz w:val="15"/>
                          </w:rPr>
                          <w:t>215.00</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01" w:right="0"/>
                          <w:jc w:val="left"/>
                          <w:rPr>
                            <w:rFonts w:ascii="Times New Roman" w:hAnsi="Times New Roman" w:cs="Times New Roman" w:eastAsia="Times New Roman" w:hint="default"/>
                            <w:sz w:val="15"/>
                            <w:szCs w:val="15"/>
                          </w:rPr>
                        </w:pPr>
                        <w:r>
                          <w:rPr>
                            <w:rFonts w:ascii="Times New Roman"/>
                            <w:sz w:val="15"/>
                          </w:rPr>
                          <w:t>19,535.79</w:t>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68"/>
                          <w:jc w:val="right"/>
                          <w:rPr>
                            <w:rFonts w:ascii="Times New Roman" w:hAnsi="Times New Roman" w:cs="Times New Roman" w:eastAsia="Times New Roman" w:hint="default"/>
                            <w:sz w:val="15"/>
                            <w:szCs w:val="15"/>
                          </w:rPr>
                        </w:pPr>
                        <w:r>
                          <w:rPr>
                            <w:rFonts w:ascii="Times New Roman"/>
                            <w:spacing w:val="-1"/>
                            <w:sz w:val="15"/>
                          </w:rPr>
                          <w:t>32.57</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38" w:right="0"/>
                          <w:jc w:val="left"/>
                          <w:rPr>
                            <w:rFonts w:ascii="Times New Roman" w:hAnsi="Times New Roman" w:cs="Times New Roman" w:eastAsia="Times New Roman" w:hint="default"/>
                            <w:sz w:val="15"/>
                            <w:szCs w:val="15"/>
                          </w:rPr>
                        </w:pPr>
                        <w:r>
                          <w:rPr>
                            <w:rFonts w:ascii="Times New Roman"/>
                            <w:sz w:val="15"/>
                          </w:rPr>
                          <w:t>10.00</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1,953.58</w:t>
                        </w:r>
                      </w:p>
                    </w:tc>
                  </w:tr>
                  <w:tr>
                    <w:trPr>
                      <w:trHeight w:val="416"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1"/>
                          <w:jc w:val="right"/>
                          <w:rPr>
                            <w:rFonts w:ascii="Times New Roman" w:hAnsi="Times New Roman" w:cs="Times New Roman" w:eastAsia="Times New Roman" w:hint="default"/>
                            <w:sz w:val="15"/>
                            <w:szCs w:val="15"/>
                          </w:rPr>
                        </w:pPr>
                        <w:r>
                          <w:rPr>
                            <w:rFonts w:ascii="Times New Roman"/>
                            <w:spacing w:val="-1"/>
                            <w:sz w:val="15"/>
                          </w:rPr>
                          <w:t>19,535.79</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
                          <w:jc w:val="center"/>
                          <w:rPr>
                            <w:rFonts w:ascii="Times New Roman" w:hAnsi="Times New Roman" w:cs="Times New Roman" w:eastAsia="Times New Roman" w:hint="default"/>
                            <w:sz w:val="15"/>
                            <w:szCs w:val="15"/>
                          </w:rPr>
                        </w:pPr>
                        <w:r>
                          <w:rPr>
                            <w:rFonts w:ascii="Times New Roman"/>
                            <w:sz w:val="15"/>
                          </w:rPr>
                          <w:t>61.65</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39" w:right="0"/>
                          <w:jc w:val="left"/>
                          <w:rPr>
                            <w:rFonts w:ascii="Times New Roman" w:hAnsi="Times New Roman" w:cs="Times New Roman" w:eastAsia="Times New Roman" w:hint="default"/>
                            <w:sz w:val="15"/>
                            <w:szCs w:val="15"/>
                          </w:rPr>
                        </w:pPr>
                        <w:r>
                          <w:rPr>
                            <w:rFonts w:ascii="Times New Roman"/>
                            <w:sz w:val="15"/>
                          </w:rPr>
                          <w:t>50.00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37"/>
                          <w:jc w:val="right"/>
                          <w:rPr>
                            <w:rFonts w:ascii="Times New Roman" w:hAnsi="Times New Roman" w:cs="Times New Roman" w:eastAsia="Times New Roman" w:hint="default"/>
                            <w:sz w:val="15"/>
                            <w:szCs w:val="15"/>
                          </w:rPr>
                        </w:pPr>
                        <w:r>
                          <w:rPr>
                            <w:rFonts w:ascii="Times New Roman"/>
                            <w:spacing w:val="-1"/>
                            <w:sz w:val="15"/>
                          </w:rPr>
                          <w:t>9,767.90</w:t>
                        </w:r>
                      </w:p>
                    </w:tc>
                    <w:tc>
                      <w:tcPr>
                        <w:tcW w:w="895"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38" w:right="0"/>
                          <w:jc w:val="left"/>
                          <w:rPr>
                            <w:rFonts w:ascii="Times New Roman" w:hAnsi="Times New Roman" w:cs="Times New Roman" w:eastAsia="Times New Roman" w:hint="default"/>
                            <w:sz w:val="15"/>
                            <w:szCs w:val="15"/>
                          </w:rPr>
                        </w:pPr>
                        <w:r>
                          <w:rPr>
                            <w:rFonts w:ascii="Times New Roman"/>
                            <w:sz w:val="15"/>
                          </w:rPr>
                          <w:t>50.00</w:t>
                        </w:r>
                      </w:p>
                    </w:tc>
                    <w:tc>
                      <w:tcPr>
                        <w:tcW w:w="1138" w:type="dxa"/>
                        <w:tcBorders>
                          <w:top w:val="nil" w:sz="6" w:space="0" w:color="auto"/>
                          <w:left w:val="nil" w:sz="6" w:space="0" w:color="auto"/>
                          <w:bottom w:val="nil" w:sz="6" w:space="0" w:color="auto"/>
                          <w:right w:val="nil" w:sz="6" w:space="0" w:color="auto"/>
                        </w:tcBorders>
                      </w:tcPr>
                      <w:p>
                        <w:pPr/>
                      </w:p>
                    </w:tc>
                  </w:tr>
                  <w:tr>
                    <w:trPr>
                      <w:trHeight w:val="378"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3"/>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1"/>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31,685.79</w:t>
                        </w:r>
                        <w:r>
                          <w:rPr>
                            <w:rFonts w:ascii="Times New Roman"/>
                            <w:spacing w:val="-1"/>
                            <w:sz w:val="15"/>
                          </w:rPr>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881"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10,482.90</w:t>
                        </w:r>
                        <w:r>
                          <w:rPr>
                            <w:rFonts w:ascii="Times New Roman"/>
                            <w:spacing w:val="-1"/>
                            <w:sz w:val="15"/>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01"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59,973.79</w:t>
                        </w:r>
                        <w:r>
                          <w:rPr>
                            <w:rFonts w:ascii="Times New Roman"/>
                            <w:sz w:val="15"/>
                          </w:rPr>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20"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947"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3,975.48</w:t>
                        </w:r>
                        <w:r>
                          <w:rPr>
                            <w:rFonts w:ascii="Times New Roman"/>
                            <w:spacing w:val="-1"/>
                            <w:sz w:val="15"/>
                          </w:rPr>
                        </w:r>
                      </w:p>
                    </w:tc>
                  </w:tr>
                </w:tbl>
                <w:p>
                  <w:pPr/>
                </w:p>
              </w:txbxContent>
            </v:textbox>
            <w10:wrap type="none"/>
          </v:shape>
        </w:pict>
      </w:r>
      <w:r>
        <w:rPr>
          <w:rFonts w:ascii="宋体" w:hAnsi="宋体" w:cs="宋体" w:eastAsia="宋体" w:hint="default"/>
          <w:b/>
          <w:bCs/>
          <w:sz w:val="15"/>
          <w:szCs w:val="15"/>
        </w:rPr>
        <w:t>坏账准备</w:t>
        <w:tab/>
        <w:t>坏账准备</w:t>
      </w:r>
      <w:r>
        <w:rPr>
          <w:rFonts w:ascii="宋体" w:hAnsi="宋体" w:cs="宋体" w:eastAsia="宋体" w:hint="default"/>
          <w:sz w:val="15"/>
          <w:szCs w:val="15"/>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0"/>
          <w:szCs w:val="20"/>
        </w:rPr>
      </w:pPr>
    </w:p>
    <w:p>
      <w:pPr>
        <w:pStyle w:val="BodyText"/>
        <w:spacing w:line="240" w:lineRule="auto" w:before="44"/>
        <w:ind w:left="720" w:right="0"/>
        <w:jc w:val="left"/>
      </w:pPr>
      <w:r>
        <w:rPr/>
        <w:t>（</w:t>
      </w:r>
      <w:r>
        <w:rPr>
          <w:rFonts w:ascii="Times New Roman" w:hAnsi="Times New Roman" w:cs="Times New Roman" w:eastAsia="Times New Roman" w:hint="default"/>
        </w:rPr>
        <w:t>4</w:t>
      </w:r>
      <w:r>
        <w:rPr/>
        <w:t>）按性质分类其他应收款的账面余额</w:t>
      </w:r>
    </w:p>
    <w:p>
      <w:pPr>
        <w:spacing w:line="240" w:lineRule="auto" w:before="6"/>
        <w:rPr>
          <w:rFonts w:ascii="宋体" w:hAnsi="宋体" w:cs="宋体" w:eastAsia="宋体" w:hint="default"/>
          <w:sz w:val="24"/>
          <w:szCs w:val="24"/>
        </w:rPr>
      </w:pPr>
    </w:p>
    <w:tbl>
      <w:tblPr>
        <w:tblW w:w="0" w:type="auto"/>
        <w:jc w:val="left"/>
        <w:tblInd w:w="223" w:type="dxa"/>
        <w:tblLayout w:type="fixed"/>
        <w:tblCellMar>
          <w:top w:w="0" w:type="dxa"/>
          <w:left w:w="0" w:type="dxa"/>
          <w:bottom w:w="0" w:type="dxa"/>
          <w:right w:w="0" w:type="dxa"/>
        </w:tblCellMar>
        <w:tblLook w:val="01E0"/>
      </w:tblPr>
      <w:tblGrid>
        <w:gridCol w:w="2847"/>
        <w:gridCol w:w="2972"/>
        <w:gridCol w:w="2763"/>
      </w:tblGrid>
      <w:tr>
        <w:trPr>
          <w:trHeight w:val="277" w:hRule="exact"/>
        </w:trPr>
        <w:tc>
          <w:tcPr>
            <w:tcW w:w="2847" w:type="dxa"/>
            <w:tcBorders>
              <w:top w:val="nil" w:sz="6" w:space="0" w:color="auto"/>
              <w:left w:val="nil" w:sz="6" w:space="0" w:color="auto"/>
              <w:bottom w:val="single" w:sz="4" w:space="0" w:color="000000"/>
              <w:right w:val="nil" w:sz="6" w:space="0" w:color="auto"/>
            </w:tcBorders>
          </w:tcPr>
          <w:p>
            <w:pPr>
              <w:pStyle w:val="TableParagraph"/>
              <w:spacing w:line="180" w:lineRule="exact"/>
              <w:ind w:left="11"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2972" w:type="dxa"/>
            <w:tcBorders>
              <w:top w:val="nil" w:sz="6" w:space="0" w:color="auto"/>
              <w:left w:val="nil" w:sz="6" w:space="0" w:color="auto"/>
              <w:bottom w:val="single" w:sz="6" w:space="0" w:color="000000"/>
              <w:right w:val="nil" w:sz="6" w:space="0" w:color="auto"/>
            </w:tcBorders>
          </w:tcPr>
          <w:p>
            <w:pPr>
              <w:pStyle w:val="TableParagraph"/>
              <w:spacing w:line="180" w:lineRule="exact"/>
              <w:ind w:right="82"/>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763" w:type="dxa"/>
            <w:tcBorders>
              <w:top w:val="nil" w:sz="6" w:space="0" w:color="auto"/>
              <w:left w:val="nil" w:sz="6" w:space="0" w:color="auto"/>
              <w:bottom w:val="single" w:sz="6" w:space="0" w:color="000000"/>
              <w:right w:val="nil" w:sz="6" w:space="0" w:color="auto"/>
            </w:tcBorders>
          </w:tcPr>
          <w:p>
            <w:pPr>
              <w:pStyle w:val="TableParagraph"/>
              <w:spacing w:line="180" w:lineRule="exact"/>
              <w:ind w:right="99"/>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17" w:hRule="exact"/>
        </w:trPr>
        <w:tc>
          <w:tcPr>
            <w:tcW w:w="284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28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972" w:type="dxa"/>
            <w:tcBorders>
              <w:top w:val="single" w:sz="6" w:space="0" w:color="000000"/>
              <w:left w:val="nil" w:sz="6" w:space="0" w:color="auto"/>
              <w:bottom w:val="nil" w:sz="6" w:space="0" w:color="auto"/>
              <w:right w:val="nil" w:sz="6" w:space="0" w:color="auto"/>
            </w:tcBorders>
          </w:tcPr>
          <w:p>
            <w:pPr>
              <w:pStyle w:val="TableParagraph"/>
              <w:spacing w:line="240" w:lineRule="auto" w:before="74"/>
              <w:ind w:right="967"/>
              <w:jc w:val="right"/>
              <w:rPr>
                <w:rFonts w:ascii="Times New Roman" w:hAnsi="Times New Roman" w:cs="Times New Roman" w:eastAsia="Times New Roman" w:hint="default"/>
                <w:sz w:val="18"/>
                <w:szCs w:val="18"/>
              </w:rPr>
            </w:pPr>
            <w:r>
              <w:rPr>
                <w:rFonts w:ascii="Times New Roman"/>
                <w:spacing w:val="-1"/>
                <w:sz w:val="18"/>
              </w:rPr>
              <w:t>3,722,269.21</w:t>
            </w:r>
          </w:p>
        </w:tc>
        <w:tc>
          <w:tcPr>
            <w:tcW w:w="2763" w:type="dxa"/>
            <w:tcBorders>
              <w:top w:val="single" w:sz="6" w:space="0" w:color="000000"/>
              <w:left w:val="nil" w:sz="6" w:space="0" w:color="auto"/>
              <w:bottom w:val="nil" w:sz="6" w:space="0" w:color="auto"/>
              <w:right w:val="nil" w:sz="6" w:space="0" w:color="auto"/>
            </w:tcBorders>
          </w:tcPr>
          <w:p>
            <w:pPr>
              <w:pStyle w:val="TableParagraph"/>
              <w:spacing w:line="240" w:lineRule="auto" w:before="117"/>
              <w:ind w:right="768"/>
              <w:jc w:val="right"/>
              <w:rPr>
                <w:rFonts w:ascii="Times New Roman" w:hAnsi="Times New Roman" w:cs="Times New Roman" w:eastAsia="Times New Roman" w:hint="default"/>
                <w:sz w:val="18"/>
                <w:szCs w:val="18"/>
              </w:rPr>
            </w:pPr>
            <w:r>
              <w:rPr>
                <w:rFonts w:ascii="Times New Roman"/>
                <w:spacing w:val="-1"/>
                <w:sz w:val="18"/>
              </w:rPr>
              <w:t>4,745,119.42</w:t>
            </w:r>
          </w:p>
        </w:tc>
      </w:tr>
      <w:tr>
        <w:trPr>
          <w:trHeight w:val="401"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83" w:right="0"/>
              <w:jc w:val="left"/>
              <w:rPr>
                <w:rFonts w:ascii="宋体" w:hAnsi="宋体" w:cs="宋体" w:eastAsia="宋体" w:hint="default"/>
                <w:sz w:val="18"/>
                <w:szCs w:val="18"/>
              </w:rPr>
            </w:pPr>
            <w:r>
              <w:rPr>
                <w:rFonts w:ascii="宋体" w:hAnsi="宋体" w:cs="宋体" w:eastAsia="宋体" w:hint="default"/>
                <w:sz w:val="18"/>
                <w:szCs w:val="18"/>
              </w:rPr>
              <w:t>课题研究费</w:t>
            </w: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67"/>
              <w:jc w:val="right"/>
              <w:rPr>
                <w:rFonts w:ascii="Times New Roman" w:hAnsi="Times New Roman" w:cs="Times New Roman" w:eastAsia="Times New Roman" w:hint="default"/>
                <w:sz w:val="18"/>
                <w:szCs w:val="18"/>
              </w:rPr>
            </w:pPr>
            <w:r>
              <w:rPr>
                <w:rFonts w:ascii="Times New Roman"/>
                <w:spacing w:val="-1"/>
                <w:sz w:val="18"/>
              </w:rPr>
              <w:t>3,000,000.00</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768"/>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0"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83"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67"/>
              <w:jc w:val="right"/>
              <w:rPr>
                <w:rFonts w:ascii="Times New Roman" w:hAnsi="Times New Roman" w:cs="Times New Roman" w:eastAsia="Times New Roman" w:hint="default"/>
                <w:sz w:val="18"/>
                <w:szCs w:val="18"/>
              </w:rPr>
            </w:pPr>
            <w:r>
              <w:rPr>
                <w:rFonts w:ascii="Times New Roman"/>
                <w:spacing w:val="-1"/>
                <w:sz w:val="18"/>
              </w:rPr>
              <w:t>2,620,834.41</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768"/>
              <w:jc w:val="right"/>
              <w:rPr>
                <w:rFonts w:ascii="Times New Roman" w:hAnsi="Times New Roman" w:cs="Times New Roman" w:eastAsia="Times New Roman" w:hint="default"/>
                <w:sz w:val="18"/>
                <w:szCs w:val="18"/>
              </w:rPr>
            </w:pPr>
            <w:r>
              <w:rPr>
                <w:rFonts w:ascii="Times New Roman"/>
                <w:spacing w:val="-1"/>
                <w:sz w:val="18"/>
              </w:rPr>
              <w:t>2,608,269.58</w:t>
            </w:r>
          </w:p>
        </w:tc>
      </w:tr>
      <w:tr>
        <w:trPr>
          <w:trHeight w:val="400"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8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67"/>
              <w:jc w:val="right"/>
              <w:rPr>
                <w:rFonts w:ascii="Times New Roman" w:hAnsi="Times New Roman" w:cs="Times New Roman" w:eastAsia="Times New Roman" w:hint="default"/>
                <w:sz w:val="18"/>
                <w:szCs w:val="18"/>
              </w:rPr>
            </w:pPr>
            <w:r>
              <w:rPr>
                <w:rFonts w:ascii="Times New Roman"/>
                <w:spacing w:val="-1"/>
                <w:sz w:val="18"/>
              </w:rPr>
              <w:t>184,130.58</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768"/>
              <w:jc w:val="right"/>
              <w:rPr>
                <w:rFonts w:ascii="Times New Roman" w:hAnsi="Times New Roman" w:cs="Times New Roman" w:eastAsia="Times New Roman" w:hint="default"/>
                <w:sz w:val="18"/>
                <w:szCs w:val="18"/>
              </w:rPr>
            </w:pPr>
            <w:r>
              <w:rPr>
                <w:rFonts w:ascii="Times New Roman"/>
                <w:spacing w:val="-1"/>
                <w:sz w:val="18"/>
              </w:rPr>
              <w:t>443,108.07</w:t>
            </w:r>
          </w:p>
        </w:tc>
      </w:tr>
      <w:tr>
        <w:trPr>
          <w:trHeight w:val="312"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67"/>
              <w:jc w:val="right"/>
              <w:rPr>
                <w:rFonts w:ascii="Times New Roman" w:hAnsi="Times New Roman" w:cs="Times New Roman" w:eastAsia="Times New Roman" w:hint="default"/>
                <w:sz w:val="18"/>
                <w:szCs w:val="18"/>
              </w:rPr>
            </w:pPr>
            <w:r>
              <w:rPr>
                <w:rFonts w:ascii="Times New Roman"/>
                <w:spacing w:val="-1"/>
                <w:sz w:val="18"/>
              </w:rPr>
              <w:t>1,936,602.12</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768"/>
              <w:jc w:val="right"/>
              <w:rPr>
                <w:rFonts w:ascii="Times New Roman" w:hAnsi="Times New Roman" w:cs="Times New Roman" w:eastAsia="Times New Roman" w:hint="default"/>
                <w:sz w:val="18"/>
                <w:szCs w:val="18"/>
              </w:rPr>
            </w:pPr>
            <w:r>
              <w:rPr>
                <w:rFonts w:ascii="Times New Roman"/>
                <w:spacing w:val="-1"/>
                <w:sz w:val="18"/>
              </w:rPr>
              <w:t>248,414.67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1140" w:left="1440" w:right="1300"/>
        </w:sectPr>
      </w:pPr>
    </w:p>
    <w:p>
      <w:pPr>
        <w:spacing w:line="240" w:lineRule="auto" w:before="7"/>
        <w:rPr>
          <w:rFonts w:ascii="宋体" w:hAnsi="宋体" w:cs="宋体" w:eastAsia="宋体" w:hint="default"/>
          <w:sz w:val="5"/>
          <w:szCs w:val="5"/>
        </w:rPr>
      </w:pPr>
    </w:p>
    <w:tbl>
      <w:tblPr>
        <w:tblW w:w="0" w:type="auto"/>
        <w:jc w:val="left"/>
        <w:tblInd w:w="223" w:type="dxa"/>
        <w:tblLayout w:type="fixed"/>
        <w:tblCellMar>
          <w:top w:w="0" w:type="dxa"/>
          <w:left w:w="0" w:type="dxa"/>
          <w:bottom w:w="0" w:type="dxa"/>
          <w:right w:w="0" w:type="dxa"/>
        </w:tblCellMar>
        <w:tblLook w:val="01E0"/>
      </w:tblPr>
      <w:tblGrid>
        <w:gridCol w:w="2802"/>
        <w:gridCol w:w="3016"/>
        <w:gridCol w:w="2763"/>
      </w:tblGrid>
      <w:tr>
        <w:trPr>
          <w:trHeight w:val="277" w:hRule="exact"/>
        </w:trPr>
        <w:tc>
          <w:tcPr>
            <w:tcW w:w="2802" w:type="dxa"/>
            <w:tcBorders>
              <w:top w:val="nil" w:sz="6" w:space="0" w:color="auto"/>
              <w:left w:val="nil" w:sz="6" w:space="0" w:color="auto"/>
              <w:bottom w:val="single" w:sz="4" w:space="0" w:color="000000"/>
              <w:right w:val="nil" w:sz="6" w:space="0" w:color="auto"/>
            </w:tcBorders>
          </w:tcPr>
          <w:p>
            <w:pPr>
              <w:pStyle w:val="TableParagraph"/>
              <w:spacing w:line="180" w:lineRule="exact"/>
              <w:ind w:left="55"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016" w:type="dxa"/>
            <w:tcBorders>
              <w:top w:val="nil" w:sz="6" w:space="0" w:color="auto"/>
              <w:left w:val="nil" w:sz="6" w:space="0" w:color="auto"/>
              <w:bottom w:val="single" w:sz="6" w:space="0" w:color="000000"/>
              <w:right w:val="nil" w:sz="6" w:space="0" w:color="auto"/>
            </w:tcBorders>
          </w:tcPr>
          <w:p>
            <w:pPr>
              <w:pStyle w:val="TableParagraph"/>
              <w:spacing w:line="180" w:lineRule="exact"/>
              <w:ind w:right="37"/>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763" w:type="dxa"/>
            <w:tcBorders>
              <w:top w:val="nil" w:sz="6" w:space="0" w:color="auto"/>
              <w:left w:val="nil" w:sz="6" w:space="0" w:color="auto"/>
              <w:bottom w:val="single" w:sz="6" w:space="0" w:color="000000"/>
              <w:right w:val="nil" w:sz="6" w:space="0" w:color="auto"/>
            </w:tcBorders>
          </w:tcPr>
          <w:p>
            <w:pPr>
              <w:pStyle w:val="TableParagraph"/>
              <w:spacing w:line="180" w:lineRule="exact"/>
              <w:ind w:left="96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8" w:hRule="exact"/>
        </w:trPr>
        <w:tc>
          <w:tcPr>
            <w:tcW w:w="280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5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16" w:type="dxa"/>
            <w:tcBorders>
              <w:top w:val="single" w:sz="6" w:space="0" w:color="000000"/>
              <w:left w:val="nil" w:sz="6" w:space="0" w:color="auto"/>
              <w:bottom w:val="nil" w:sz="6" w:space="0" w:color="auto"/>
              <w:right w:val="nil" w:sz="6" w:space="0" w:color="auto"/>
            </w:tcBorders>
          </w:tcPr>
          <w:p>
            <w:pPr>
              <w:pStyle w:val="TableParagraph"/>
              <w:spacing w:line="240" w:lineRule="auto" w:before="74"/>
              <w:ind w:left="42"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11,463,836.32</w:t>
            </w:r>
            <w:r>
              <w:rPr>
                <w:rFonts w:ascii="Times New Roman"/>
                <w:sz w:val="18"/>
              </w:rPr>
            </w:r>
          </w:p>
        </w:tc>
        <w:tc>
          <w:tcPr>
            <w:tcW w:w="2763" w:type="dxa"/>
            <w:tcBorders>
              <w:top w:val="single" w:sz="6" w:space="0" w:color="000000"/>
              <w:left w:val="nil" w:sz="6" w:space="0" w:color="auto"/>
              <w:bottom w:val="nil" w:sz="6" w:space="0" w:color="auto"/>
              <w:right w:val="nil" w:sz="6" w:space="0" w:color="auto"/>
            </w:tcBorders>
          </w:tcPr>
          <w:p>
            <w:pPr>
              <w:pStyle w:val="TableParagraph"/>
              <w:spacing w:line="240" w:lineRule="auto" w:before="117"/>
              <w:ind w:left="96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11,044,911.74</w:t>
            </w:r>
            <w:r>
              <w:rPr>
                <w:rFonts w:ascii="Times New Roman"/>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720" w:right="0"/>
        <w:jc w:val="left"/>
      </w:pPr>
      <w:r>
        <w:rPr/>
        <w:t>（</w:t>
      </w:r>
      <w:r>
        <w:rPr>
          <w:rFonts w:ascii="Times New Roman" w:hAnsi="Times New Roman" w:cs="Times New Roman" w:eastAsia="Times New Roman" w:hint="default"/>
        </w:rPr>
        <w:t>5</w:t>
      </w:r>
      <w:r>
        <w:rPr/>
        <w:t>）期末其他应收款金额前五名情况</w:t>
      </w:r>
    </w:p>
    <w:p>
      <w:pPr>
        <w:spacing w:line="240" w:lineRule="auto" w:before="4"/>
        <w:rPr>
          <w:rFonts w:ascii="宋体" w:hAnsi="宋体" w:cs="宋体" w:eastAsia="宋体" w:hint="default"/>
          <w:sz w:val="26"/>
          <w:szCs w:val="26"/>
        </w:rPr>
      </w:pPr>
    </w:p>
    <w:tbl>
      <w:tblPr>
        <w:tblW w:w="0" w:type="auto"/>
        <w:jc w:val="left"/>
        <w:tblInd w:w="223" w:type="dxa"/>
        <w:tblLayout w:type="fixed"/>
        <w:tblCellMar>
          <w:top w:w="0" w:type="dxa"/>
          <w:left w:w="0" w:type="dxa"/>
          <w:bottom w:w="0" w:type="dxa"/>
          <w:right w:w="0" w:type="dxa"/>
        </w:tblCellMar>
        <w:tblLook w:val="01E0"/>
      </w:tblPr>
      <w:tblGrid>
        <w:gridCol w:w="2590"/>
        <w:gridCol w:w="1067"/>
        <w:gridCol w:w="1096"/>
        <w:gridCol w:w="1657"/>
        <w:gridCol w:w="1233"/>
        <w:gridCol w:w="938"/>
      </w:tblGrid>
      <w:tr>
        <w:trPr>
          <w:trHeight w:val="651" w:hRule="exact"/>
        </w:trPr>
        <w:tc>
          <w:tcPr>
            <w:tcW w:w="259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40" w:right="0"/>
              <w:jc w:val="center"/>
              <w:rPr>
                <w:rFonts w:ascii="宋体" w:hAnsi="宋体" w:cs="宋体" w:eastAsia="宋体" w:hint="default"/>
                <w:sz w:val="15"/>
                <w:szCs w:val="15"/>
              </w:rPr>
            </w:pPr>
            <w:r>
              <w:rPr>
                <w:rFonts w:ascii="宋体" w:hAnsi="宋体" w:cs="宋体" w:eastAsia="宋体" w:hint="default"/>
                <w:b/>
                <w:bCs/>
                <w:sz w:val="15"/>
                <w:szCs w:val="15"/>
              </w:rPr>
              <w:t>单位名称</w:t>
            </w:r>
            <w:r>
              <w:rPr>
                <w:rFonts w:ascii="宋体" w:hAnsi="宋体" w:cs="宋体" w:eastAsia="宋体" w:hint="default"/>
                <w:sz w:val="15"/>
                <w:szCs w:val="15"/>
              </w:rPr>
            </w:r>
          </w:p>
        </w:tc>
        <w:tc>
          <w:tcPr>
            <w:tcW w:w="1067"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23" w:right="0"/>
              <w:jc w:val="left"/>
              <w:rPr>
                <w:rFonts w:ascii="宋体" w:hAnsi="宋体" w:cs="宋体" w:eastAsia="宋体" w:hint="default"/>
                <w:sz w:val="15"/>
                <w:szCs w:val="15"/>
              </w:rPr>
            </w:pPr>
            <w:r>
              <w:rPr>
                <w:rFonts w:ascii="宋体" w:hAnsi="宋体" w:cs="宋体" w:eastAsia="宋体" w:hint="default"/>
                <w:b/>
                <w:bCs/>
                <w:sz w:val="15"/>
                <w:szCs w:val="15"/>
              </w:rPr>
              <w:t>款项性质</w:t>
            </w:r>
            <w:r>
              <w:rPr>
                <w:rFonts w:ascii="宋体" w:hAnsi="宋体" w:cs="宋体" w:eastAsia="宋体" w:hint="default"/>
                <w:sz w:val="15"/>
                <w:szCs w:val="15"/>
              </w:rPr>
            </w:r>
          </w:p>
        </w:tc>
        <w:tc>
          <w:tcPr>
            <w:tcW w:w="1096"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50"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1657"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70" w:right="0"/>
              <w:jc w:val="center"/>
              <w:rPr>
                <w:rFonts w:ascii="宋体" w:hAnsi="宋体" w:cs="宋体" w:eastAsia="宋体" w:hint="default"/>
                <w:sz w:val="15"/>
                <w:szCs w:val="15"/>
              </w:rPr>
            </w:pPr>
            <w:r>
              <w:rPr>
                <w:rFonts w:ascii="宋体" w:hAnsi="宋体" w:cs="宋体" w:eastAsia="宋体" w:hint="default"/>
                <w:b/>
                <w:bCs/>
                <w:sz w:val="15"/>
                <w:szCs w:val="15"/>
              </w:rPr>
              <w:t>账龄</w:t>
            </w:r>
            <w:r>
              <w:rPr>
                <w:rFonts w:ascii="宋体" w:hAnsi="宋体" w:cs="宋体" w:eastAsia="宋体" w:hint="default"/>
                <w:sz w:val="15"/>
                <w:szCs w:val="15"/>
              </w:rPr>
            </w:r>
          </w:p>
        </w:tc>
        <w:tc>
          <w:tcPr>
            <w:tcW w:w="1233" w:type="dxa"/>
            <w:tcBorders>
              <w:top w:val="nil" w:sz="6" w:space="0" w:color="auto"/>
              <w:left w:val="nil" w:sz="6" w:space="0" w:color="auto"/>
              <w:bottom w:val="single" w:sz="6" w:space="0" w:color="000000"/>
              <w:right w:val="nil" w:sz="6" w:space="0" w:color="auto"/>
            </w:tcBorders>
          </w:tcPr>
          <w:p>
            <w:pPr>
              <w:pStyle w:val="TableParagraph"/>
              <w:spacing w:line="151" w:lineRule="exact"/>
              <w:ind w:left="-22" w:right="24"/>
              <w:jc w:val="center"/>
              <w:rPr>
                <w:rFonts w:ascii="宋体" w:hAnsi="宋体" w:cs="宋体" w:eastAsia="宋体" w:hint="default"/>
                <w:sz w:val="15"/>
                <w:szCs w:val="15"/>
              </w:rPr>
            </w:pPr>
            <w:r>
              <w:rPr>
                <w:rFonts w:ascii="宋体" w:hAnsi="宋体" w:cs="宋体" w:eastAsia="宋体" w:hint="default"/>
                <w:b/>
                <w:bCs/>
                <w:sz w:val="15"/>
                <w:szCs w:val="15"/>
              </w:rPr>
              <w:t>占其他应收款</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24"/>
              <w:jc w:val="center"/>
              <w:rPr>
                <w:rFonts w:ascii="宋体" w:hAnsi="宋体" w:cs="宋体" w:eastAsia="宋体" w:hint="default"/>
                <w:sz w:val="15"/>
                <w:szCs w:val="15"/>
              </w:rPr>
            </w:pPr>
            <w:r>
              <w:rPr>
                <w:rFonts w:ascii="宋体" w:hAnsi="宋体" w:cs="宋体" w:eastAsia="宋体" w:hint="default"/>
                <w:b/>
                <w:bCs/>
                <w:spacing w:val="-1"/>
                <w:sz w:val="15"/>
                <w:szCs w:val="15"/>
              </w:rPr>
              <w:t>总额的比例（</w:t>
            </w:r>
            <w:r>
              <w:rPr>
                <w:rFonts w:ascii="Times New Roman" w:hAnsi="Times New Roman" w:cs="Times New Roman" w:eastAsia="Times New Roman" w:hint="default"/>
                <w:b/>
                <w:bCs/>
                <w:spacing w:val="-1"/>
                <w:sz w:val="15"/>
                <w:szCs w:val="15"/>
              </w:rPr>
              <w:t>%</w:t>
            </w:r>
            <w:r>
              <w:rPr>
                <w:rFonts w:ascii="宋体" w:hAnsi="宋体" w:cs="宋体" w:eastAsia="宋体" w:hint="default"/>
                <w:b/>
                <w:bCs/>
                <w:spacing w:val="-1"/>
                <w:sz w:val="15"/>
                <w:szCs w:val="15"/>
              </w:rPr>
              <w:t>）</w:t>
            </w:r>
            <w:r>
              <w:rPr>
                <w:rFonts w:ascii="宋体" w:hAnsi="宋体" w:cs="宋体" w:eastAsia="宋体" w:hint="default"/>
                <w:spacing w:val="-1"/>
                <w:sz w:val="15"/>
                <w:szCs w:val="15"/>
              </w:rPr>
            </w:r>
          </w:p>
        </w:tc>
        <w:tc>
          <w:tcPr>
            <w:tcW w:w="938" w:type="dxa"/>
            <w:tcBorders>
              <w:top w:val="nil" w:sz="6" w:space="0" w:color="auto"/>
              <w:left w:val="nil" w:sz="6" w:space="0" w:color="auto"/>
              <w:bottom w:val="single" w:sz="6" w:space="0" w:color="000000"/>
              <w:right w:val="nil" w:sz="6" w:space="0" w:color="auto"/>
            </w:tcBorders>
          </w:tcPr>
          <w:p>
            <w:pPr>
              <w:pStyle w:val="TableParagraph"/>
              <w:spacing w:line="151" w:lineRule="exact"/>
              <w:ind w:left="143"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r>
      <w:tr>
        <w:trPr>
          <w:trHeight w:val="343" w:hRule="exact"/>
        </w:trPr>
        <w:tc>
          <w:tcPr>
            <w:tcW w:w="2590"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0"/>
              <w:jc w:val="left"/>
              <w:rPr>
                <w:rFonts w:ascii="宋体" w:hAnsi="宋体" w:cs="宋体" w:eastAsia="宋体" w:hint="default"/>
                <w:sz w:val="15"/>
                <w:szCs w:val="15"/>
              </w:rPr>
            </w:pPr>
            <w:r>
              <w:rPr>
                <w:rFonts w:ascii="宋体" w:hAnsi="宋体" w:cs="宋体" w:eastAsia="宋体" w:hint="default"/>
                <w:sz w:val="15"/>
                <w:szCs w:val="15"/>
              </w:rPr>
              <w:t>大厂书文印刷有限公司</w:t>
            </w:r>
          </w:p>
        </w:tc>
        <w:tc>
          <w:tcPr>
            <w:tcW w:w="1067" w:type="dxa"/>
            <w:tcBorders>
              <w:top w:val="single" w:sz="6" w:space="0" w:color="000000"/>
              <w:left w:val="nil" w:sz="6" w:space="0" w:color="auto"/>
              <w:bottom w:val="nil" w:sz="6" w:space="0" w:color="auto"/>
              <w:right w:val="nil" w:sz="6" w:space="0" w:color="auto"/>
            </w:tcBorders>
          </w:tcPr>
          <w:p>
            <w:pPr>
              <w:pStyle w:val="TableParagraph"/>
              <w:spacing w:line="240" w:lineRule="auto" w:before="36"/>
              <w:ind w:left="38" w:right="0"/>
              <w:jc w:val="left"/>
              <w:rPr>
                <w:rFonts w:ascii="宋体" w:hAnsi="宋体" w:cs="宋体" w:eastAsia="宋体" w:hint="default"/>
                <w:sz w:val="15"/>
                <w:szCs w:val="15"/>
              </w:rPr>
            </w:pPr>
            <w:r>
              <w:rPr>
                <w:rFonts w:ascii="宋体" w:hAnsi="宋体" w:cs="宋体" w:eastAsia="宋体" w:hint="default"/>
                <w:sz w:val="15"/>
                <w:szCs w:val="15"/>
              </w:rPr>
              <w:t>往来款</w:t>
            </w:r>
          </w:p>
        </w:tc>
        <w:tc>
          <w:tcPr>
            <w:tcW w:w="1096" w:type="dxa"/>
            <w:tcBorders>
              <w:top w:val="single" w:sz="6" w:space="0" w:color="000000"/>
              <w:left w:val="nil" w:sz="6" w:space="0" w:color="auto"/>
              <w:bottom w:val="nil" w:sz="6" w:space="0" w:color="auto"/>
              <w:right w:val="nil" w:sz="6" w:space="0" w:color="auto"/>
            </w:tcBorders>
          </w:tcPr>
          <w:p>
            <w:pPr>
              <w:pStyle w:val="TableParagraph"/>
              <w:spacing w:line="240" w:lineRule="auto" w:before="71"/>
              <w:ind w:right="67"/>
              <w:jc w:val="right"/>
              <w:rPr>
                <w:rFonts w:ascii="Times New Roman" w:hAnsi="Times New Roman" w:cs="Times New Roman" w:eastAsia="Times New Roman" w:hint="default"/>
                <w:sz w:val="15"/>
                <w:szCs w:val="15"/>
              </w:rPr>
            </w:pPr>
            <w:r>
              <w:rPr>
                <w:rFonts w:ascii="Times New Roman"/>
                <w:spacing w:val="-1"/>
                <w:sz w:val="15"/>
              </w:rPr>
              <w:t>3,553,326.24</w:t>
            </w:r>
          </w:p>
        </w:tc>
        <w:tc>
          <w:tcPr>
            <w:tcW w:w="1657" w:type="dxa"/>
            <w:tcBorders>
              <w:top w:val="single" w:sz="6" w:space="0" w:color="000000"/>
              <w:left w:val="nil" w:sz="6" w:space="0" w:color="auto"/>
              <w:bottom w:val="nil" w:sz="6" w:space="0" w:color="auto"/>
              <w:right w:val="nil" w:sz="6" w:space="0" w:color="auto"/>
            </w:tcBorders>
          </w:tcPr>
          <w:p>
            <w:pPr>
              <w:pStyle w:val="TableParagraph"/>
              <w:spacing w:line="240" w:lineRule="auto" w:before="36"/>
              <w:ind w:left="69"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pacing w:val="-5"/>
                <w:sz w:val="15"/>
                <w:szCs w:val="15"/>
              </w:rPr>
              <w:t>年以内、</w:t>
            </w:r>
            <w:r>
              <w:rPr>
                <w:rFonts w:ascii="Times New Roman" w:hAnsi="Times New Roman" w:cs="Times New Roman" w:eastAsia="Times New Roman" w:hint="default"/>
                <w:spacing w:val="-5"/>
                <w:sz w:val="15"/>
                <w:szCs w:val="15"/>
              </w:rPr>
              <w:t>1-2 </w:t>
            </w:r>
            <w:r>
              <w:rPr>
                <w:rFonts w:ascii="宋体" w:hAnsi="宋体" w:cs="宋体" w:eastAsia="宋体" w:hint="default"/>
                <w:spacing w:val="-7"/>
                <w:sz w:val="15"/>
                <w:szCs w:val="15"/>
              </w:rPr>
              <w:t>年、</w:t>
            </w:r>
            <w:r>
              <w:rPr>
                <w:rFonts w:ascii="Times New Roman" w:hAnsi="Times New Roman" w:cs="Times New Roman" w:eastAsia="Times New Roman" w:hint="default"/>
                <w:spacing w:val="-7"/>
                <w:sz w:val="15"/>
                <w:szCs w:val="15"/>
              </w:rPr>
              <w:t>2-3</w:t>
            </w:r>
            <w:r>
              <w:rPr>
                <w:rFonts w:ascii="Times New Roman" w:hAnsi="Times New Roman" w:cs="Times New Roman" w:eastAsia="Times New Roman" w:hint="default"/>
                <w:spacing w:val="22"/>
                <w:sz w:val="15"/>
                <w:szCs w:val="15"/>
              </w:rPr>
              <w:t> </w:t>
            </w:r>
            <w:r>
              <w:rPr>
                <w:rFonts w:ascii="宋体" w:hAnsi="宋体" w:cs="宋体" w:eastAsia="宋体" w:hint="default"/>
                <w:sz w:val="15"/>
                <w:szCs w:val="15"/>
              </w:rPr>
              <w:t>年</w:t>
            </w:r>
          </w:p>
        </w:tc>
        <w:tc>
          <w:tcPr>
            <w:tcW w:w="1233" w:type="dxa"/>
            <w:tcBorders>
              <w:top w:val="single" w:sz="6" w:space="0" w:color="000000"/>
              <w:left w:val="nil" w:sz="6" w:space="0" w:color="auto"/>
              <w:bottom w:val="nil" w:sz="6" w:space="0" w:color="auto"/>
              <w:right w:val="nil" w:sz="6" w:space="0" w:color="auto"/>
            </w:tcBorders>
          </w:tcPr>
          <w:p>
            <w:pPr>
              <w:pStyle w:val="TableParagraph"/>
              <w:spacing w:line="240" w:lineRule="auto" w:before="71"/>
              <w:ind w:right="431"/>
              <w:jc w:val="right"/>
              <w:rPr>
                <w:rFonts w:ascii="Times New Roman" w:hAnsi="Times New Roman" w:cs="Times New Roman" w:eastAsia="Times New Roman" w:hint="default"/>
                <w:sz w:val="15"/>
                <w:szCs w:val="15"/>
              </w:rPr>
            </w:pPr>
            <w:r>
              <w:rPr>
                <w:rFonts w:ascii="Times New Roman"/>
                <w:spacing w:val="-2"/>
                <w:sz w:val="15"/>
              </w:rPr>
              <w:t>31.00</w:t>
            </w:r>
          </w:p>
        </w:tc>
        <w:tc>
          <w:tcPr>
            <w:tcW w:w="938" w:type="dxa"/>
            <w:tcBorders>
              <w:top w:val="single" w:sz="6" w:space="0" w:color="000000"/>
              <w:left w:val="nil" w:sz="6" w:space="0" w:color="auto"/>
              <w:bottom w:val="nil" w:sz="6" w:space="0" w:color="auto"/>
              <w:right w:val="nil" w:sz="6" w:space="0" w:color="auto"/>
            </w:tcBorders>
          </w:tcPr>
          <w:p>
            <w:pPr>
              <w:pStyle w:val="TableParagraph"/>
              <w:spacing w:line="240" w:lineRule="auto" w:before="71"/>
              <w:ind w:right="122"/>
              <w:jc w:val="right"/>
              <w:rPr>
                <w:rFonts w:ascii="Times New Roman" w:hAnsi="Times New Roman" w:cs="Times New Roman" w:eastAsia="Times New Roman" w:hint="default"/>
                <w:sz w:val="15"/>
                <w:szCs w:val="15"/>
              </w:rPr>
            </w:pPr>
            <w:r>
              <w:rPr>
                <w:rFonts w:ascii="Times New Roman"/>
                <w:spacing w:val="-1"/>
                <w:sz w:val="15"/>
              </w:rPr>
              <w:t>194,900.17</w:t>
            </w:r>
          </w:p>
        </w:tc>
      </w:tr>
      <w:tr>
        <w:trPr>
          <w:trHeight w:val="352"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5"/>
                <w:szCs w:val="15"/>
              </w:rPr>
            </w:pPr>
            <w:r>
              <w:rPr>
                <w:rFonts w:ascii="宋体" w:hAnsi="宋体" w:cs="宋体" w:eastAsia="宋体" w:hint="default"/>
                <w:sz w:val="15"/>
                <w:szCs w:val="15"/>
              </w:rPr>
              <w:t>中央教育科学研究所</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 w:right="0"/>
              <w:jc w:val="left"/>
              <w:rPr>
                <w:rFonts w:ascii="宋体" w:hAnsi="宋体" w:cs="宋体" w:eastAsia="宋体" w:hint="default"/>
                <w:sz w:val="15"/>
                <w:szCs w:val="15"/>
              </w:rPr>
            </w:pPr>
            <w:r>
              <w:rPr>
                <w:rFonts w:ascii="宋体" w:hAnsi="宋体" w:cs="宋体" w:eastAsia="宋体" w:hint="default"/>
                <w:sz w:val="15"/>
                <w:szCs w:val="15"/>
              </w:rPr>
              <w:t>课题研究费</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7"/>
              <w:jc w:val="right"/>
              <w:rPr>
                <w:rFonts w:ascii="Times New Roman" w:hAnsi="Times New Roman" w:cs="Times New Roman" w:eastAsia="Times New Roman" w:hint="default"/>
                <w:sz w:val="15"/>
                <w:szCs w:val="15"/>
              </w:rPr>
            </w:pPr>
            <w:r>
              <w:rPr>
                <w:rFonts w:ascii="Times New Roman"/>
                <w:spacing w:val="-1"/>
                <w:sz w:val="15"/>
              </w:rPr>
              <w:t>3,000,000.00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31"/>
              <w:jc w:val="right"/>
              <w:rPr>
                <w:rFonts w:ascii="Times New Roman" w:hAnsi="Times New Roman" w:cs="Times New Roman" w:eastAsia="Times New Roman" w:hint="default"/>
                <w:sz w:val="15"/>
                <w:szCs w:val="15"/>
              </w:rPr>
            </w:pPr>
            <w:r>
              <w:rPr>
                <w:rFonts w:ascii="Times New Roman"/>
                <w:spacing w:val="-2"/>
                <w:sz w:val="15"/>
              </w:rPr>
              <w:t>26.17</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2"/>
              <w:jc w:val="right"/>
              <w:rPr>
                <w:rFonts w:ascii="Times New Roman" w:hAnsi="Times New Roman" w:cs="Times New Roman" w:eastAsia="Times New Roman" w:hint="default"/>
                <w:sz w:val="15"/>
                <w:szCs w:val="15"/>
              </w:rPr>
            </w:pPr>
            <w:r>
              <w:rPr>
                <w:rFonts w:ascii="Times New Roman"/>
                <w:spacing w:val="-1"/>
                <w:sz w:val="15"/>
              </w:rPr>
              <w:t>3,000,000.00</w:t>
            </w:r>
          </w:p>
        </w:tc>
      </w:tr>
      <w:tr>
        <w:trPr>
          <w:trHeight w:val="353"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5"/>
                <w:szCs w:val="15"/>
              </w:rPr>
            </w:pPr>
            <w:r>
              <w:rPr>
                <w:rFonts w:ascii="宋体" w:hAnsi="宋体" w:cs="宋体" w:eastAsia="宋体" w:hint="default"/>
                <w:sz w:val="15"/>
                <w:szCs w:val="15"/>
              </w:rPr>
              <w:t>河北美术出版社有限责任公司</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8" w:right="0"/>
              <w:jc w:val="left"/>
              <w:rPr>
                <w:rFonts w:ascii="宋体" w:hAnsi="宋体" w:cs="宋体" w:eastAsia="宋体" w:hint="default"/>
                <w:sz w:val="15"/>
                <w:szCs w:val="15"/>
              </w:rPr>
            </w:pPr>
            <w:r>
              <w:rPr>
                <w:rFonts w:ascii="宋体" w:hAnsi="宋体" w:cs="宋体" w:eastAsia="宋体" w:hint="default"/>
                <w:sz w:val="15"/>
                <w:szCs w:val="15"/>
              </w:rPr>
              <w:t>保证金</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7"/>
              <w:jc w:val="right"/>
              <w:rPr>
                <w:rFonts w:ascii="Times New Roman" w:hAnsi="Times New Roman" w:cs="Times New Roman" w:eastAsia="Times New Roman" w:hint="default"/>
                <w:sz w:val="15"/>
                <w:szCs w:val="15"/>
              </w:rPr>
            </w:pPr>
            <w:r>
              <w:rPr>
                <w:rFonts w:ascii="Times New Roman"/>
                <w:spacing w:val="-1"/>
                <w:sz w:val="15"/>
              </w:rPr>
              <w:t>1,000,000.00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70"/>
              <w:jc w:val="right"/>
              <w:rPr>
                <w:rFonts w:ascii="Times New Roman" w:hAnsi="Times New Roman" w:cs="Times New Roman" w:eastAsia="Times New Roman" w:hint="default"/>
                <w:sz w:val="15"/>
                <w:szCs w:val="15"/>
              </w:rPr>
            </w:pPr>
            <w:r>
              <w:rPr>
                <w:rFonts w:ascii="Times New Roman"/>
                <w:spacing w:val="-1"/>
                <w:sz w:val="15"/>
              </w:rPr>
              <w:t>8.72</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2"/>
              <w:jc w:val="right"/>
              <w:rPr>
                <w:rFonts w:ascii="Times New Roman" w:hAnsi="Times New Roman" w:cs="Times New Roman" w:eastAsia="Times New Roman" w:hint="default"/>
                <w:sz w:val="15"/>
                <w:szCs w:val="15"/>
              </w:rPr>
            </w:pPr>
            <w:r>
              <w:rPr>
                <w:rFonts w:ascii="Times New Roman"/>
                <w:spacing w:val="-1"/>
                <w:sz w:val="15"/>
              </w:rPr>
              <w:t>50,000.00</w:t>
            </w:r>
          </w:p>
        </w:tc>
      </w:tr>
      <w:tr>
        <w:trPr>
          <w:trHeight w:val="352"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5"/>
                <w:szCs w:val="15"/>
              </w:rPr>
            </w:pPr>
            <w:r>
              <w:rPr>
                <w:rFonts w:ascii="宋体" w:hAnsi="宋体" w:cs="宋体" w:eastAsia="宋体" w:hint="default"/>
                <w:sz w:val="15"/>
                <w:szCs w:val="15"/>
              </w:rPr>
              <w:t>长沙星沙文化中心工程建设项目办公室</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8" w:right="0"/>
              <w:jc w:val="left"/>
              <w:rPr>
                <w:rFonts w:ascii="宋体" w:hAnsi="宋体" w:cs="宋体" w:eastAsia="宋体" w:hint="default"/>
                <w:sz w:val="15"/>
                <w:szCs w:val="15"/>
              </w:rPr>
            </w:pPr>
            <w:r>
              <w:rPr>
                <w:rFonts w:ascii="宋体" w:hAnsi="宋体" w:cs="宋体" w:eastAsia="宋体" w:hint="default"/>
                <w:sz w:val="15"/>
                <w:szCs w:val="15"/>
              </w:rPr>
              <w:t>保证金</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7"/>
              <w:jc w:val="right"/>
              <w:rPr>
                <w:rFonts w:ascii="Times New Roman" w:hAnsi="Times New Roman" w:cs="Times New Roman" w:eastAsia="Times New Roman" w:hint="default"/>
                <w:sz w:val="15"/>
                <w:szCs w:val="15"/>
              </w:rPr>
            </w:pPr>
            <w:r>
              <w:rPr>
                <w:rFonts w:ascii="Times New Roman"/>
                <w:spacing w:val="-1"/>
                <w:sz w:val="15"/>
              </w:rPr>
              <w:t>400,000.00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70"/>
              <w:jc w:val="right"/>
              <w:rPr>
                <w:rFonts w:ascii="Times New Roman" w:hAnsi="Times New Roman" w:cs="Times New Roman" w:eastAsia="Times New Roman" w:hint="default"/>
                <w:sz w:val="15"/>
                <w:szCs w:val="15"/>
              </w:rPr>
            </w:pPr>
            <w:r>
              <w:rPr>
                <w:rFonts w:ascii="Times New Roman"/>
                <w:spacing w:val="-1"/>
                <w:sz w:val="15"/>
              </w:rPr>
              <w:t>3.49</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22"/>
              <w:jc w:val="right"/>
              <w:rPr>
                <w:rFonts w:ascii="Times New Roman" w:hAnsi="Times New Roman" w:cs="Times New Roman" w:eastAsia="Times New Roman" w:hint="default"/>
                <w:sz w:val="15"/>
                <w:szCs w:val="15"/>
              </w:rPr>
            </w:pPr>
            <w:r>
              <w:rPr>
                <w:rFonts w:ascii="Times New Roman"/>
                <w:spacing w:val="-1"/>
                <w:sz w:val="15"/>
              </w:rPr>
              <w:t>4,000.00</w:t>
            </w:r>
          </w:p>
        </w:tc>
      </w:tr>
      <w:tr>
        <w:trPr>
          <w:trHeight w:val="368"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5"/>
                <w:szCs w:val="15"/>
              </w:rPr>
            </w:pPr>
            <w:r>
              <w:rPr>
                <w:rFonts w:ascii="宋体" w:hAnsi="宋体" w:cs="宋体" w:eastAsia="宋体" w:hint="default"/>
                <w:sz w:val="15"/>
                <w:szCs w:val="15"/>
              </w:rPr>
              <w:t>云上森林信息技术（北京）有限公司</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 w:right="0"/>
              <w:jc w:val="left"/>
              <w:rPr>
                <w:rFonts w:ascii="宋体" w:hAnsi="宋体" w:cs="宋体" w:eastAsia="宋体" w:hint="default"/>
                <w:sz w:val="15"/>
                <w:szCs w:val="15"/>
              </w:rPr>
            </w:pPr>
            <w:r>
              <w:rPr>
                <w:rFonts w:ascii="宋体" w:hAnsi="宋体" w:cs="宋体" w:eastAsia="宋体" w:hint="default"/>
                <w:sz w:val="15"/>
                <w:szCs w:val="15"/>
              </w:rPr>
              <w:t>往来款</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7"/>
              <w:jc w:val="right"/>
              <w:rPr>
                <w:rFonts w:ascii="Times New Roman" w:hAnsi="Times New Roman" w:cs="Times New Roman" w:eastAsia="Times New Roman" w:hint="default"/>
                <w:sz w:val="15"/>
                <w:szCs w:val="15"/>
              </w:rPr>
            </w:pPr>
            <w:r>
              <w:rPr>
                <w:rFonts w:ascii="Times New Roman"/>
                <w:spacing w:val="-1"/>
                <w:sz w:val="15"/>
              </w:rPr>
              <w:t>400,000.00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70"/>
              <w:jc w:val="right"/>
              <w:rPr>
                <w:rFonts w:ascii="Times New Roman" w:hAnsi="Times New Roman" w:cs="Times New Roman" w:eastAsia="Times New Roman" w:hint="default"/>
                <w:sz w:val="15"/>
                <w:szCs w:val="15"/>
              </w:rPr>
            </w:pPr>
            <w:r>
              <w:rPr>
                <w:rFonts w:ascii="Times New Roman"/>
                <w:spacing w:val="-1"/>
                <w:sz w:val="15"/>
              </w:rPr>
              <w:t>3.49</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2"/>
              <w:jc w:val="right"/>
              <w:rPr>
                <w:rFonts w:ascii="Times New Roman" w:hAnsi="Times New Roman" w:cs="Times New Roman" w:eastAsia="Times New Roman" w:hint="default"/>
                <w:sz w:val="15"/>
                <w:szCs w:val="15"/>
              </w:rPr>
            </w:pPr>
            <w:r>
              <w:rPr>
                <w:rFonts w:ascii="Times New Roman"/>
                <w:spacing w:val="-1"/>
                <w:sz w:val="15"/>
              </w:rPr>
              <w:t>20,000.00</w:t>
            </w:r>
          </w:p>
        </w:tc>
      </w:tr>
      <w:tr>
        <w:trPr>
          <w:trHeight w:val="309"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0"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067"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8,353,326.24</w:t>
            </w:r>
            <w:r>
              <w:rPr>
                <w:rFonts w:ascii="Times New Roman"/>
                <w:spacing w:val="-1"/>
                <w:sz w:val="15"/>
              </w:rPr>
            </w:r>
          </w:p>
        </w:tc>
        <w:tc>
          <w:tcPr>
            <w:tcW w:w="1657"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70"/>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72.87</w:t>
            </w:r>
            <w:r>
              <w:rPr>
                <w:rFonts w:ascii="Times New Roman"/>
                <w:spacing w:val="-1"/>
                <w:sz w:val="15"/>
              </w:rPr>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2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3,268,900.17</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720" w:right="0"/>
        <w:jc w:val="left"/>
      </w:pPr>
      <w:r>
        <w:rPr/>
        <w:t>（</w:t>
      </w:r>
      <w:r>
        <w:rPr>
          <w:rFonts w:ascii="Times New Roman" w:hAnsi="Times New Roman" w:cs="Times New Roman" w:eastAsia="Times New Roman" w:hint="default"/>
        </w:rPr>
        <w:t>6</w:t>
      </w:r>
      <w:r>
        <w:rPr/>
        <w:t>）本期其他应收款计提、收回或转回的坏账准备情况</w:t>
      </w:r>
    </w:p>
    <w:p>
      <w:pPr>
        <w:spacing w:line="240" w:lineRule="auto" w:before="6"/>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858"/>
        <w:gridCol w:w="3939"/>
      </w:tblGrid>
      <w:tr>
        <w:trPr>
          <w:trHeight w:val="275" w:hRule="exact"/>
        </w:trPr>
        <w:tc>
          <w:tcPr>
            <w:tcW w:w="4858" w:type="dxa"/>
            <w:tcBorders>
              <w:top w:val="nil" w:sz="6" w:space="0" w:color="auto"/>
              <w:left w:val="nil" w:sz="6" w:space="0" w:color="auto"/>
              <w:bottom w:val="single" w:sz="4" w:space="0" w:color="000000"/>
              <w:right w:val="nil" w:sz="6" w:space="0" w:color="auto"/>
            </w:tcBorders>
          </w:tcPr>
          <w:p>
            <w:pPr>
              <w:pStyle w:val="TableParagraph"/>
              <w:spacing w:line="180" w:lineRule="exact"/>
              <w:ind w:left="20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39" w:type="dxa"/>
            <w:tcBorders>
              <w:top w:val="nil" w:sz="6" w:space="0" w:color="auto"/>
              <w:left w:val="nil" w:sz="6" w:space="0" w:color="auto"/>
              <w:bottom w:val="single" w:sz="4" w:space="0" w:color="000000"/>
              <w:right w:val="nil" w:sz="6" w:space="0" w:color="auto"/>
            </w:tcBorders>
          </w:tcPr>
          <w:p>
            <w:pPr>
              <w:pStyle w:val="TableParagraph"/>
              <w:spacing w:line="194" w:lineRule="exact"/>
              <w:ind w:left="206"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31" w:hRule="exact"/>
        </w:trPr>
        <w:tc>
          <w:tcPr>
            <w:tcW w:w="485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本期计提其他应收款坏账准备</w:t>
            </w:r>
          </w:p>
        </w:tc>
        <w:tc>
          <w:tcPr>
            <w:tcW w:w="393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485" w:right="0"/>
              <w:jc w:val="center"/>
              <w:rPr>
                <w:rFonts w:ascii="Times New Roman" w:hAnsi="Times New Roman" w:cs="Times New Roman" w:eastAsia="Times New Roman" w:hint="default"/>
                <w:sz w:val="18"/>
                <w:szCs w:val="18"/>
              </w:rPr>
            </w:pPr>
            <w:r>
              <w:rPr>
                <w:rFonts w:ascii="Times New Roman"/>
                <w:sz w:val="18"/>
              </w:rPr>
              <w:t>222,974.66</w:t>
            </w:r>
          </w:p>
        </w:tc>
      </w:tr>
      <w:tr>
        <w:trPr>
          <w:trHeight w:val="285" w:hRule="exact"/>
        </w:trPr>
        <w:tc>
          <w:tcPr>
            <w:tcW w:w="485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本期收回或转回的其他应收款坏账准备</w:t>
            </w:r>
          </w:p>
        </w:tc>
        <w:tc>
          <w:tcPr>
            <w:tcW w:w="393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72"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720" w:right="0"/>
        <w:jc w:val="left"/>
      </w:pPr>
      <w:r>
        <w:rPr/>
        <w:t>（</w:t>
      </w:r>
      <w:r>
        <w:rPr>
          <w:rFonts w:ascii="Times New Roman" w:hAnsi="Times New Roman" w:cs="Times New Roman" w:eastAsia="Times New Roman" w:hint="default"/>
        </w:rPr>
        <w:t>7</w:t>
      </w:r>
      <w:r>
        <w:rPr/>
        <w:t>）本报告期无核销的其他应收款。</w:t>
      </w:r>
    </w:p>
    <w:p>
      <w:pPr>
        <w:spacing w:line="240" w:lineRule="auto" w:before="5"/>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8</w:t>
      </w:r>
      <w:r>
        <w:rPr/>
        <w:t>）本报告期无因金融资产转移而终止确认的其他应收款。</w:t>
      </w:r>
    </w:p>
    <w:p>
      <w:pPr>
        <w:spacing w:line="240" w:lineRule="auto" w:before="5"/>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9</w:t>
      </w:r>
      <w:r>
        <w:rPr/>
        <w:t>）本报告期公司无因其他应收款转移而继续涉入形成的资产、负债。</w:t>
      </w:r>
    </w:p>
    <w:p>
      <w:pPr>
        <w:spacing w:line="240" w:lineRule="auto" w:before="0"/>
        <w:rPr>
          <w:rFonts w:ascii="宋体" w:hAnsi="宋体" w:cs="宋体" w:eastAsia="宋体" w:hint="default"/>
          <w:sz w:val="18"/>
          <w:szCs w:val="18"/>
        </w:rPr>
      </w:pPr>
    </w:p>
    <w:p>
      <w:pPr>
        <w:pStyle w:val="BodyText"/>
        <w:spacing w:line="240" w:lineRule="auto" w:before="153"/>
        <w:ind w:left="720" w:right="0"/>
        <w:jc w:val="left"/>
      </w:pPr>
      <w:r>
        <w:rPr>
          <w:rFonts w:ascii="Times New Roman" w:hAnsi="Times New Roman" w:cs="Times New Roman" w:eastAsia="Times New Roman" w:hint="default"/>
        </w:rPr>
        <w:t>7. </w:t>
      </w:r>
      <w:r>
        <w:rPr>
          <w:rFonts w:ascii="Times New Roman" w:hAnsi="Times New Roman" w:cs="Times New Roman" w:eastAsia="Times New Roman" w:hint="default"/>
          <w:spacing w:val="2"/>
        </w:rPr>
        <w:t> </w:t>
      </w:r>
      <w:r>
        <w:rPr/>
        <w:t>存货</w:t>
      </w:r>
    </w:p>
    <w:p>
      <w:pPr>
        <w:spacing w:line="240" w:lineRule="auto" w:before="8"/>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1</w:t>
      </w:r>
      <w:r>
        <w:rPr/>
        <w:t>）分类列示</w:t>
      </w:r>
    </w:p>
    <w:p>
      <w:pPr>
        <w:spacing w:line="240" w:lineRule="auto" w:before="11"/>
        <w:rPr>
          <w:rFonts w:ascii="宋体" w:hAnsi="宋体" w:cs="宋体" w:eastAsia="宋体" w:hint="default"/>
          <w:sz w:val="16"/>
          <w:szCs w:val="16"/>
        </w:rPr>
      </w:pPr>
    </w:p>
    <w:p>
      <w:pPr>
        <w:pStyle w:val="Heading8"/>
        <w:tabs>
          <w:tab w:pos="4783" w:val="left" w:leader="none"/>
        </w:tabs>
        <w:spacing w:line="222" w:lineRule="exact" w:before="44"/>
        <w:ind w:left="1034" w:right="0"/>
        <w:jc w:val="center"/>
        <w:rPr>
          <w:b w:val="0"/>
          <w:bCs w:val="0"/>
        </w:rPr>
      </w:pPr>
      <w:r>
        <w:rPr>
          <w:w w:val="95"/>
        </w:rPr>
        <w:t>期末余额</w:t>
        <w:tab/>
      </w:r>
      <w:r>
        <w:rPr/>
        <w:t>期初余额</w:t>
      </w:r>
      <w:r>
        <w:rPr>
          <w:b w:val="0"/>
          <w:bCs w:val="0"/>
        </w:rPr>
      </w:r>
    </w:p>
    <w:p>
      <w:pPr>
        <w:pStyle w:val="Heading8"/>
        <w:spacing w:line="210" w:lineRule="exact"/>
        <w:ind w:left="583" w:right="0"/>
        <w:jc w:val="left"/>
        <w:rPr>
          <w:b w:val="0"/>
          <w:bCs w:val="0"/>
        </w:rPr>
      </w:pPr>
      <w:r>
        <w:rPr/>
        <w:t>项目</w:t>
      </w:r>
      <w:r>
        <w:rPr>
          <w:b w:val="0"/>
          <w:bCs w:val="0"/>
        </w:rPr>
      </w:r>
    </w:p>
    <w:p>
      <w:pPr>
        <w:pStyle w:val="Heading8"/>
        <w:tabs>
          <w:tab w:pos="2126" w:val="left" w:leader="none"/>
          <w:tab w:pos="3405" w:val="left" w:leader="none"/>
          <w:tab w:pos="4791" w:val="left" w:leader="none"/>
          <w:tab w:pos="6019" w:val="left" w:leader="none"/>
          <w:tab w:pos="7242" w:val="left" w:leader="none"/>
        </w:tabs>
        <w:spacing w:line="223" w:lineRule="exact"/>
        <w:ind w:left="986" w:right="0"/>
        <w:jc w:val="center"/>
        <w:rPr>
          <w:b w:val="0"/>
          <w:bCs w:val="0"/>
        </w:rPr>
      </w:pPr>
      <w:r>
        <w:rPr>
          <w:w w:val="95"/>
        </w:rPr>
        <w:t>账面余额</w:t>
        <w:tab/>
        <w:t>跌价准备</w:t>
        <w:tab/>
        <w:t>账面价值</w:t>
        <w:tab/>
        <w:t>账面余额</w:t>
        <w:tab/>
        <w:t>跌价准备</w:t>
        <w:tab/>
      </w:r>
      <w:r>
        <w:rPr/>
        <w:t>账面价值</w:t>
      </w:r>
      <w:r>
        <w:rPr>
          <w:b w:val="0"/>
          <w:bCs w:val="0"/>
        </w:rPr>
      </w:r>
    </w:p>
    <w:p>
      <w:pPr>
        <w:spacing w:line="240" w:lineRule="auto" w:before="11"/>
        <w:rPr>
          <w:rFonts w:ascii="宋体" w:hAnsi="宋体" w:cs="宋体" w:eastAsia="宋体" w:hint="default"/>
          <w:b/>
          <w:bCs/>
          <w:sz w:val="6"/>
          <w:szCs w:val="6"/>
        </w:rPr>
      </w:pPr>
    </w:p>
    <w:p>
      <w:pPr>
        <w:spacing w:line="20" w:lineRule="exact"/>
        <w:ind w:left="242" w:right="0" w:firstLine="0"/>
        <w:rPr>
          <w:rFonts w:ascii="宋体" w:hAnsi="宋体" w:cs="宋体" w:eastAsia="宋体" w:hint="default"/>
          <w:sz w:val="2"/>
          <w:szCs w:val="2"/>
        </w:rPr>
      </w:pPr>
      <w:r>
        <w:rPr>
          <w:rFonts w:ascii="宋体" w:hAnsi="宋体" w:cs="宋体" w:eastAsia="宋体" w:hint="default"/>
          <w:sz w:val="2"/>
          <w:szCs w:val="2"/>
        </w:rPr>
        <w:pict>
          <v:group style="width:427.2pt;height:1pt;mso-position-horizontal-relative:char;mso-position-vertical-relative:line" coordorigin="0,0" coordsize="8544,20">
            <v:group style="position:absolute;left:10;top:10;width:1025;height:2" coordorigin="10,10" coordsize="1025,2">
              <v:shape style="position:absolute;left:10;top:10;width:1025;height:2" coordorigin="10,10" coordsize="1025,0" path="m10,10l1034,10e" filled="false" stroked="true" strokeweight=".95996pt" strokecolor="#000000">
                <v:path arrowok="t"/>
              </v:shape>
            </v:group>
            <v:group style="position:absolute;left:1034;top:10;width:20;height:2" coordorigin="1034,10" coordsize="20,2">
              <v:shape style="position:absolute;left:1034;top:10;width:20;height:2" coordorigin="1034,10" coordsize="20,0" path="m1034,10l1054,10e" filled="false" stroked="true" strokeweight=".95996pt" strokecolor="#000000">
                <v:path arrowok="t"/>
              </v:shape>
            </v:group>
            <v:group style="position:absolute;left:1054;top:10;width:1184;height:2" coordorigin="1054,10" coordsize="1184,2">
              <v:shape style="position:absolute;left:1054;top:10;width:1184;height:2" coordorigin="1054,10" coordsize="1184,0" path="m1054,10l2237,10e" filled="false" stroked="true" strokeweight=".95996pt" strokecolor="#000000">
                <v:path arrowok="t"/>
              </v:shape>
            </v:group>
            <v:group style="position:absolute;left:2237;top:10;width:20;height:2" coordorigin="2237,10" coordsize="20,2">
              <v:shape style="position:absolute;left:2237;top:10;width:20;height:2" coordorigin="2237,10" coordsize="20,0" path="m2237,10l2257,10e" filled="false" stroked="true" strokeweight=".95996pt" strokecolor="#000000">
                <v:path arrowok="t"/>
              </v:shape>
            </v:group>
            <v:group style="position:absolute;left:2257;top:10;width:1064;height:2" coordorigin="2257,10" coordsize="1064,2">
              <v:shape style="position:absolute;left:2257;top:10;width:1064;height:2" coordorigin="2257,10" coordsize="1064,0" path="m2257,10l3320,10e" filled="false" stroked="true" strokeweight=".95996pt" strokecolor="#000000">
                <v:path arrowok="t"/>
              </v:shape>
            </v:group>
            <v:group style="position:absolute;left:3320;top:10;width:20;height:2" coordorigin="3320,10" coordsize="20,2">
              <v:shape style="position:absolute;left:3320;top:10;width:20;height:2" coordorigin="3320,10" coordsize="20,0" path="m3320,10l3339,10e" filled="false" stroked="true" strokeweight=".95996pt" strokecolor="#000000">
                <v:path arrowok="t"/>
              </v:shape>
            </v:group>
            <v:group style="position:absolute;left:3339;top:10;width:1453;height:2" coordorigin="3339,10" coordsize="1453,2">
              <v:shape style="position:absolute;left:3339;top:10;width:1453;height:2" coordorigin="3339,10" coordsize="1453,0" path="m3339,10l4791,10e" filled="false" stroked="true" strokeweight=".95996pt" strokecolor="#000000">
                <v:path arrowok="t"/>
              </v:shape>
            </v:group>
            <v:group style="position:absolute;left:4791;top:10;width:20;height:2" coordorigin="4791,10" coordsize="20,2">
              <v:shape style="position:absolute;left:4791;top:10;width:20;height:2" coordorigin="4791,10" coordsize="20,0" path="m4791,10l4811,10e" filled="false" stroked="true" strokeweight=".95996pt" strokecolor="#000000">
                <v:path arrowok="t"/>
              </v:shape>
            </v:group>
            <v:group style="position:absolute;left:4811;top:10;width:1280;height:2" coordorigin="4811,10" coordsize="1280,2">
              <v:shape style="position:absolute;left:4811;top:10;width:1280;height:2" coordorigin="4811,10" coordsize="1280,0" path="m4811,10l6090,10e" filled="false" stroked="true" strokeweight=".95996pt" strokecolor="#000000">
                <v:path arrowok="t"/>
              </v:shape>
            </v:group>
            <v:group style="position:absolute;left:6090;top:10;width:20;height:2" coordorigin="6090,10" coordsize="20,2">
              <v:shape style="position:absolute;left:6090;top:10;width:20;height:2" coordorigin="6090,10" coordsize="20,0" path="m6090,10l6109,10e" filled="false" stroked="true" strokeweight=".95996pt" strokecolor="#000000">
                <v:path arrowok="t"/>
              </v:shape>
            </v:group>
            <v:group style="position:absolute;left:6109;top:10;width:1143;height:2" coordorigin="6109,10" coordsize="1143,2">
              <v:shape style="position:absolute;left:6109;top:10;width:1143;height:2" coordorigin="6109,10" coordsize="1143,0" path="m6109,10l7252,10e" filled="false" stroked="true" strokeweight=".95996pt" strokecolor="#000000">
                <v:path arrowok="t"/>
              </v:shape>
            </v:group>
            <v:group style="position:absolute;left:7252;top:10;width:20;height:2" coordorigin="7252,10" coordsize="20,2">
              <v:shape style="position:absolute;left:7252;top:10;width:20;height:2" coordorigin="7252,10" coordsize="20,0" path="m7252,10l7271,10e" filled="false" stroked="true" strokeweight=".95996pt" strokecolor="#000000">
                <v:path arrowok="t"/>
              </v:shape>
            </v:group>
            <v:group style="position:absolute;left:7271;top:10;width:1263;height:2" coordorigin="7271,10" coordsize="1263,2">
              <v:shape style="position:absolute;left:7271;top:10;width:1263;height:2" coordorigin="7271,10" coordsize="1263,0" path="m7271,10l8534,10e" filled="false" stroked="true" strokeweight=".95996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2"/>
          <w:szCs w:val="2"/>
        </w:rPr>
      </w:pPr>
    </w:p>
    <w:tbl>
      <w:tblPr>
        <w:tblW w:w="0" w:type="auto"/>
        <w:jc w:val="left"/>
        <w:tblInd w:w="325" w:type="dxa"/>
        <w:tblLayout w:type="fixed"/>
        <w:tblCellMar>
          <w:top w:w="0" w:type="dxa"/>
          <w:left w:w="0" w:type="dxa"/>
          <w:bottom w:w="0" w:type="dxa"/>
          <w:right w:w="0" w:type="dxa"/>
        </w:tblCellMar>
        <w:tblLook w:val="01E0"/>
      </w:tblPr>
      <w:tblGrid>
        <w:gridCol w:w="907"/>
        <w:gridCol w:w="1276"/>
        <w:gridCol w:w="1209"/>
        <w:gridCol w:w="1340"/>
        <w:gridCol w:w="1275"/>
        <w:gridCol w:w="1178"/>
        <w:gridCol w:w="1193"/>
      </w:tblGrid>
      <w:tr>
        <w:trPr>
          <w:trHeight w:val="395" w:hRule="exact"/>
        </w:trPr>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7"/>
              <w:jc w:val="right"/>
              <w:rPr>
                <w:rFonts w:ascii="Times New Roman" w:hAnsi="Times New Roman" w:cs="Times New Roman" w:eastAsia="Times New Roman" w:hint="default"/>
                <w:sz w:val="18"/>
                <w:szCs w:val="18"/>
              </w:rPr>
            </w:pPr>
            <w:r>
              <w:rPr>
                <w:rFonts w:ascii="Times New Roman"/>
                <w:spacing w:val="-1"/>
                <w:sz w:val="18"/>
              </w:rPr>
              <w:t>3,838,039.71</w:t>
            </w:r>
          </w:p>
        </w:tc>
        <w:tc>
          <w:tcPr>
            <w:tcW w:w="1209"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0"/>
              <w:jc w:val="right"/>
              <w:rPr>
                <w:rFonts w:ascii="Times New Roman" w:hAnsi="Times New Roman" w:cs="Times New Roman" w:eastAsia="Times New Roman" w:hint="default"/>
                <w:sz w:val="18"/>
                <w:szCs w:val="18"/>
              </w:rPr>
            </w:pPr>
            <w:r>
              <w:rPr>
                <w:rFonts w:ascii="Times New Roman"/>
                <w:spacing w:val="-1"/>
                <w:sz w:val="18"/>
              </w:rPr>
              <w:t>3,838,039.71</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pacing w:val="-1"/>
                <w:sz w:val="18"/>
              </w:rPr>
              <w:t>5,789,385.57</w:t>
            </w:r>
          </w:p>
        </w:tc>
        <w:tc>
          <w:tcPr>
            <w:tcW w:w="1178"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77" w:right="0"/>
              <w:jc w:val="center"/>
              <w:rPr>
                <w:rFonts w:ascii="Times New Roman" w:hAnsi="Times New Roman" w:cs="Times New Roman" w:eastAsia="Times New Roman" w:hint="default"/>
                <w:sz w:val="18"/>
                <w:szCs w:val="18"/>
              </w:rPr>
            </w:pPr>
            <w:r>
              <w:rPr>
                <w:rFonts w:ascii="Times New Roman"/>
                <w:sz w:val="18"/>
              </w:rPr>
              <w:t>5,789,385.57</w:t>
            </w:r>
          </w:p>
        </w:tc>
      </w:tr>
      <w:tr>
        <w:trPr>
          <w:trHeight w:val="400" w:hRule="exact"/>
        </w:trPr>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7"/>
              <w:jc w:val="right"/>
              <w:rPr>
                <w:rFonts w:ascii="Times New Roman" w:hAnsi="Times New Roman" w:cs="Times New Roman" w:eastAsia="Times New Roman" w:hint="default"/>
                <w:sz w:val="18"/>
                <w:szCs w:val="18"/>
              </w:rPr>
            </w:pPr>
            <w:r>
              <w:rPr>
                <w:rFonts w:ascii="Times New Roman"/>
                <w:spacing w:val="-1"/>
                <w:sz w:val="18"/>
              </w:rPr>
              <w:t>18,125,756.17</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2"/>
              <w:jc w:val="right"/>
              <w:rPr>
                <w:rFonts w:ascii="Times New Roman" w:hAnsi="Times New Roman" w:cs="Times New Roman" w:eastAsia="Times New Roman" w:hint="default"/>
                <w:sz w:val="18"/>
                <w:szCs w:val="18"/>
              </w:rPr>
            </w:pPr>
            <w:r>
              <w:rPr>
                <w:rFonts w:ascii="Times New Roman"/>
                <w:spacing w:val="-1"/>
                <w:sz w:val="18"/>
              </w:rPr>
              <w:t>8,431,934.62</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30"/>
              <w:jc w:val="right"/>
              <w:rPr>
                <w:rFonts w:ascii="Times New Roman" w:hAnsi="Times New Roman" w:cs="Times New Roman" w:eastAsia="Times New Roman" w:hint="default"/>
                <w:sz w:val="18"/>
                <w:szCs w:val="18"/>
              </w:rPr>
            </w:pPr>
            <w:r>
              <w:rPr>
                <w:rFonts w:ascii="Times New Roman"/>
                <w:spacing w:val="-1"/>
                <w:sz w:val="18"/>
              </w:rPr>
              <w:t>9,693,821.55</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24,513,400.84</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1"/>
              <w:jc w:val="right"/>
              <w:rPr>
                <w:rFonts w:ascii="Times New Roman" w:hAnsi="Times New Roman" w:cs="Times New Roman" w:eastAsia="Times New Roman" w:hint="default"/>
                <w:sz w:val="18"/>
                <w:szCs w:val="18"/>
              </w:rPr>
            </w:pPr>
            <w:r>
              <w:rPr>
                <w:rFonts w:ascii="Times New Roman"/>
                <w:spacing w:val="-1"/>
                <w:sz w:val="18"/>
              </w:rPr>
              <w:t>4,085,115.48</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8" w:right="0"/>
              <w:jc w:val="center"/>
              <w:rPr>
                <w:rFonts w:ascii="Times New Roman" w:hAnsi="Times New Roman" w:cs="Times New Roman" w:eastAsia="Times New Roman" w:hint="default"/>
                <w:sz w:val="18"/>
                <w:szCs w:val="18"/>
              </w:rPr>
            </w:pPr>
            <w:r>
              <w:rPr>
                <w:rFonts w:ascii="Times New Roman"/>
                <w:sz w:val="18"/>
              </w:rPr>
              <w:t>20,428,285.36</w:t>
            </w:r>
          </w:p>
        </w:tc>
      </w:tr>
      <w:tr>
        <w:trPr>
          <w:trHeight w:val="400" w:hRule="exact"/>
        </w:trPr>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7"/>
              <w:jc w:val="right"/>
              <w:rPr>
                <w:rFonts w:ascii="Times New Roman" w:hAnsi="Times New Roman" w:cs="Times New Roman" w:eastAsia="Times New Roman" w:hint="default"/>
                <w:sz w:val="18"/>
                <w:szCs w:val="18"/>
              </w:rPr>
            </w:pPr>
            <w:r>
              <w:rPr>
                <w:rFonts w:ascii="Times New Roman"/>
                <w:spacing w:val="-1"/>
                <w:sz w:val="18"/>
              </w:rPr>
              <w:t>7,842,159.54</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1"/>
              <w:jc w:val="right"/>
              <w:rPr>
                <w:rFonts w:ascii="Times New Roman" w:hAnsi="Times New Roman" w:cs="Times New Roman" w:eastAsia="Times New Roman" w:hint="default"/>
                <w:sz w:val="18"/>
                <w:szCs w:val="18"/>
              </w:rPr>
            </w:pPr>
            <w:r>
              <w:rPr>
                <w:rFonts w:ascii="Times New Roman"/>
                <w:spacing w:val="-1"/>
                <w:sz w:val="18"/>
              </w:rPr>
              <w:t>58,788.86</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30"/>
              <w:jc w:val="right"/>
              <w:rPr>
                <w:rFonts w:ascii="Times New Roman" w:hAnsi="Times New Roman" w:cs="Times New Roman" w:eastAsia="Times New Roman" w:hint="default"/>
                <w:sz w:val="18"/>
                <w:szCs w:val="18"/>
              </w:rPr>
            </w:pPr>
            <w:r>
              <w:rPr>
                <w:rFonts w:ascii="Times New Roman"/>
                <w:spacing w:val="-1"/>
                <w:sz w:val="18"/>
              </w:rPr>
              <w:t>7,783,370.68</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14,133,699.26</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1"/>
              <w:jc w:val="right"/>
              <w:rPr>
                <w:rFonts w:ascii="Times New Roman" w:hAnsi="Times New Roman" w:cs="Times New Roman" w:eastAsia="Times New Roman" w:hint="default"/>
                <w:sz w:val="18"/>
                <w:szCs w:val="18"/>
              </w:rPr>
            </w:pPr>
            <w:r>
              <w:rPr>
                <w:rFonts w:ascii="Times New Roman"/>
                <w:spacing w:val="-1"/>
                <w:sz w:val="18"/>
              </w:rPr>
              <w:t>121,057.30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14,012,641.96</w:t>
            </w:r>
          </w:p>
        </w:tc>
      </w:tr>
      <w:tr>
        <w:trPr>
          <w:trHeight w:val="395" w:hRule="exact"/>
        </w:trPr>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29,805,955.42</w:t>
            </w:r>
            <w:r>
              <w:rPr>
                <w:rFonts w:ascii="Times New Roman"/>
                <w:spacing w:val="-1"/>
                <w:sz w:val="18"/>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8,490,723.48</w:t>
            </w:r>
            <w:r>
              <w:rPr>
                <w:rFonts w:ascii="Times New Roman"/>
                <w:spacing w:val="-1"/>
                <w:sz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3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21,315,231.94</w:t>
            </w:r>
            <w:r>
              <w:rPr>
                <w:rFonts w:ascii="Times New Roman"/>
                <w:spacing w:val="-1"/>
                <w:sz w:val="18"/>
              </w:rPr>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44,436,485.67</w:t>
            </w:r>
            <w:r>
              <w:rPr>
                <w:rFonts w:ascii="Times New Roman"/>
                <w:spacing w:val="-1"/>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4,206,172.78</w:t>
            </w:r>
            <w:r>
              <w:rPr>
                <w:rFonts w:ascii="Times New Roman"/>
                <w:spacing w:val="-1"/>
                <w:sz w:val="18"/>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8"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40,230,312.89</w:t>
            </w:r>
            <w:r>
              <w:rPr>
                <w:rFonts w:ascii="Times New Roman"/>
                <w:sz w:val="18"/>
              </w:rPr>
            </w:r>
          </w:p>
        </w:tc>
      </w:tr>
    </w:tbl>
    <w:p>
      <w:pPr>
        <w:spacing w:line="240" w:lineRule="auto" w:before="4"/>
        <w:rPr>
          <w:rFonts w:ascii="宋体" w:hAnsi="宋体" w:cs="宋体" w:eastAsia="宋体" w:hint="default"/>
          <w:b/>
          <w:bCs/>
          <w:sz w:val="22"/>
          <w:szCs w:val="22"/>
        </w:rPr>
      </w:pPr>
    </w:p>
    <w:p>
      <w:pPr>
        <w:pStyle w:val="BodyText"/>
        <w:spacing w:line="240" w:lineRule="auto" w:before="44"/>
        <w:ind w:left="720" w:right="0"/>
        <w:jc w:val="left"/>
      </w:pPr>
      <w:r>
        <w:rPr/>
        <w:t>（</w:t>
      </w:r>
      <w:r>
        <w:rPr>
          <w:rFonts w:ascii="Times New Roman" w:hAnsi="Times New Roman" w:cs="Times New Roman" w:eastAsia="Times New Roman" w:hint="default"/>
        </w:rPr>
        <w:t>2</w:t>
      </w:r>
      <w:r>
        <w:rPr/>
        <w:t>）存货跌价准备</w:t>
      </w:r>
    </w:p>
    <w:p>
      <w:pPr>
        <w:spacing w:line="240" w:lineRule="auto" w:before="6"/>
        <w:rPr>
          <w:rFonts w:ascii="宋体" w:hAnsi="宋体" w:cs="宋体" w:eastAsia="宋体" w:hint="default"/>
          <w:sz w:val="24"/>
          <w:szCs w:val="24"/>
        </w:rPr>
      </w:pPr>
    </w:p>
    <w:tbl>
      <w:tblPr>
        <w:tblW w:w="0" w:type="auto"/>
        <w:jc w:val="left"/>
        <w:tblInd w:w="252" w:type="dxa"/>
        <w:tblLayout w:type="fixed"/>
        <w:tblCellMar>
          <w:top w:w="0" w:type="dxa"/>
          <w:left w:w="0" w:type="dxa"/>
          <w:bottom w:w="0" w:type="dxa"/>
          <w:right w:w="0" w:type="dxa"/>
        </w:tblCellMar>
        <w:tblLook w:val="01E0"/>
      </w:tblPr>
      <w:tblGrid>
        <w:gridCol w:w="980"/>
        <w:gridCol w:w="1319"/>
        <w:gridCol w:w="2378"/>
        <w:gridCol w:w="1230"/>
        <w:gridCol w:w="2617"/>
      </w:tblGrid>
      <w:tr>
        <w:trPr>
          <w:trHeight w:val="193" w:hRule="exact"/>
        </w:trPr>
        <w:tc>
          <w:tcPr>
            <w:tcW w:w="980"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
        </w:tc>
        <w:tc>
          <w:tcPr>
            <w:tcW w:w="2378"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180" w:lineRule="exact"/>
              <w:ind w:left="37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2617" w:type="dxa"/>
            <w:tcBorders>
              <w:top w:val="nil" w:sz="6" w:space="0" w:color="auto"/>
              <w:left w:val="nil" w:sz="6" w:space="0" w:color="auto"/>
              <w:bottom w:val="nil" w:sz="6" w:space="0" w:color="auto"/>
              <w:right w:val="nil" w:sz="6" w:space="0" w:color="auto"/>
            </w:tcBorders>
          </w:tcPr>
          <w:p>
            <w:pPr/>
          </w:p>
        </w:tc>
      </w:tr>
      <w:tr>
        <w:trPr>
          <w:trHeight w:val="205"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193" w:lineRule="exact"/>
              <w:ind w:left="31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19" w:type="dxa"/>
            <w:tcBorders>
              <w:top w:val="nil" w:sz="6" w:space="0" w:color="auto"/>
              <w:left w:val="nil" w:sz="6" w:space="0" w:color="auto"/>
              <w:bottom w:val="nil" w:sz="6" w:space="0" w:color="auto"/>
              <w:right w:val="nil" w:sz="6" w:space="0" w:color="auto"/>
            </w:tcBorders>
          </w:tcPr>
          <w:p>
            <w:pPr>
              <w:pStyle w:val="TableParagraph"/>
              <w:spacing w:line="193" w:lineRule="exact"/>
              <w:ind w:left="30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378" w:type="dxa"/>
            <w:tcBorders>
              <w:top w:val="nil" w:sz="6" w:space="0" w:color="auto"/>
              <w:left w:val="nil" w:sz="6" w:space="0" w:color="auto"/>
              <w:bottom w:val="nil" w:sz="6" w:space="0" w:color="auto"/>
              <w:right w:val="nil" w:sz="6" w:space="0" w:color="auto"/>
            </w:tcBorders>
          </w:tcPr>
          <w:p>
            <w:pPr>
              <w:pStyle w:val="TableParagraph"/>
              <w:spacing w:line="193" w:lineRule="exact"/>
              <w:ind w:left="293"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c>
          <w:tcPr>
            <w:tcW w:w="1230" w:type="dxa"/>
            <w:tcBorders>
              <w:top w:val="nil" w:sz="6" w:space="0" w:color="auto"/>
              <w:left w:val="nil" w:sz="6" w:space="0" w:color="auto"/>
              <w:bottom w:val="nil" w:sz="6" w:space="0" w:color="auto"/>
              <w:right w:val="nil" w:sz="6" w:space="0" w:color="auto"/>
            </w:tcBorders>
          </w:tcPr>
          <w:p>
            <w:pPr/>
          </w:p>
        </w:tc>
        <w:tc>
          <w:tcPr>
            <w:tcW w:w="2617" w:type="dxa"/>
            <w:tcBorders>
              <w:top w:val="nil" w:sz="6" w:space="0" w:color="auto"/>
              <w:left w:val="nil" w:sz="6" w:space="0" w:color="auto"/>
              <w:bottom w:val="nil" w:sz="6" w:space="0" w:color="auto"/>
              <w:right w:val="nil" w:sz="6" w:space="0" w:color="auto"/>
            </w:tcBorders>
          </w:tcPr>
          <w:p>
            <w:pPr>
              <w:pStyle w:val="TableParagraph"/>
              <w:spacing w:line="193" w:lineRule="exact"/>
              <w:ind w:left="160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87" w:hRule="exact"/>
        </w:trPr>
        <w:tc>
          <w:tcPr>
            <w:tcW w:w="980" w:type="dxa"/>
            <w:tcBorders>
              <w:top w:val="nil" w:sz="6" w:space="0" w:color="auto"/>
              <w:left w:val="nil" w:sz="6" w:space="0" w:color="auto"/>
              <w:bottom w:val="single" w:sz="4" w:space="0" w:color="000000"/>
              <w:right w:val="nil" w:sz="6" w:space="0" w:color="auto"/>
            </w:tcBorders>
          </w:tcPr>
          <w:p>
            <w:pPr/>
          </w:p>
        </w:tc>
        <w:tc>
          <w:tcPr>
            <w:tcW w:w="1319" w:type="dxa"/>
            <w:tcBorders>
              <w:top w:val="nil" w:sz="6" w:space="0" w:color="auto"/>
              <w:left w:val="nil" w:sz="6" w:space="0" w:color="auto"/>
              <w:bottom w:val="single" w:sz="4" w:space="0" w:color="000000"/>
              <w:right w:val="nil" w:sz="6" w:space="0" w:color="auto"/>
            </w:tcBorders>
          </w:tcPr>
          <w:p>
            <w:pPr/>
          </w:p>
        </w:tc>
        <w:tc>
          <w:tcPr>
            <w:tcW w:w="2378" w:type="dxa"/>
            <w:tcBorders>
              <w:top w:val="nil" w:sz="6" w:space="0" w:color="auto"/>
              <w:left w:val="nil" w:sz="6" w:space="0" w:color="auto"/>
              <w:bottom w:val="single" w:sz="4" w:space="0" w:color="000000"/>
              <w:right w:val="nil" w:sz="6" w:space="0" w:color="auto"/>
            </w:tcBorders>
          </w:tcPr>
          <w:p>
            <w:pPr>
              <w:pStyle w:val="TableParagraph"/>
              <w:spacing w:line="192" w:lineRule="exact"/>
              <w:ind w:right="390"/>
              <w:jc w:val="righ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230" w:type="dxa"/>
            <w:tcBorders>
              <w:top w:val="nil" w:sz="6" w:space="0" w:color="auto"/>
              <w:left w:val="nil" w:sz="6" w:space="0" w:color="auto"/>
              <w:bottom w:val="single" w:sz="4" w:space="0" w:color="000000"/>
              <w:right w:val="nil" w:sz="6" w:space="0" w:color="auto"/>
            </w:tcBorders>
          </w:tcPr>
          <w:p>
            <w:pPr>
              <w:pStyle w:val="TableParagraph"/>
              <w:spacing w:line="192" w:lineRule="exact"/>
              <w:ind w:left="392" w:right="0"/>
              <w:jc w:val="left"/>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2617" w:type="dxa"/>
            <w:tcBorders>
              <w:top w:val="nil" w:sz="6" w:space="0" w:color="auto"/>
              <w:left w:val="nil" w:sz="6" w:space="0" w:color="auto"/>
              <w:bottom w:val="single" w:sz="4" w:space="0" w:color="000000"/>
              <w:right w:val="nil" w:sz="6" w:space="0" w:color="auto"/>
            </w:tcBorders>
          </w:tcPr>
          <w:p>
            <w:pPr>
              <w:pStyle w:val="TableParagraph"/>
              <w:spacing w:line="192"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bl>
    <w:p>
      <w:pPr>
        <w:spacing w:after="0" w:line="192" w:lineRule="exact"/>
        <w:jc w:val="left"/>
        <w:rPr>
          <w:rFonts w:ascii="宋体" w:hAnsi="宋体" w:cs="宋体" w:eastAsia="宋体" w:hint="default"/>
          <w:sz w:val="18"/>
          <w:szCs w:val="18"/>
        </w:rPr>
        <w:sectPr>
          <w:pgSz w:w="11910" w:h="16840"/>
          <w:pgMar w:header="0" w:footer="979" w:top="1480" w:bottom="1160" w:left="1440" w:right="1440"/>
        </w:sectPr>
      </w:pPr>
    </w:p>
    <w:p>
      <w:pPr>
        <w:spacing w:line="240" w:lineRule="auto" w:before="7"/>
        <w:rPr>
          <w:rFonts w:ascii="宋体" w:hAnsi="宋体" w:cs="宋体" w:eastAsia="宋体" w:hint="default"/>
          <w:sz w:val="5"/>
          <w:szCs w:val="5"/>
        </w:rPr>
      </w:pPr>
    </w:p>
    <w:tbl>
      <w:tblPr>
        <w:tblW w:w="0" w:type="auto"/>
        <w:jc w:val="left"/>
        <w:tblInd w:w="186" w:type="dxa"/>
        <w:tblLayout w:type="fixed"/>
        <w:tblCellMar>
          <w:top w:w="0" w:type="dxa"/>
          <w:left w:w="0" w:type="dxa"/>
          <w:bottom w:w="0" w:type="dxa"/>
          <w:right w:w="0" w:type="dxa"/>
        </w:tblCellMar>
        <w:tblLook w:val="01E0"/>
      </w:tblPr>
      <w:tblGrid>
        <w:gridCol w:w="1116"/>
        <w:gridCol w:w="1323"/>
        <w:gridCol w:w="1803"/>
        <w:gridCol w:w="1804"/>
        <w:gridCol w:w="1309"/>
        <w:gridCol w:w="1327"/>
      </w:tblGrid>
      <w:tr>
        <w:trPr>
          <w:trHeight w:val="295"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323" w:type="dxa"/>
            <w:tcBorders>
              <w:top w:val="nil" w:sz="6" w:space="0" w:color="auto"/>
              <w:left w:val="nil" w:sz="6" w:space="0" w:color="auto"/>
              <w:bottom w:val="nil" w:sz="6" w:space="0" w:color="auto"/>
              <w:right w:val="nil" w:sz="6" w:space="0" w:color="auto"/>
            </w:tcBorders>
          </w:tcPr>
          <w:p>
            <w:pPr>
              <w:pStyle w:val="TableParagraph"/>
              <w:spacing w:line="194" w:lineRule="exact"/>
              <w:ind w:right="179"/>
              <w:jc w:val="right"/>
              <w:rPr>
                <w:rFonts w:ascii="Times New Roman" w:hAnsi="Times New Roman" w:cs="Times New Roman" w:eastAsia="Times New Roman" w:hint="default"/>
                <w:sz w:val="18"/>
                <w:szCs w:val="18"/>
              </w:rPr>
            </w:pPr>
            <w:r>
              <w:rPr>
                <w:rFonts w:ascii="Times New Roman"/>
                <w:spacing w:val="-1"/>
                <w:sz w:val="18"/>
              </w:rPr>
              <w:t>4,085,115.48</w:t>
            </w:r>
          </w:p>
        </w:tc>
        <w:tc>
          <w:tcPr>
            <w:tcW w:w="1803" w:type="dxa"/>
            <w:tcBorders>
              <w:top w:val="nil" w:sz="6" w:space="0" w:color="auto"/>
              <w:left w:val="nil" w:sz="6" w:space="0" w:color="auto"/>
              <w:bottom w:val="nil" w:sz="6" w:space="0" w:color="auto"/>
              <w:right w:val="nil" w:sz="6" w:space="0" w:color="auto"/>
            </w:tcBorders>
          </w:tcPr>
          <w:p>
            <w:pPr>
              <w:pStyle w:val="TableParagraph"/>
              <w:spacing w:line="194" w:lineRule="exact"/>
              <w:ind w:right="673"/>
              <w:jc w:val="right"/>
              <w:rPr>
                <w:rFonts w:ascii="Times New Roman" w:hAnsi="Times New Roman" w:cs="Times New Roman" w:eastAsia="Times New Roman" w:hint="default"/>
                <w:sz w:val="18"/>
                <w:szCs w:val="18"/>
              </w:rPr>
            </w:pPr>
            <w:r>
              <w:rPr>
                <w:rFonts w:ascii="Times New Roman"/>
                <w:spacing w:val="-1"/>
                <w:sz w:val="18"/>
              </w:rPr>
              <w:t>7,039,751.13</w:t>
            </w:r>
          </w:p>
        </w:tc>
        <w:tc>
          <w:tcPr>
            <w:tcW w:w="1804" w:type="dxa"/>
            <w:tcBorders>
              <w:top w:val="nil" w:sz="6" w:space="0" w:color="auto"/>
              <w:left w:val="nil" w:sz="6" w:space="0" w:color="auto"/>
              <w:bottom w:val="nil" w:sz="6" w:space="0" w:color="auto"/>
              <w:right w:val="nil" w:sz="6" w:space="0" w:color="auto"/>
            </w:tcBorders>
          </w:tcPr>
          <w:p>
            <w:pPr>
              <w:pStyle w:val="TableParagraph"/>
              <w:spacing w:line="194" w:lineRule="exact"/>
              <w:ind w:right="180"/>
              <w:jc w:val="right"/>
              <w:rPr>
                <w:rFonts w:ascii="Times New Roman" w:hAnsi="Times New Roman" w:cs="Times New Roman" w:eastAsia="Times New Roman" w:hint="default"/>
                <w:sz w:val="18"/>
                <w:szCs w:val="18"/>
              </w:rPr>
            </w:pPr>
            <w:r>
              <w:rPr>
                <w:rFonts w:ascii="Times New Roman"/>
                <w:spacing w:val="-1"/>
                <w:sz w:val="18"/>
              </w:rPr>
              <w:t>2,692,931.99</w:t>
            </w:r>
          </w:p>
        </w:tc>
        <w:tc>
          <w:tcPr>
            <w:tcW w:w="1309" w:type="dxa"/>
            <w:tcBorders>
              <w:top w:val="nil" w:sz="6" w:space="0" w:color="auto"/>
              <w:left w:val="nil" w:sz="6" w:space="0" w:color="auto"/>
              <w:bottom w:val="nil" w:sz="6" w:space="0" w:color="auto"/>
              <w:right w:val="nil" w:sz="6" w:space="0" w:color="auto"/>
            </w:tcBorders>
          </w:tcPr>
          <w:p>
            <w:pPr>
              <w:pStyle w:val="TableParagraph"/>
              <w:spacing w:line="194" w:lineRule="exact"/>
              <w:ind w:right="179"/>
              <w:jc w:val="right"/>
              <w:rPr>
                <w:rFonts w:ascii="Times New Roman" w:hAnsi="Times New Roman" w:cs="Times New Roman" w:eastAsia="Times New Roman" w:hint="default"/>
                <w:sz w:val="18"/>
                <w:szCs w:val="18"/>
              </w:rPr>
            </w:pPr>
            <w:r>
              <w:rPr>
                <w:rFonts w:ascii="Times New Roman"/>
                <w:spacing w:val="-1"/>
                <w:sz w:val="18"/>
              </w:rPr>
              <w:t>2,692,931.99</w:t>
            </w:r>
          </w:p>
        </w:tc>
        <w:tc>
          <w:tcPr>
            <w:tcW w:w="1327" w:type="dxa"/>
            <w:tcBorders>
              <w:top w:val="nil" w:sz="6" w:space="0" w:color="auto"/>
              <w:left w:val="nil" w:sz="6" w:space="0" w:color="auto"/>
              <w:bottom w:val="nil" w:sz="6" w:space="0" w:color="auto"/>
              <w:right w:val="nil" w:sz="6" w:space="0" w:color="auto"/>
            </w:tcBorders>
          </w:tcPr>
          <w:p>
            <w:pPr>
              <w:pStyle w:val="TableParagraph"/>
              <w:spacing w:line="194" w:lineRule="exact"/>
              <w:ind w:right="200"/>
              <w:jc w:val="right"/>
              <w:rPr>
                <w:rFonts w:ascii="Times New Roman" w:hAnsi="Times New Roman" w:cs="Times New Roman" w:eastAsia="Times New Roman" w:hint="default"/>
                <w:sz w:val="18"/>
                <w:szCs w:val="18"/>
              </w:rPr>
            </w:pPr>
            <w:r>
              <w:rPr>
                <w:rFonts w:ascii="Times New Roman"/>
                <w:spacing w:val="-1"/>
                <w:sz w:val="18"/>
              </w:rPr>
              <w:t>8,431,934.62</w:t>
            </w:r>
          </w:p>
        </w:tc>
      </w:tr>
      <w:tr>
        <w:trPr>
          <w:trHeight w:val="40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发出商品</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9"/>
              <w:jc w:val="right"/>
              <w:rPr>
                <w:rFonts w:ascii="Times New Roman" w:hAnsi="Times New Roman" w:cs="Times New Roman" w:eastAsia="Times New Roman" w:hint="default"/>
                <w:sz w:val="18"/>
                <w:szCs w:val="18"/>
              </w:rPr>
            </w:pPr>
            <w:r>
              <w:rPr>
                <w:rFonts w:ascii="Times New Roman"/>
                <w:spacing w:val="-1"/>
                <w:sz w:val="18"/>
              </w:rPr>
              <w:t>121,057.30</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75"/>
              <w:jc w:val="right"/>
              <w:rPr>
                <w:rFonts w:ascii="Times New Roman" w:hAnsi="Times New Roman" w:cs="Times New Roman" w:eastAsia="Times New Roman" w:hint="default"/>
                <w:sz w:val="18"/>
                <w:szCs w:val="18"/>
              </w:rPr>
            </w:pPr>
            <w:r>
              <w:rPr>
                <w:rFonts w:ascii="Times New Roman"/>
                <w:spacing w:val="-1"/>
                <w:sz w:val="18"/>
              </w:rPr>
              <w:t>58,788.86</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0"/>
              <w:jc w:val="right"/>
              <w:rPr>
                <w:rFonts w:ascii="Times New Roman" w:hAnsi="Times New Roman" w:cs="Times New Roman" w:eastAsia="Times New Roman" w:hint="default"/>
                <w:sz w:val="18"/>
                <w:szCs w:val="18"/>
              </w:rPr>
            </w:pPr>
            <w:r>
              <w:rPr>
                <w:rFonts w:ascii="Times New Roman"/>
                <w:spacing w:val="-1"/>
                <w:sz w:val="18"/>
              </w:rPr>
              <w:t>121,057.30</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9"/>
              <w:jc w:val="right"/>
              <w:rPr>
                <w:rFonts w:ascii="Times New Roman" w:hAnsi="Times New Roman" w:cs="Times New Roman" w:eastAsia="Times New Roman" w:hint="default"/>
                <w:sz w:val="18"/>
                <w:szCs w:val="18"/>
              </w:rPr>
            </w:pPr>
            <w:r>
              <w:rPr>
                <w:rFonts w:ascii="Times New Roman"/>
                <w:spacing w:val="-1"/>
                <w:sz w:val="18"/>
              </w:rPr>
              <w:t>121,057.30</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9"/>
              <w:jc w:val="right"/>
              <w:rPr>
                <w:rFonts w:ascii="Times New Roman" w:hAnsi="Times New Roman" w:cs="Times New Roman" w:eastAsia="Times New Roman" w:hint="default"/>
                <w:sz w:val="18"/>
                <w:szCs w:val="18"/>
              </w:rPr>
            </w:pPr>
            <w:r>
              <w:rPr>
                <w:rFonts w:ascii="Times New Roman"/>
                <w:spacing w:val="-1"/>
                <w:sz w:val="18"/>
              </w:rPr>
              <w:t>58,788.86</w:t>
            </w:r>
          </w:p>
        </w:tc>
      </w:tr>
      <w:tr>
        <w:trPr>
          <w:trHeight w:val="294"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4,206,172.78</w:t>
            </w:r>
            <w:r>
              <w:rPr>
                <w:rFonts w:ascii="Times New Roman"/>
                <w:spacing w:val="-1"/>
                <w:sz w:val="18"/>
              </w:rPr>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76"/>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pacing w:val="-1"/>
                <w:sz w:val="18"/>
                <w:u w:val="thick" w:color="000000"/>
              </w:rPr>
              <w:t>7,098,539.99</w:t>
            </w:r>
            <w:r>
              <w:rPr>
                <w:rFonts w:ascii="Times New Roman"/>
                <w:spacing w:val="-1"/>
                <w:sz w:val="18"/>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2"/>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pacing w:val="-1"/>
                <w:sz w:val="18"/>
                <w:u w:val="thick" w:color="000000"/>
              </w:rPr>
              <w:t>2,813,989.29</w:t>
            </w:r>
            <w:r>
              <w:rPr>
                <w:rFonts w:ascii="Times New Roman"/>
                <w:spacing w:val="-1"/>
                <w:sz w:val="18"/>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pacing w:val="-1"/>
                <w:sz w:val="18"/>
                <w:u w:val="thick" w:color="000000"/>
              </w:rPr>
              <w:t>2,813,989.29</w:t>
            </w:r>
            <w:r>
              <w:rPr>
                <w:rFonts w:ascii="Times New Roman"/>
                <w:spacing w:val="-1"/>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pacing w:val="-1"/>
                <w:sz w:val="18"/>
                <w:u w:val="thick" w:color="000000"/>
              </w:rPr>
              <w:t>8,490,723.48</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720" w:right="0"/>
        <w:jc w:val="left"/>
      </w:pPr>
      <w:r>
        <w:rPr/>
        <w:t>（</w:t>
      </w:r>
      <w:r>
        <w:rPr>
          <w:rFonts w:ascii="Times New Roman" w:hAnsi="Times New Roman" w:cs="Times New Roman" w:eastAsia="Times New Roman" w:hint="default"/>
        </w:rPr>
        <w:t>3</w:t>
      </w:r>
      <w:r>
        <w:rPr/>
        <w:t>）存货跌价准备情况</w:t>
      </w: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092"/>
        <w:gridCol w:w="2376"/>
        <w:gridCol w:w="2715"/>
        <w:gridCol w:w="2624"/>
      </w:tblGrid>
      <w:tr>
        <w:trPr>
          <w:trHeight w:val="275" w:hRule="exact"/>
        </w:trPr>
        <w:tc>
          <w:tcPr>
            <w:tcW w:w="1092"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76" w:type="dxa"/>
            <w:tcBorders>
              <w:top w:val="nil" w:sz="6" w:space="0" w:color="auto"/>
              <w:left w:val="nil" w:sz="6" w:space="0" w:color="auto"/>
              <w:bottom w:val="single" w:sz="4" w:space="0" w:color="000000"/>
              <w:right w:val="nil" w:sz="6" w:space="0" w:color="auto"/>
            </w:tcBorders>
          </w:tcPr>
          <w:p>
            <w:pPr>
              <w:pStyle w:val="TableParagraph"/>
              <w:spacing w:line="180" w:lineRule="exact"/>
              <w:ind w:right="13"/>
              <w:jc w:val="center"/>
              <w:rPr>
                <w:rFonts w:ascii="宋体" w:hAnsi="宋体" w:cs="宋体" w:eastAsia="宋体" w:hint="default"/>
                <w:sz w:val="18"/>
                <w:szCs w:val="18"/>
              </w:rPr>
            </w:pPr>
            <w:r>
              <w:rPr>
                <w:rFonts w:ascii="宋体" w:hAnsi="宋体" w:cs="宋体" w:eastAsia="宋体" w:hint="default"/>
                <w:b/>
                <w:bCs/>
                <w:sz w:val="18"/>
                <w:szCs w:val="18"/>
              </w:rPr>
              <w:t>计提存货跌价准备的依据</w:t>
            </w:r>
            <w:r>
              <w:rPr>
                <w:rFonts w:ascii="宋体" w:hAnsi="宋体" w:cs="宋体" w:eastAsia="宋体" w:hint="default"/>
                <w:sz w:val="18"/>
                <w:szCs w:val="18"/>
              </w:rPr>
            </w:r>
          </w:p>
        </w:tc>
        <w:tc>
          <w:tcPr>
            <w:tcW w:w="2715" w:type="dxa"/>
            <w:tcBorders>
              <w:top w:val="nil" w:sz="6" w:space="0" w:color="auto"/>
              <w:left w:val="nil" w:sz="6" w:space="0" w:color="auto"/>
              <w:bottom w:val="single" w:sz="4" w:space="0" w:color="000000"/>
              <w:right w:val="nil" w:sz="6" w:space="0" w:color="auto"/>
            </w:tcBorders>
          </w:tcPr>
          <w:p>
            <w:pPr>
              <w:pStyle w:val="TableParagraph"/>
              <w:spacing w:line="180" w:lineRule="exact"/>
              <w:ind w:left="38" w:right="0"/>
              <w:jc w:val="center"/>
              <w:rPr>
                <w:rFonts w:ascii="宋体" w:hAnsi="宋体" w:cs="宋体" w:eastAsia="宋体" w:hint="default"/>
                <w:sz w:val="18"/>
                <w:szCs w:val="18"/>
              </w:rPr>
            </w:pPr>
            <w:r>
              <w:rPr>
                <w:rFonts w:ascii="宋体" w:hAnsi="宋体" w:cs="宋体" w:eastAsia="宋体" w:hint="default"/>
                <w:b/>
                <w:bCs/>
                <w:sz w:val="18"/>
                <w:szCs w:val="18"/>
              </w:rPr>
              <w:t>本期转回存货跌价准备的原因</w:t>
            </w:r>
            <w:r>
              <w:rPr>
                <w:rFonts w:ascii="宋体" w:hAnsi="宋体" w:cs="宋体" w:eastAsia="宋体" w:hint="default"/>
                <w:sz w:val="18"/>
                <w:szCs w:val="18"/>
              </w:rPr>
            </w:r>
          </w:p>
        </w:tc>
        <w:tc>
          <w:tcPr>
            <w:tcW w:w="2624" w:type="dxa"/>
            <w:tcBorders>
              <w:top w:val="nil" w:sz="6" w:space="0" w:color="auto"/>
              <w:left w:val="nil" w:sz="6" w:space="0" w:color="auto"/>
              <w:bottom w:val="single" w:sz="4" w:space="0" w:color="000000"/>
              <w:right w:val="nil" w:sz="6" w:space="0" w:color="auto"/>
            </w:tcBorders>
          </w:tcPr>
          <w:p>
            <w:pPr>
              <w:pStyle w:val="TableParagraph"/>
              <w:spacing w:line="180" w:lineRule="exact"/>
              <w:ind w:left="52" w:right="0"/>
              <w:jc w:val="center"/>
              <w:rPr>
                <w:rFonts w:ascii="宋体" w:hAnsi="宋体" w:cs="宋体" w:eastAsia="宋体" w:hint="default"/>
                <w:sz w:val="18"/>
                <w:szCs w:val="18"/>
              </w:rPr>
            </w:pPr>
            <w:r>
              <w:rPr>
                <w:rFonts w:ascii="宋体" w:hAnsi="宋体" w:cs="宋体" w:eastAsia="宋体" w:hint="default"/>
                <w:b/>
                <w:bCs/>
                <w:sz w:val="18"/>
                <w:szCs w:val="18"/>
              </w:rPr>
              <w:t>本期转销存货跌价准备的原因</w:t>
            </w:r>
            <w:r>
              <w:rPr>
                <w:rFonts w:ascii="宋体" w:hAnsi="宋体" w:cs="宋体" w:eastAsia="宋体" w:hint="default"/>
                <w:sz w:val="18"/>
                <w:szCs w:val="18"/>
              </w:rPr>
            </w:r>
          </w:p>
        </w:tc>
      </w:tr>
      <w:tr>
        <w:trPr>
          <w:trHeight w:val="426" w:hRule="exact"/>
        </w:trPr>
        <w:tc>
          <w:tcPr>
            <w:tcW w:w="109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237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53"/>
              <w:jc w:val="center"/>
              <w:rPr>
                <w:rFonts w:ascii="宋体" w:hAnsi="宋体" w:cs="宋体" w:eastAsia="宋体" w:hint="default"/>
                <w:sz w:val="18"/>
                <w:szCs w:val="18"/>
              </w:rPr>
            </w:pPr>
            <w:r>
              <w:rPr>
                <w:rFonts w:ascii="宋体" w:hAnsi="宋体" w:cs="宋体" w:eastAsia="宋体" w:hint="default"/>
                <w:sz w:val="18"/>
                <w:szCs w:val="18"/>
              </w:rPr>
              <w:t>成本高于可变现净值</w:t>
            </w:r>
          </w:p>
        </w:tc>
        <w:tc>
          <w:tcPr>
            <w:tcW w:w="271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39"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62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55" w:right="0"/>
              <w:jc w:val="center"/>
              <w:rPr>
                <w:rFonts w:ascii="宋体" w:hAnsi="宋体" w:cs="宋体" w:eastAsia="宋体" w:hint="default"/>
                <w:sz w:val="18"/>
                <w:szCs w:val="18"/>
              </w:rPr>
            </w:pPr>
            <w:r>
              <w:rPr>
                <w:rFonts w:ascii="宋体" w:hAnsi="宋体" w:cs="宋体" w:eastAsia="宋体" w:hint="default"/>
                <w:sz w:val="18"/>
                <w:szCs w:val="18"/>
              </w:rPr>
              <w:t>销售已计提跌价准备的产品</w:t>
            </w:r>
          </w:p>
        </w:tc>
      </w:tr>
      <w:tr>
        <w:trPr>
          <w:trHeight w:val="290" w:hRule="exact"/>
        </w:trPr>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发出商品</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3"/>
              <w:jc w:val="center"/>
              <w:rPr>
                <w:rFonts w:ascii="宋体" w:hAnsi="宋体" w:cs="宋体" w:eastAsia="宋体" w:hint="default"/>
                <w:sz w:val="18"/>
                <w:szCs w:val="18"/>
              </w:rPr>
            </w:pPr>
            <w:r>
              <w:rPr>
                <w:rFonts w:ascii="宋体" w:hAnsi="宋体" w:cs="宋体" w:eastAsia="宋体" w:hint="default"/>
                <w:sz w:val="18"/>
                <w:szCs w:val="18"/>
              </w:rPr>
              <w:t>成本高于可变现净值</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9"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5" w:right="0"/>
              <w:jc w:val="center"/>
              <w:rPr>
                <w:rFonts w:ascii="宋体" w:hAnsi="宋体" w:cs="宋体" w:eastAsia="宋体" w:hint="default"/>
                <w:sz w:val="18"/>
                <w:szCs w:val="18"/>
              </w:rPr>
            </w:pPr>
            <w:r>
              <w:rPr>
                <w:rFonts w:ascii="宋体" w:hAnsi="宋体" w:cs="宋体" w:eastAsia="宋体" w:hint="default"/>
                <w:sz w:val="18"/>
                <w:szCs w:val="18"/>
              </w:rPr>
              <w:t>销售已计提跌价准备的产品</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720" w:right="0"/>
        <w:jc w:val="left"/>
      </w:pPr>
      <w:r>
        <w:rPr>
          <w:rFonts w:ascii="Times New Roman" w:hAnsi="Times New Roman" w:cs="Times New Roman" w:eastAsia="Times New Roman" w:hint="default"/>
        </w:rPr>
        <w:t>8. </w:t>
      </w:r>
      <w:r>
        <w:rPr>
          <w:rFonts w:ascii="Times New Roman" w:hAnsi="Times New Roman" w:cs="Times New Roman" w:eastAsia="Times New Roman" w:hint="default"/>
          <w:spacing w:val="2"/>
        </w:rPr>
        <w:t> </w:t>
      </w:r>
      <w:r>
        <w:rPr/>
        <w:t>其他流动资产</w:t>
      </w:r>
    </w:p>
    <w:p>
      <w:pPr>
        <w:spacing w:line="240" w:lineRule="auto" w:before="6"/>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420"/>
        <w:gridCol w:w="2490"/>
        <w:gridCol w:w="2888"/>
      </w:tblGrid>
      <w:tr>
        <w:trPr>
          <w:trHeight w:val="275" w:hRule="exact"/>
        </w:trPr>
        <w:tc>
          <w:tcPr>
            <w:tcW w:w="3420" w:type="dxa"/>
            <w:tcBorders>
              <w:top w:val="nil" w:sz="6" w:space="0" w:color="auto"/>
              <w:left w:val="nil" w:sz="6" w:space="0" w:color="auto"/>
              <w:bottom w:val="single" w:sz="4" w:space="0" w:color="000000"/>
              <w:right w:val="nil" w:sz="6" w:space="0" w:color="auto"/>
            </w:tcBorders>
          </w:tcPr>
          <w:p>
            <w:pPr>
              <w:pStyle w:val="TableParagraph"/>
              <w:spacing w:line="180" w:lineRule="exact"/>
              <w:ind w:right="29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90" w:type="dxa"/>
            <w:tcBorders>
              <w:top w:val="nil" w:sz="6" w:space="0" w:color="auto"/>
              <w:left w:val="nil" w:sz="6" w:space="0" w:color="auto"/>
              <w:bottom w:val="single" w:sz="4" w:space="0" w:color="000000"/>
              <w:right w:val="nil" w:sz="6" w:space="0" w:color="auto"/>
            </w:tcBorders>
          </w:tcPr>
          <w:p>
            <w:pPr>
              <w:pStyle w:val="TableParagraph"/>
              <w:spacing w:line="180" w:lineRule="exact"/>
              <w:ind w:left="71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88" w:type="dxa"/>
            <w:tcBorders>
              <w:top w:val="nil" w:sz="6" w:space="0" w:color="auto"/>
              <w:left w:val="nil" w:sz="6" w:space="0" w:color="auto"/>
              <w:bottom w:val="single" w:sz="4" w:space="0" w:color="000000"/>
              <w:right w:val="nil" w:sz="6" w:space="0" w:color="auto"/>
            </w:tcBorders>
          </w:tcPr>
          <w:p>
            <w:pPr>
              <w:pStyle w:val="TableParagraph"/>
              <w:spacing w:line="180" w:lineRule="exact"/>
              <w:ind w:right="46"/>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1" w:hRule="exact"/>
        </w:trPr>
        <w:tc>
          <w:tcPr>
            <w:tcW w:w="342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招商银行股指赢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52258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理财产品</w:t>
            </w:r>
          </w:p>
        </w:tc>
        <w:tc>
          <w:tcPr>
            <w:tcW w:w="2490" w:type="dxa"/>
            <w:tcBorders>
              <w:top w:val="single" w:sz="4" w:space="0" w:color="000000"/>
              <w:left w:val="nil" w:sz="6" w:space="0" w:color="auto"/>
              <w:bottom w:val="nil" w:sz="6" w:space="0" w:color="auto"/>
              <w:right w:val="nil" w:sz="6" w:space="0" w:color="auto"/>
            </w:tcBorders>
          </w:tcPr>
          <w:p>
            <w:pPr/>
          </w:p>
        </w:tc>
        <w:tc>
          <w:tcPr>
            <w:tcW w:w="288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36"/>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0"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招商银行股指赢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52264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理财产品</w:t>
            </w:r>
          </w:p>
        </w:tc>
        <w:tc>
          <w:tcPr>
            <w:tcW w:w="2490" w:type="dxa"/>
            <w:tcBorders>
              <w:top w:val="nil" w:sz="6" w:space="0" w:color="auto"/>
              <w:left w:val="nil" w:sz="6" w:space="0" w:color="auto"/>
              <w:bottom w:val="nil" w:sz="6" w:space="0" w:color="auto"/>
              <w:right w:val="nil" w:sz="6" w:space="0" w:color="auto"/>
            </w:tcBorders>
          </w:tcPr>
          <w:p>
            <w:pP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6"/>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0"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招商银行黄金周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理财产品</w:t>
            </w:r>
          </w:p>
        </w:tc>
        <w:tc>
          <w:tcPr>
            <w:tcW w:w="2490" w:type="dxa"/>
            <w:tcBorders>
              <w:top w:val="nil" w:sz="6" w:space="0" w:color="auto"/>
              <w:left w:val="nil" w:sz="6" w:space="0" w:color="auto"/>
              <w:bottom w:val="nil" w:sz="6" w:space="0" w:color="auto"/>
              <w:right w:val="nil" w:sz="6" w:space="0" w:color="auto"/>
            </w:tcBorders>
          </w:tcPr>
          <w:p>
            <w:pP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35"/>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1"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农业银行</w:t>
            </w:r>
            <w:r>
              <w:rPr>
                <w:rFonts w:ascii="Times New Roman" w:hAnsi="Times New Roman" w:cs="Times New Roman" w:eastAsia="Times New Roman" w:hint="default"/>
                <w:sz w:val="18"/>
                <w:szCs w:val="18"/>
              </w:rPr>
              <w:t>“</w:t>
            </w:r>
            <w:r>
              <w:rPr>
                <w:rFonts w:ascii="宋体" w:hAnsi="宋体" w:cs="宋体" w:eastAsia="宋体" w:hint="default"/>
                <w:sz w:val="18"/>
                <w:szCs w:val="18"/>
              </w:rPr>
              <w:t>本利丰天天利</w:t>
            </w:r>
            <w:r>
              <w:rPr>
                <w:rFonts w:ascii="Times New Roman" w:hAnsi="Times New Roman" w:cs="Times New Roman" w:eastAsia="Times New Roman" w:hint="default"/>
                <w:sz w:val="18"/>
                <w:szCs w:val="18"/>
              </w:rPr>
              <w:t>”</w:t>
            </w:r>
            <w:r>
              <w:rPr>
                <w:rFonts w:ascii="宋体" w:hAnsi="宋体" w:cs="宋体" w:eastAsia="宋体" w:hint="default"/>
                <w:sz w:val="18"/>
                <w:szCs w:val="18"/>
              </w:rPr>
              <w:t>理财产品</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631" w:right="0"/>
              <w:jc w:val="left"/>
              <w:rPr>
                <w:rFonts w:ascii="Times New Roman" w:hAnsi="Times New Roman" w:cs="Times New Roman" w:eastAsia="Times New Roman" w:hint="default"/>
                <w:sz w:val="18"/>
                <w:szCs w:val="18"/>
              </w:rPr>
            </w:pPr>
            <w:r>
              <w:rPr>
                <w:rFonts w:ascii="Times New Roman"/>
                <w:sz w:val="18"/>
              </w:rPr>
              <w:t>16,000,000.00</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6"/>
              <w:jc w:val="right"/>
              <w:rPr>
                <w:rFonts w:ascii="Times New Roman" w:hAnsi="Times New Roman" w:cs="Times New Roman" w:eastAsia="Times New Roman" w:hint="default"/>
                <w:sz w:val="18"/>
                <w:szCs w:val="18"/>
              </w:rPr>
            </w:pPr>
            <w:r>
              <w:rPr>
                <w:rFonts w:ascii="Times New Roman"/>
                <w:spacing w:val="-1"/>
                <w:sz w:val="18"/>
              </w:rPr>
              <w:t>4,200,000.00</w:t>
            </w:r>
          </w:p>
        </w:tc>
      </w:tr>
      <w:tr>
        <w:trPr>
          <w:trHeight w:val="400"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浦发银行财富班车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天）</w:t>
            </w:r>
            <w:r>
              <w:rPr>
                <w:rFonts w:ascii="宋体" w:hAnsi="宋体" w:cs="宋体" w:eastAsia="宋体" w:hint="default"/>
                <w:sz w:val="18"/>
                <w:szCs w:val="18"/>
              </w:rPr>
            </w:r>
          </w:p>
        </w:tc>
        <w:tc>
          <w:tcPr>
            <w:tcW w:w="2490" w:type="dxa"/>
            <w:tcBorders>
              <w:top w:val="nil" w:sz="6" w:space="0" w:color="auto"/>
              <w:left w:val="nil" w:sz="6" w:space="0" w:color="auto"/>
              <w:bottom w:val="nil" w:sz="6" w:space="0" w:color="auto"/>
              <w:right w:val="nil" w:sz="6" w:space="0" w:color="auto"/>
            </w:tcBorders>
          </w:tcPr>
          <w:p>
            <w:pP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6"/>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0"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488,413.96</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36"/>
              <w:jc w:val="right"/>
              <w:rPr>
                <w:rFonts w:ascii="Times New Roman" w:hAnsi="Times New Roman" w:cs="Times New Roman" w:eastAsia="Times New Roman" w:hint="default"/>
                <w:sz w:val="18"/>
                <w:szCs w:val="18"/>
              </w:rPr>
            </w:pPr>
            <w:r>
              <w:rPr>
                <w:rFonts w:ascii="Times New Roman"/>
                <w:spacing w:val="-1"/>
                <w:sz w:val="18"/>
              </w:rPr>
              <w:t>445,457.61</w:t>
            </w:r>
          </w:p>
        </w:tc>
      </w:tr>
      <w:tr>
        <w:trPr>
          <w:trHeight w:val="295"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3"/>
              <w:jc w:val="center"/>
              <w:rPr>
                <w:rFonts w:ascii="宋体" w:hAnsi="宋体" w:cs="宋体" w:eastAsia="宋体" w:hint="default"/>
                <w:sz w:val="18"/>
                <w:szCs w:val="18"/>
              </w:rPr>
            </w:pPr>
            <w:r>
              <w:rPr>
                <w:rFonts w:ascii="宋体" w:hAnsi="宋体" w:cs="宋体" w:eastAsia="宋体" w:hint="default"/>
                <w:sz w:val="18"/>
                <w:szCs w:val="18"/>
              </w:rPr>
              <w:t>合计</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63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16,488,413.96</w:t>
            </w:r>
            <w:r>
              <w:rPr>
                <w:rFonts w:ascii="Times New Roman"/>
                <w:sz w:val="18"/>
              </w:rPr>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104,245,457.61</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720" w:right="0"/>
        <w:jc w:val="left"/>
      </w:pPr>
      <w:r>
        <w:rPr>
          <w:rFonts w:ascii="Times New Roman" w:hAnsi="Times New Roman" w:cs="Times New Roman" w:eastAsia="Times New Roman" w:hint="default"/>
        </w:rPr>
        <w:t>9 </w:t>
      </w:r>
      <w:r>
        <w:rPr>
          <w:rFonts w:ascii="Times New Roman" w:hAnsi="Times New Roman" w:cs="Times New Roman" w:eastAsia="Times New Roman" w:hint="default"/>
          <w:spacing w:val="2"/>
        </w:rPr>
        <w:t> </w:t>
      </w:r>
      <w:r>
        <w:rPr/>
        <w:t>可供出售金融资产</w:t>
      </w:r>
    </w:p>
    <w:p>
      <w:pPr>
        <w:spacing w:line="240" w:lineRule="auto" w:before="5"/>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1</w:t>
      </w:r>
      <w:r>
        <w:rPr/>
        <w:t>）分类列示</w:t>
      </w:r>
    </w:p>
    <w:p>
      <w:pPr>
        <w:spacing w:line="240" w:lineRule="auto" w:before="11"/>
        <w:rPr>
          <w:rFonts w:ascii="宋体" w:hAnsi="宋体" w:cs="宋体" w:eastAsia="宋体" w:hint="default"/>
          <w:sz w:val="12"/>
          <w:szCs w:val="12"/>
        </w:rPr>
      </w:pPr>
    </w:p>
    <w:p>
      <w:pPr>
        <w:tabs>
          <w:tab w:pos="7213" w:val="left" w:leader="none"/>
        </w:tabs>
        <w:spacing w:line="192" w:lineRule="exact" w:before="54"/>
        <w:ind w:left="4162"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192" w:lineRule="exact" w:before="0"/>
        <w:ind w:left="1450" w:right="0" w:firstLine="0"/>
        <w:jc w:val="left"/>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p>
      <w:pPr>
        <w:spacing w:line="240" w:lineRule="auto" w:before="8"/>
        <w:rPr>
          <w:rFonts w:ascii="宋体" w:hAnsi="宋体" w:cs="宋体" w:eastAsia="宋体" w:hint="default"/>
          <w:b/>
          <w:bCs/>
          <w:sz w:val="2"/>
          <w:szCs w:val="2"/>
        </w:rPr>
      </w:pPr>
    </w:p>
    <w:tbl>
      <w:tblPr>
        <w:tblW w:w="0" w:type="auto"/>
        <w:jc w:val="left"/>
        <w:tblInd w:w="252" w:type="dxa"/>
        <w:tblLayout w:type="fixed"/>
        <w:tblCellMar>
          <w:top w:w="0" w:type="dxa"/>
          <w:left w:w="0" w:type="dxa"/>
          <w:bottom w:w="0" w:type="dxa"/>
          <w:right w:w="0" w:type="dxa"/>
        </w:tblCellMar>
        <w:tblLook w:val="01E0"/>
      </w:tblPr>
      <w:tblGrid>
        <w:gridCol w:w="2727"/>
        <w:gridCol w:w="1079"/>
        <w:gridCol w:w="814"/>
        <w:gridCol w:w="1130"/>
        <w:gridCol w:w="1144"/>
        <w:gridCol w:w="824"/>
        <w:gridCol w:w="1080"/>
      </w:tblGrid>
      <w:tr>
        <w:trPr>
          <w:trHeight w:val="284" w:hRule="exact"/>
        </w:trPr>
        <w:tc>
          <w:tcPr>
            <w:tcW w:w="2727" w:type="dxa"/>
            <w:tcBorders>
              <w:top w:val="nil" w:sz="6" w:space="0" w:color="auto"/>
              <w:left w:val="nil" w:sz="6" w:space="0" w:color="auto"/>
              <w:bottom w:val="single" w:sz="8" w:space="0" w:color="000000"/>
              <w:right w:val="nil" w:sz="6" w:space="0" w:color="auto"/>
            </w:tcBorders>
          </w:tcPr>
          <w:p>
            <w:pPr/>
          </w:p>
        </w:tc>
        <w:tc>
          <w:tcPr>
            <w:tcW w:w="1079" w:type="dxa"/>
            <w:tcBorders>
              <w:top w:val="nil" w:sz="6" w:space="0" w:color="auto"/>
              <w:left w:val="nil" w:sz="6" w:space="0" w:color="auto"/>
              <w:bottom w:val="single" w:sz="8" w:space="0" w:color="000000"/>
              <w:right w:val="nil" w:sz="6" w:space="0" w:color="auto"/>
            </w:tcBorders>
          </w:tcPr>
          <w:p>
            <w:pPr>
              <w:pStyle w:val="TableParagraph"/>
              <w:spacing w:line="151" w:lineRule="exact"/>
              <w:ind w:left="203"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814" w:type="dxa"/>
            <w:tcBorders>
              <w:top w:val="nil" w:sz="6" w:space="0" w:color="auto"/>
              <w:left w:val="nil" w:sz="6" w:space="0" w:color="auto"/>
              <w:bottom w:val="single" w:sz="8" w:space="0" w:color="000000"/>
              <w:right w:val="nil" w:sz="6" w:space="0" w:color="auto"/>
            </w:tcBorders>
          </w:tcPr>
          <w:p>
            <w:pPr>
              <w:pStyle w:val="TableParagraph"/>
              <w:spacing w:line="151" w:lineRule="exact"/>
              <w:ind w:left="72" w:right="0"/>
              <w:jc w:val="left"/>
              <w:rPr>
                <w:rFonts w:ascii="宋体" w:hAnsi="宋体" w:cs="宋体" w:eastAsia="宋体" w:hint="default"/>
                <w:sz w:val="15"/>
                <w:szCs w:val="15"/>
              </w:rPr>
            </w:pPr>
            <w:r>
              <w:rPr>
                <w:rFonts w:ascii="宋体" w:hAnsi="宋体" w:cs="宋体" w:eastAsia="宋体" w:hint="default"/>
                <w:b/>
                <w:bCs/>
                <w:sz w:val="15"/>
                <w:szCs w:val="15"/>
              </w:rPr>
              <w:t>减值准备</w:t>
            </w:r>
            <w:r>
              <w:rPr>
                <w:rFonts w:ascii="宋体" w:hAnsi="宋体" w:cs="宋体" w:eastAsia="宋体" w:hint="default"/>
                <w:sz w:val="15"/>
                <w:szCs w:val="15"/>
              </w:rPr>
            </w:r>
          </w:p>
        </w:tc>
        <w:tc>
          <w:tcPr>
            <w:tcW w:w="1130" w:type="dxa"/>
            <w:tcBorders>
              <w:top w:val="nil" w:sz="6" w:space="0" w:color="auto"/>
              <w:left w:val="nil" w:sz="6" w:space="0" w:color="auto"/>
              <w:bottom w:val="single" w:sz="8" w:space="0" w:color="000000"/>
              <w:right w:val="nil" w:sz="6" w:space="0" w:color="auto"/>
            </w:tcBorders>
          </w:tcPr>
          <w:p>
            <w:pPr>
              <w:pStyle w:val="TableParagraph"/>
              <w:spacing w:line="151" w:lineRule="exact"/>
              <w:ind w:right="44"/>
              <w:jc w:val="center"/>
              <w:rPr>
                <w:rFonts w:ascii="宋体" w:hAnsi="宋体" w:cs="宋体" w:eastAsia="宋体" w:hint="default"/>
                <w:sz w:val="15"/>
                <w:szCs w:val="15"/>
              </w:rPr>
            </w:pPr>
            <w:r>
              <w:rPr>
                <w:rFonts w:ascii="宋体" w:hAnsi="宋体" w:cs="宋体" w:eastAsia="宋体" w:hint="default"/>
                <w:b/>
                <w:bCs/>
                <w:sz w:val="15"/>
                <w:szCs w:val="15"/>
              </w:rPr>
              <w:t>账面价值</w:t>
            </w:r>
            <w:r>
              <w:rPr>
                <w:rFonts w:ascii="宋体" w:hAnsi="宋体" w:cs="宋体" w:eastAsia="宋体" w:hint="default"/>
                <w:sz w:val="15"/>
                <w:szCs w:val="15"/>
              </w:rPr>
            </w:r>
          </w:p>
        </w:tc>
        <w:tc>
          <w:tcPr>
            <w:tcW w:w="1144" w:type="dxa"/>
            <w:tcBorders>
              <w:top w:val="nil" w:sz="6" w:space="0" w:color="auto"/>
              <w:left w:val="nil" w:sz="6" w:space="0" w:color="auto"/>
              <w:bottom w:val="single" w:sz="8" w:space="0" w:color="000000"/>
              <w:right w:val="nil" w:sz="6" w:space="0" w:color="auto"/>
            </w:tcBorders>
          </w:tcPr>
          <w:p>
            <w:pPr>
              <w:pStyle w:val="TableParagraph"/>
              <w:spacing w:line="151" w:lineRule="exact"/>
              <w:ind w:left="258"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824" w:type="dxa"/>
            <w:tcBorders>
              <w:top w:val="nil" w:sz="6" w:space="0" w:color="auto"/>
              <w:left w:val="nil" w:sz="6" w:space="0" w:color="auto"/>
              <w:bottom w:val="single" w:sz="8" w:space="0" w:color="000000"/>
              <w:right w:val="nil" w:sz="6" w:space="0" w:color="auto"/>
            </w:tcBorders>
          </w:tcPr>
          <w:p>
            <w:pPr>
              <w:pStyle w:val="TableParagraph"/>
              <w:spacing w:line="151" w:lineRule="exact"/>
              <w:ind w:left="108" w:right="0"/>
              <w:jc w:val="left"/>
              <w:rPr>
                <w:rFonts w:ascii="宋体" w:hAnsi="宋体" w:cs="宋体" w:eastAsia="宋体" w:hint="default"/>
                <w:sz w:val="15"/>
                <w:szCs w:val="15"/>
              </w:rPr>
            </w:pPr>
            <w:r>
              <w:rPr>
                <w:rFonts w:ascii="宋体" w:hAnsi="宋体" w:cs="宋体" w:eastAsia="宋体" w:hint="default"/>
                <w:b/>
                <w:bCs/>
                <w:sz w:val="15"/>
                <w:szCs w:val="15"/>
              </w:rPr>
              <w:t>减值准备</w:t>
            </w:r>
            <w:r>
              <w:rPr>
                <w:rFonts w:ascii="宋体" w:hAnsi="宋体" w:cs="宋体" w:eastAsia="宋体" w:hint="default"/>
                <w:sz w:val="15"/>
                <w:szCs w:val="15"/>
              </w:rPr>
            </w:r>
          </w:p>
        </w:tc>
        <w:tc>
          <w:tcPr>
            <w:tcW w:w="1080" w:type="dxa"/>
            <w:tcBorders>
              <w:top w:val="nil" w:sz="6" w:space="0" w:color="auto"/>
              <w:left w:val="nil" w:sz="6" w:space="0" w:color="auto"/>
              <w:bottom w:val="single" w:sz="8" w:space="0" w:color="000000"/>
              <w:right w:val="nil" w:sz="6" w:space="0" w:color="auto"/>
            </w:tcBorders>
          </w:tcPr>
          <w:p>
            <w:pPr>
              <w:pStyle w:val="TableParagraph"/>
              <w:spacing w:line="151" w:lineRule="exact"/>
              <w:ind w:right="0"/>
              <w:jc w:val="center"/>
              <w:rPr>
                <w:rFonts w:ascii="宋体" w:hAnsi="宋体" w:cs="宋体" w:eastAsia="宋体" w:hint="default"/>
                <w:sz w:val="15"/>
                <w:szCs w:val="15"/>
              </w:rPr>
            </w:pPr>
            <w:r>
              <w:rPr>
                <w:rFonts w:ascii="宋体" w:hAnsi="宋体" w:cs="宋体" w:eastAsia="宋体" w:hint="default"/>
                <w:b/>
                <w:bCs/>
                <w:sz w:val="15"/>
                <w:szCs w:val="15"/>
              </w:rPr>
              <w:t>账面价值</w:t>
            </w:r>
            <w:r>
              <w:rPr>
                <w:rFonts w:ascii="宋体" w:hAnsi="宋体" w:cs="宋体" w:eastAsia="宋体" w:hint="default"/>
                <w:sz w:val="15"/>
                <w:szCs w:val="15"/>
              </w:rPr>
            </w:r>
          </w:p>
        </w:tc>
      </w:tr>
      <w:tr>
        <w:trPr>
          <w:trHeight w:val="345" w:hRule="exact"/>
        </w:trPr>
        <w:tc>
          <w:tcPr>
            <w:tcW w:w="2727"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108" w:right="0"/>
              <w:jc w:val="left"/>
              <w:rPr>
                <w:rFonts w:ascii="宋体" w:hAnsi="宋体" w:cs="宋体" w:eastAsia="宋体" w:hint="default"/>
                <w:sz w:val="15"/>
                <w:szCs w:val="15"/>
              </w:rPr>
            </w:pPr>
            <w:r>
              <w:rPr>
                <w:rFonts w:ascii="宋体" w:hAnsi="宋体" w:cs="宋体" w:eastAsia="宋体" w:hint="default"/>
                <w:sz w:val="15"/>
                <w:szCs w:val="15"/>
              </w:rPr>
              <w:t>可供出售权益工具</w:t>
            </w:r>
          </w:p>
        </w:tc>
        <w:tc>
          <w:tcPr>
            <w:tcW w:w="1079" w:type="dxa"/>
            <w:tcBorders>
              <w:top w:val="single" w:sz="8" w:space="0" w:color="000000"/>
              <w:left w:val="nil" w:sz="6" w:space="0" w:color="auto"/>
              <w:bottom w:val="nil" w:sz="6" w:space="0" w:color="auto"/>
              <w:right w:val="nil" w:sz="6" w:space="0" w:color="auto"/>
            </w:tcBorders>
          </w:tcPr>
          <w:p>
            <w:pPr>
              <w:pStyle w:val="TableParagraph"/>
              <w:spacing w:line="240" w:lineRule="auto" w:before="68"/>
              <w:ind w:left="141"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77,347,000.00</w:t>
            </w:r>
            <w:r>
              <w:rPr>
                <w:rFonts w:ascii="Times New Roman"/>
                <w:sz w:val="15"/>
              </w:rPr>
            </w:r>
          </w:p>
        </w:tc>
        <w:tc>
          <w:tcPr>
            <w:tcW w:w="814" w:type="dxa"/>
            <w:tcBorders>
              <w:top w:val="single" w:sz="8" w:space="0" w:color="000000"/>
              <w:left w:val="nil" w:sz="6" w:space="0" w:color="auto"/>
              <w:bottom w:val="nil" w:sz="6" w:space="0" w:color="auto"/>
              <w:right w:val="nil" w:sz="6" w:space="0" w:color="auto"/>
            </w:tcBorders>
          </w:tcPr>
          <w:p>
            <w:pPr/>
          </w:p>
        </w:tc>
        <w:tc>
          <w:tcPr>
            <w:tcW w:w="1130" w:type="dxa"/>
            <w:tcBorders>
              <w:top w:val="single" w:sz="8" w:space="0" w:color="000000"/>
              <w:left w:val="nil" w:sz="6" w:space="0" w:color="auto"/>
              <w:bottom w:val="nil" w:sz="6" w:space="0" w:color="auto"/>
              <w:right w:val="nil" w:sz="6" w:space="0" w:color="auto"/>
            </w:tcBorders>
          </w:tcPr>
          <w:p>
            <w:pPr>
              <w:pStyle w:val="TableParagraph"/>
              <w:spacing w:line="240" w:lineRule="auto" w:before="68"/>
              <w:ind w:left="4"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77,347,000.00</w:t>
            </w:r>
            <w:r>
              <w:rPr>
                <w:rFonts w:ascii="Times New Roman"/>
                <w:sz w:val="15"/>
              </w:rPr>
            </w:r>
          </w:p>
        </w:tc>
        <w:tc>
          <w:tcPr>
            <w:tcW w:w="1144" w:type="dxa"/>
            <w:tcBorders>
              <w:top w:val="single" w:sz="8" w:space="0" w:color="000000"/>
              <w:left w:val="nil" w:sz="6" w:space="0" w:color="auto"/>
              <w:bottom w:val="nil" w:sz="6" w:space="0" w:color="auto"/>
              <w:right w:val="nil" w:sz="6" w:space="0" w:color="auto"/>
            </w:tcBorders>
          </w:tcPr>
          <w:p>
            <w:pPr>
              <w:pStyle w:val="TableParagraph"/>
              <w:spacing w:line="240" w:lineRule="auto" w:before="68"/>
              <w:ind w:right="151"/>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27,347,000.00</w:t>
            </w:r>
            <w:r>
              <w:rPr>
                <w:rFonts w:ascii="Times New Roman"/>
                <w:spacing w:val="-1"/>
                <w:sz w:val="15"/>
              </w:rPr>
            </w:r>
          </w:p>
        </w:tc>
        <w:tc>
          <w:tcPr>
            <w:tcW w:w="824" w:type="dxa"/>
            <w:tcBorders>
              <w:top w:val="single" w:sz="8" w:space="0" w:color="000000"/>
              <w:left w:val="nil" w:sz="6" w:space="0" w:color="auto"/>
              <w:bottom w:val="nil" w:sz="6" w:space="0" w:color="auto"/>
              <w:right w:val="nil" w:sz="6" w:space="0" w:color="auto"/>
            </w:tcBorders>
          </w:tcPr>
          <w:p>
            <w:pPr/>
          </w:p>
        </w:tc>
        <w:tc>
          <w:tcPr>
            <w:tcW w:w="1080" w:type="dxa"/>
            <w:tcBorders>
              <w:top w:val="single" w:sz="8" w:space="0" w:color="000000"/>
              <w:left w:val="nil" w:sz="6" w:space="0" w:color="auto"/>
              <w:bottom w:val="nil" w:sz="6" w:space="0" w:color="auto"/>
              <w:right w:val="nil" w:sz="6" w:space="0" w:color="auto"/>
            </w:tcBorders>
          </w:tcPr>
          <w:p>
            <w:pPr>
              <w:pStyle w:val="TableParagraph"/>
              <w:spacing w:line="240" w:lineRule="auto" w:before="68"/>
              <w:ind w:left="3"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27,347,000.00</w:t>
            </w:r>
            <w:r>
              <w:rPr>
                <w:rFonts w:ascii="Times New Roman"/>
                <w:sz w:val="15"/>
              </w:rPr>
            </w:r>
          </w:p>
        </w:tc>
      </w:tr>
      <w:tr>
        <w:trPr>
          <w:trHeight w:val="353"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5"/>
                <w:szCs w:val="15"/>
              </w:rPr>
            </w:pPr>
            <w:r>
              <w:rPr>
                <w:rFonts w:ascii="宋体" w:hAnsi="宋体" w:cs="宋体" w:eastAsia="宋体" w:hint="default"/>
                <w:sz w:val="15"/>
                <w:szCs w:val="15"/>
              </w:rPr>
              <w:t>其中：按成本计量</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41"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77,347,000.00</w:t>
            </w:r>
            <w:r>
              <w:rPr>
                <w:rFonts w:ascii="Times New Roman"/>
                <w:sz w:val="15"/>
              </w:rPr>
            </w:r>
          </w:p>
        </w:tc>
        <w:tc>
          <w:tcPr>
            <w:tcW w:w="814"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77,347,000.00</w:t>
            </w:r>
            <w:r>
              <w:rPr>
                <w:rFonts w:ascii="Times New Roman"/>
                <w:sz w:val="15"/>
              </w:rPr>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27,347,000.00</w:t>
            </w:r>
            <w:r>
              <w:rPr>
                <w:rFonts w:ascii="Times New Roman"/>
                <w:spacing w:val="-1"/>
                <w:sz w:val="15"/>
              </w:rPr>
            </w:r>
          </w:p>
        </w:tc>
        <w:tc>
          <w:tcPr>
            <w:tcW w:w="824"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27,347,000.00</w:t>
            </w:r>
            <w:r>
              <w:rPr>
                <w:rFonts w:ascii="Times New Roman"/>
                <w:sz w:val="15"/>
              </w:rPr>
            </w:r>
          </w:p>
        </w:tc>
      </w:tr>
      <w:tr>
        <w:trPr>
          <w:trHeight w:val="411"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上海德天股权投资基金中心（有限</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43" w:right="0"/>
              <w:jc w:val="left"/>
              <w:rPr>
                <w:rFonts w:ascii="Times New Roman" w:hAnsi="Times New Roman" w:cs="Times New Roman" w:eastAsia="Times New Roman" w:hint="default"/>
                <w:sz w:val="15"/>
                <w:szCs w:val="15"/>
              </w:rPr>
            </w:pPr>
            <w:r>
              <w:rPr>
                <w:rFonts w:ascii="Times New Roman"/>
                <w:sz w:val="15"/>
              </w:rPr>
              <w:t>40,000,000.00</w:t>
            </w:r>
          </w:p>
        </w:tc>
        <w:tc>
          <w:tcPr>
            <w:tcW w:w="814"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8" w:right="0"/>
              <w:jc w:val="center"/>
              <w:rPr>
                <w:rFonts w:ascii="Times New Roman" w:hAnsi="Times New Roman" w:cs="Times New Roman" w:eastAsia="Times New Roman" w:hint="default"/>
                <w:sz w:val="15"/>
                <w:szCs w:val="15"/>
              </w:rPr>
            </w:pPr>
            <w:r>
              <w:rPr>
                <w:rFonts w:ascii="Times New Roman"/>
                <w:sz w:val="15"/>
              </w:rPr>
              <w:t>40,000,000.00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20,000,000.00</w:t>
            </w:r>
          </w:p>
        </w:tc>
        <w:tc>
          <w:tcPr>
            <w:tcW w:w="824"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20,000,000.00</w:t>
            </w:r>
          </w:p>
        </w:tc>
      </w:tr>
      <w:tr>
        <w:trPr>
          <w:trHeight w:val="253"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149" w:lineRule="exact"/>
              <w:ind w:left="108" w:right="0"/>
              <w:jc w:val="left"/>
              <w:rPr>
                <w:rFonts w:ascii="宋体" w:hAnsi="宋体" w:cs="宋体" w:eastAsia="宋体" w:hint="default"/>
                <w:sz w:val="15"/>
                <w:szCs w:val="15"/>
              </w:rPr>
            </w:pPr>
            <w:r>
              <w:rPr>
                <w:rFonts w:ascii="宋体" w:hAnsi="宋体" w:cs="宋体" w:eastAsia="宋体" w:hint="default"/>
                <w:sz w:val="15"/>
                <w:szCs w:val="15"/>
              </w:rPr>
              <w:t>合伙）</w:t>
            </w:r>
          </w:p>
        </w:tc>
        <w:tc>
          <w:tcPr>
            <w:tcW w:w="1079"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r>
      <w:tr>
        <w:trPr>
          <w:trHeight w:val="352"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8" w:right="0"/>
              <w:jc w:val="left"/>
              <w:rPr>
                <w:rFonts w:ascii="Times New Roman" w:hAnsi="Times New Roman" w:cs="Times New Roman" w:eastAsia="Times New Roman" w:hint="default"/>
                <w:sz w:val="15"/>
                <w:szCs w:val="15"/>
              </w:rPr>
            </w:pPr>
            <w:r>
              <w:rPr>
                <w:rFonts w:ascii="Times New Roman"/>
                <w:sz w:val="15"/>
              </w:rPr>
              <w:t>2.KEYROUTE GAMES</w:t>
            </w:r>
            <w:r>
              <w:rPr>
                <w:rFonts w:ascii="Times New Roman"/>
                <w:spacing w:val="-14"/>
                <w:sz w:val="15"/>
              </w:rPr>
              <w:t> </w:t>
            </w:r>
            <w:r>
              <w:rPr>
                <w:rFonts w:ascii="Times New Roman"/>
                <w:sz w:val="15"/>
              </w:rPr>
              <w:t>CO.,LIMITED</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17" w:right="0"/>
              <w:jc w:val="left"/>
              <w:rPr>
                <w:rFonts w:ascii="Times New Roman" w:hAnsi="Times New Roman" w:cs="Times New Roman" w:eastAsia="Times New Roman" w:hint="default"/>
                <w:sz w:val="15"/>
                <w:szCs w:val="15"/>
              </w:rPr>
            </w:pPr>
            <w:r>
              <w:rPr>
                <w:rFonts w:ascii="Times New Roman"/>
                <w:sz w:val="15"/>
              </w:rPr>
              <w:t>7,347,000.00</w:t>
            </w:r>
          </w:p>
        </w:tc>
        <w:tc>
          <w:tcPr>
            <w:tcW w:w="814"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83" w:right="0"/>
              <w:jc w:val="center"/>
              <w:rPr>
                <w:rFonts w:ascii="Times New Roman" w:hAnsi="Times New Roman" w:cs="Times New Roman" w:eastAsia="Times New Roman" w:hint="default"/>
                <w:sz w:val="15"/>
                <w:szCs w:val="15"/>
              </w:rPr>
            </w:pPr>
            <w:r>
              <w:rPr>
                <w:rFonts w:ascii="Times New Roman"/>
                <w:sz w:val="15"/>
              </w:rPr>
              <w:t>7,347,000.00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6"/>
              <w:jc w:val="right"/>
              <w:rPr>
                <w:rFonts w:ascii="Times New Roman" w:hAnsi="Times New Roman" w:cs="Times New Roman" w:eastAsia="Times New Roman" w:hint="default"/>
                <w:sz w:val="15"/>
                <w:szCs w:val="15"/>
              </w:rPr>
            </w:pPr>
            <w:r>
              <w:rPr>
                <w:rFonts w:ascii="Times New Roman"/>
                <w:spacing w:val="-1"/>
                <w:sz w:val="15"/>
              </w:rPr>
              <w:t>7,347,000.00</w:t>
            </w:r>
          </w:p>
        </w:tc>
        <w:tc>
          <w:tcPr>
            <w:tcW w:w="824"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8" w:right="0"/>
              <w:jc w:val="center"/>
              <w:rPr>
                <w:rFonts w:ascii="Times New Roman" w:hAnsi="Times New Roman" w:cs="Times New Roman" w:eastAsia="Times New Roman" w:hint="default"/>
                <w:sz w:val="15"/>
                <w:szCs w:val="15"/>
              </w:rPr>
            </w:pPr>
            <w:r>
              <w:rPr>
                <w:rFonts w:ascii="Times New Roman"/>
                <w:sz w:val="15"/>
              </w:rPr>
              <w:t>7,347,000.00</w:t>
            </w:r>
          </w:p>
        </w:tc>
      </w:tr>
      <w:tr>
        <w:trPr>
          <w:trHeight w:val="353"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北京初见科技有限公司</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43" w:right="0"/>
              <w:jc w:val="left"/>
              <w:rPr>
                <w:rFonts w:ascii="Times New Roman" w:hAnsi="Times New Roman" w:cs="Times New Roman" w:eastAsia="Times New Roman" w:hint="default"/>
                <w:sz w:val="15"/>
                <w:szCs w:val="15"/>
              </w:rPr>
            </w:pPr>
            <w:r>
              <w:rPr>
                <w:rFonts w:ascii="Times New Roman"/>
                <w:sz w:val="15"/>
              </w:rPr>
              <w:t>30,000,000.00</w:t>
            </w:r>
          </w:p>
        </w:tc>
        <w:tc>
          <w:tcPr>
            <w:tcW w:w="814"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 w:right="0"/>
              <w:jc w:val="center"/>
              <w:rPr>
                <w:rFonts w:ascii="Times New Roman" w:hAnsi="Times New Roman" w:cs="Times New Roman" w:eastAsia="Times New Roman" w:hint="default"/>
                <w:sz w:val="15"/>
                <w:szCs w:val="15"/>
              </w:rPr>
            </w:pPr>
            <w:r>
              <w:rPr>
                <w:rFonts w:ascii="Times New Roman"/>
                <w:sz w:val="15"/>
              </w:rPr>
              <w:t>30,000,000.00</w:t>
            </w:r>
          </w:p>
        </w:tc>
        <w:tc>
          <w:tcPr>
            <w:tcW w:w="1144"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r>
      <w:tr>
        <w:trPr>
          <w:trHeight w:val="356"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center"/>
              <w:rPr>
                <w:rFonts w:ascii="宋体" w:hAnsi="宋体" w:cs="宋体" w:eastAsia="宋体" w:hint="default"/>
                <w:sz w:val="15"/>
                <w:szCs w:val="15"/>
              </w:rPr>
            </w:pPr>
            <w:r>
              <w:rPr>
                <w:rFonts w:ascii="宋体" w:hAnsi="宋体" w:cs="宋体" w:eastAsia="宋体" w:hint="default"/>
                <w:sz w:val="15"/>
                <w:szCs w:val="15"/>
              </w:rPr>
              <w:t>合计</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41"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77,347,000.00</w:t>
            </w:r>
            <w:r>
              <w:rPr>
                <w:rFonts w:ascii="Times New Roman"/>
                <w:sz w:val="15"/>
              </w:rPr>
            </w:r>
          </w:p>
        </w:tc>
        <w:tc>
          <w:tcPr>
            <w:tcW w:w="814"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77,347,000.00</w:t>
            </w:r>
            <w:r>
              <w:rPr>
                <w:rFonts w:ascii="Times New Roman"/>
                <w:sz w:val="15"/>
              </w:rPr>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27,347,000.00</w:t>
            </w:r>
            <w:r>
              <w:rPr>
                <w:rFonts w:ascii="Times New Roman"/>
                <w:spacing w:val="-1"/>
                <w:sz w:val="15"/>
              </w:rPr>
            </w:r>
          </w:p>
        </w:tc>
        <w:tc>
          <w:tcPr>
            <w:tcW w:w="824"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27,347,000.00</w:t>
            </w:r>
            <w:r>
              <w:rPr>
                <w:rFonts w:ascii="Times New Roman"/>
                <w:sz w:val="15"/>
              </w:rPr>
            </w:r>
          </w:p>
        </w:tc>
      </w:tr>
    </w:tbl>
    <w:p>
      <w:pPr>
        <w:spacing w:line="240" w:lineRule="auto" w:before="10"/>
        <w:rPr>
          <w:rFonts w:ascii="宋体" w:hAnsi="宋体" w:cs="宋体" w:eastAsia="宋体" w:hint="default"/>
          <w:b/>
          <w:bCs/>
          <w:sz w:val="24"/>
          <w:szCs w:val="24"/>
        </w:rPr>
      </w:pPr>
    </w:p>
    <w:p>
      <w:pPr>
        <w:pStyle w:val="BodyText"/>
        <w:spacing w:line="240" w:lineRule="auto" w:before="44"/>
        <w:ind w:left="720" w:right="0"/>
        <w:jc w:val="left"/>
      </w:pPr>
      <w:r>
        <w:rPr/>
        <w:t>（</w:t>
      </w:r>
      <w:r>
        <w:rPr>
          <w:rFonts w:ascii="Times New Roman" w:hAnsi="Times New Roman" w:cs="Times New Roman" w:eastAsia="Times New Roman" w:hint="default"/>
        </w:rPr>
        <w:t>2</w:t>
      </w:r>
      <w:r>
        <w:rPr/>
        <w:t>）期末按成本计量的可供出售金融资产</w:t>
      </w:r>
    </w:p>
    <w:p>
      <w:pPr>
        <w:spacing w:line="240" w:lineRule="auto" w:before="13"/>
        <w:rPr>
          <w:rFonts w:ascii="宋体" w:hAnsi="宋体" w:cs="宋体" w:eastAsia="宋体" w:hint="default"/>
          <w:sz w:val="16"/>
          <w:szCs w:val="16"/>
        </w:rPr>
      </w:pPr>
    </w:p>
    <w:p>
      <w:pPr>
        <w:pStyle w:val="Heading8"/>
        <w:spacing w:line="217" w:lineRule="exact" w:before="44"/>
        <w:ind w:left="3140" w:right="0"/>
        <w:jc w:val="center"/>
        <w:rPr>
          <w:b w:val="0"/>
          <w:bCs w:val="0"/>
        </w:rPr>
      </w:pPr>
      <w:r>
        <w:rPr/>
        <w:t>账面余额</w:t>
      </w:r>
      <w:r>
        <w:rPr>
          <w:b w:val="0"/>
          <w:bCs w:val="0"/>
        </w:rPr>
      </w:r>
    </w:p>
    <w:p>
      <w:pPr>
        <w:pStyle w:val="Heading8"/>
        <w:spacing w:line="200" w:lineRule="exact"/>
        <w:ind w:left="1711" w:right="0"/>
        <w:jc w:val="left"/>
        <w:rPr>
          <w:b w:val="0"/>
          <w:bCs w:val="0"/>
        </w:rPr>
      </w:pPr>
      <w:r>
        <w:rPr/>
        <w:t>项目</w:t>
      </w:r>
      <w:r>
        <w:rPr>
          <w:b w:val="0"/>
          <w:bCs w:val="0"/>
        </w:rPr>
      </w:r>
    </w:p>
    <w:p>
      <w:pPr>
        <w:pStyle w:val="Heading8"/>
        <w:tabs>
          <w:tab w:pos="4483" w:val="left" w:leader="none"/>
          <w:tab w:pos="5846" w:val="left" w:leader="none"/>
          <w:tab w:pos="7140" w:val="left" w:leader="none"/>
        </w:tabs>
        <w:spacing w:line="219" w:lineRule="exact"/>
        <w:ind w:left="3155" w:right="0"/>
        <w:jc w:val="center"/>
        <w:rPr>
          <w:b w:val="0"/>
          <w:bCs w:val="0"/>
        </w:rPr>
      </w:pPr>
      <w:r>
        <w:rPr>
          <w:w w:val="95"/>
        </w:rPr>
        <w:t>期初余额</w:t>
        <w:tab/>
        <w:t>本期增加</w:t>
        <w:tab/>
        <w:t>本期减少</w:t>
        <w:tab/>
      </w:r>
      <w:r>
        <w:rPr/>
        <w:t>期末余额</w:t>
      </w:r>
      <w:r>
        <w:rPr>
          <w:b w:val="0"/>
          <w:bCs w:val="0"/>
        </w:rPr>
      </w:r>
    </w:p>
    <w:p>
      <w:pPr>
        <w:spacing w:line="240" w:lineRule="auto" w:before="9"/>
        <w:rPr>
          <w:rFonts w:ascii="宋体" w:hAnsi="宋体" w:cs="宋体" w:eastAsia="宋体" w:hint="default"/>
          <w:b/>
          <w:bCs/>
          <w:sz w:val="6"/>
          <w:szCs w:val="6"/>
        </w:rPr>
      </w:pPr>
    </w:p>
    <w:p>
      <w:pPr>
        <w:spacing w:line="20" w:lineRule="exact"/>
        <w:ind w:left="247" w:right="0" w:firstLine="0"/>
        <w:rPr>
          <w:rFonts w:ascii="宋体" w:hAnsi="宋体" w:cs="宋体" w:eastAsia="宋体" w:hint="default"/>
          <w:sz w:val="2"/>
          <w:szCs w:val="2"/>
        </w:rPr>
      </w:pPr>
      <w:r>
        <w:rPr>
          <w:rFonts w:ascii="宋体" w:hAnsi="宋体" w:cs="宋体" w:eastAsia="宋体" w:hint="default"/>
          <w:sz w:val="2"/>
          <w:szCs w:val="2"/>
        </w:rPr>
        <w:pict>
          <v:group style="width:426.7pt;height:.5pt;mso-position-horizontal-relative:char;mso-position-vertical-relative:line" coordorigin="0,0" coordsize="8534,10">
            <v:group style="position:absolute;left:5;top:5;width:3282;height:2" coordorigin="5,5" coordsize="3282,2">
              <v:shape style="position:absolute;left:5;top:5;width:3282;height:2" coordorigin="5,5" coordsize="3282,0" path="m5,5l3286,5e" filled="false" stroked="true" strokeweight=".48004pt" strokecolor="#000000">
                <v:path arrowok="t"/>
              </v:shape>
            </v:group>
            <v:group style="position:absolute;left:3286;top:5;width:10;height:2" coordorigin="3286,5" coordsize="10,2">
              <v:shape style="position:absolute;left:3286;top:5;width:10;height:2" coordorigin="3286,5" coordsize="10,0" path="m3286,5l3296,5e" filled="false" stroked="true" strokeweight=".48004pt" strokecolor="#000000">
                <v:path arrowok="t"/>
              </v:shape>
            </v:group>
            <v:group style="position:absolute;left:3296;top:5;width:1260;height:2" coordorigin="3296,5" coordsize="1260,2">
              <v:shape style="position:absolute;left:3296;top:5;width:1260;height:2" coordorigin="3296,5" coordsize="1260,0" path="m3296,5l4556,5e" filled="false" stroked="true" strokeweight=".48004pt" strokecolor="#000000">
                <v:path arrowok="t"/>
              </v:shape>
            </v:group>
            <v:group style="position:absolute;left:4556;top:5;width:10;height:2" coordorigin="4556,5" coordsize="10,2">
              <v:shape style="position:absolute;left:4556;top:5;width:10;height:2" coordorigin="4556,5" coordsize="10,0" path="m4556,5l4565,5e" filled="false" stroked="true" strokeweight=".48004pt" strokecolor="#000000">
                <v:path arrowok="t"/>
              </v:shape>
            </v:group>
            <v:group style="position:absolute;left:4565;top:5;width:1376;height:2" coordorigin="4565,5" coordsize="1376,2">
              <v:shape style="position:absolute;left:4565;top:5;width:1376;height:2" coordorigin="4565,5" coordsize="1376,0" path="m4565,5l5941,5e" filled="false" stroked="true" strokeweight=".48004pt" strokecolor="#000000">
                <v:path arrowok="t"/>
              </v:shape>
            </v:group>
            <v:group style="position:absolute;left:5941;top:5;width:10;height:2" coordorigin="5941,5" coordsize="10,2">
              <v:shape style="position:absolute;left:5941;top:5;width:10;height:2" coordorigin="5941,5" coordsize="10,0" path="m5941,5l5951,5e" filled="false" stroked="true" strokeweight=".48004pt" strokecolor="#000000">
                <v:path arrowok="t"/>
              </v:shape>
            </v:group>
            <v:group style="position:absolute;left:5951;top:5;width:1335;height:2" coordorigin="5951,5" coordsize="1335,2">
              <v:shape style="position:absolute;left:5951;top:5;width:1335;height:2" coordorigin="5951,5" coordsize="1335,0" path="m5951,5l7285,5e" filled="false" stroked="true" strokeweight=".48004pt" strokecolor="#000000">
                <v:path arrowok="t"/>
              </v:shape>
            </v:group>
            <v:group style="position:absolute;left:7286;top:5;width:10;height:2" coordorigin="7286,5" coordsize="10,2">
              <v:shape style="position:absolute;left:7286;top:5;width:10;height:2" coordorigin="7286,5" coordsize="10,0" path="m7286,5l7295,5e" filled="false" stroked="true" strokeweight=".48004pt" strokecolor="#000000">
                <v:path arrowok="t"/>
              </v:shape>
            </v:group>
            <v:group style="position:absolute;left:7295;top:5;width:1234;height:2" coordorigin="7295,5" coordsize="1234,2">
              <v:shape style="position:absolute;left:7295;top:5;width:1234;height:2" coordorigin="7295,5" coordsize="1234,0" path="m7295,5l8529,5e" filled="false" stroked="true" strokeweight=".48004pt" strokecolor="#000000">
                <v:path arrowok="t"/>
              </v:shape>
            </v:group>
          </v:group>
        </w:pict>
      </w:r>
      <w:r>
        <w:rPr>
          <w:rFonts w:ascii="宋体" w:hAnsi="宋体" w:cs="宋体" w:eastAsia="宋体" w:hint="default"/>
          <w:sz w:val="2"/>
          <w:szCs w:val="2"/>
        </w:rPr>
      </w:r>
    </w:p>
    <w:p>
      <w:pPr>
        <w:pStyle w:val="BodyText"/>
        <w:tabs>
          <w:tab w:pos="4945" w:val="left" w:leader="none"/>
          <w:tab w:pos="7722" w:val="left" w:leader="none"/>
        </w:tabs>
        <w:spacing w:line="240" w:lineRule="auto" w:before="65"/>
        <w:ind w:left="360" w:right="0"/>
        <w:jc w:val="left"/>
        <w:rPr>
          <w:rFonts w:ascii="Times New Roman" w:hAnsi="Times New Roman" w:cs="Times New Roman" w:eastAsia="Times New Roman" w:hint="default"/>
        </w:rPr>
      </w:pPr>
      <w:r>
        <w:rPr/>
        <w:t>上海德天股权投资基金中</w:t>
      </w:r>
      <w:r>
        <w:rPr>
          <w:spacing w:val="-87"/>
        </w:rPr>
        <w:t>心</w:t>
      </w:r>
      <w:r>
        <w:rPr/>
        <w:t>（有限合伙） </w:t>
      </w:r>
      <w:r>
        <w:rPr>
          <w:spacing w:val="-3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tab/>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tab/>
      </w:r>
      <w:r>
        <w:rPr>
          <w:rFonts w:ascii="Times New Roman" w:hAnsi="Times New Roman" w:cs="Times New Roman" w:eastAsia="Times New Roman" w:hint="default"/>
          <w:spacing w:val="1"/>
        </w:rPr>
        <w:t>40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p>
    <w:p>
      <w:pPr>
        <w:spacing w:after="0" w:line="240" w:lineRule="auto"/>
        <w:jc w:val="left"/>
        <w:rPr>
          <w:rFonts w:ascii="Times New Roman" w:hAnsi="Times New Roman" w:cs="Times New Roman" w:eastAsia="Times New Roman" w:hint="default"/>
        </w:rPr>
        <w:sectPr>
          <w:pgSz w:w="11910" w:h="16840"/>
          <w:pgMar w:header="0" w:footer="979" w:top="1480" w:bottom="1160" w:left="1440" w:right="1300"/>
        </w:sectPr>
      </w:pPr>
    </w:p>
    <w:p>
      <w:pPr>
        <w:pStyle w:val="Heading8"/>
        <w:spacing w:line="217" w:lineRule="exact" w:before="17"/>
        <w:ind w:left="3280" w:right="0"/>
        <w:jc w:val="center"/>
        <w:rPr>
          <w:b w:val="0"/>
          <w:bCs w:val="0"/>
        </w:rPr>
      </w:pPr>
      <w:r>
        <w:rPr/>
        <w:t>账面余额</w:t>
      </w:r>
      <w:r>
        <w:rPr>
          <w:b w:val="0"/>
          <w:bCs w:val="0"/>
        </w:rPr>
      </w:r>
    </w:p>
    <w:p>
      <w:pPr>
        <w:pStyle w:val="Heading8"/>
        <w:spacing w:line="200" w:lineRule="exact"/>
        <w:ind w:left="1711" w:right="0"/>
        <w:jc w:val="left"/>
        <w:rPr>
          <w:b w:val="0"/>
          <w:bCs w:val="0"/>
        </w:rPr>
      </w:pPr>
      <w:r>
        <w:rPr/>
        <w:t>项目</w:t>
      </w:r>
      <w:r>
        <w:rPr>
          <w:b w:val="0"/>
          <w:bCs w:val="0"/>
        </w:rPr>
      </w:r>
    </w:p>
    <w:p>
      <w:pPr>
        <w:pStyle w:val="Heading8"/>
        <w:tabs>
          <w:tab w:pos="4623" w:val="left" w:leader="none"/>
          <w:tab w:pos="5986" w:val="left" w:leader="none"/>
          <w:tab w:pos="7280" w:val="left" w:leader="none"/>
        </w:tabs>
        <w:spacing w:line="219" w:lineRule="exact"/>
        <w:ind w:left="3295" w:right="0"/>
        <w:jc w:val="center"/>
        <w:rPr>
          <w:b w:val="0"/>
          <w:bCs w:val="0"/>
        </w:rPr>
      </w:pPr>
      <w:r>
        <w:rPr>
          <w:w w:val="95"/>
        </w:rPr>
        <w:t>期初余额</w:t>
        <w:tab/>
        <w:t>本期增加</w:t>
        <w:tab/>
        <w:t>本期减少</w:t>
        <w:tab/>
      </w:r>
      <w:r>
        <w:rPr/>
        <w:t>期末余额</w:t>
      </w:r>
      <w:r>
        <w:rPr>
          <w:b w:val="0"/>
          <w:bCs w:val="0"/>
        </w:rPr>
      </w:r>
    </w:p>
    <w:p>
      <w:pPr>
        <w:spacing w:line="240" w:lineRule="auto" w:before="9"/>
        <w:rPr>
          <w:rFonts w:ascii="宋体" w:hAnsi="宋体" w:cs="宋体" w:eastAsia="宋体" w:hint="default"/>
          <w:b/>
          <w:bCs/>
          <w:sz w:val="6"/>
          <w:szCs w:val="6"/>
        </w:rPr>
      </w:pPr>
    </w:p>
    <w:p>
      <w:pPr>
        <w:spacing w:line="20" w:lineRule="exact"/>
        <w:ind w:left="247" w:right="0" w:firstLine="0"/>
        <w:rPr>
          <w:rFonts w:ascii="宋体" w:hAnsi="宋体" w:cs="宋体" w:eastAsia="宋体" w:hint="default"/>
          <w:sz w:val="2"/>
          <w:szCs w:val="2"/>
        </w:rPr>
      </w:pPr>
      <w:r>
        <w:rPr>
          <w:rFonts w:ascii="宋体" w:hAnsi="宋体" w:cs="宋体" w:eastAsia="宋体" w:hint="default"/>
          <w:sz w:val="2"/>
          <w:szCs w:val="2"/>
        </w:rPr>
        <w:pict>
          <v:group style="width:426.7pt;height:.5pt;mso-position-horizontal-relative:char;mso-position-vertical-relative:line" coordorigin="0,0" coordsize="8534,10">
            <v:group style="position:absolute;left:5;top:5;width:3282;height:2" coordorigin="5,5" coordsize="3282,2">
              <v:shape style="position:absolute;left:5;top:5;width:3282;height:2" coordorigin="5,5" coordsize="3282,0" path="m5,5l3286,5e" filled="false" stroked="true" strokeweight=".48pt" strokecolor="#000000">
                <v:path arrowok="t"/>
              </v:shape>
            </v:group>
            <v:group style="position:absolute;left:3286;top:5;width:10;height:2" coordorigin="3286,5" coordsize="10,2">
              <v:shape style="position:absolute;left:3286;top:5;width:10;height:2" coordorigin="3286,5" coordsize="10,0" path="m3286,5l3296,5e" filled="false" stroked="true" strokeweight=".48pt" strokecolor="#000000">
                <v:path arrowok="t"/>
              </v:shape>
            </v:group>
            <v:group style="position:absolute;left:3296;top:5;width:1260;height:2" coordorigin="3296,5" coordsize="1260,2">
              <v:shape style="position:absolute;left:3296;top:5;width:1260;height:2" coordorigin="3296,5" coordsize="1260,0" path="m3296,5l4556,5e" filled="false" stroked="true" strokeweight=".48pt" strokecolor="#000000">
                <v:path arrowok="t"/>
              </v:shape>
            </v:group>
            <v:group style="position:absolute;left:4556;top:5;width:10;height:2" coordorigin="4556,5" coordsize="10,2">
              <v:shape style="position:absolute;left:4556;top:5;width:10;height:2" coordorigin="4556,5" coordsize="10,0" path="m4556,5l4565,5e" filled="false" stroked="true" strokeweight=".48pt" strokecolor="#000000">
                <v:path arrowok="t"/>
              </v:shape>
            </v:group>
            <v:group style="position:absolute;left:4565;top:5;width:1376;height:2" coordorigin="4565,5" coordsize="1376,2">
              <v:shape style="position:absolute;left:4565;top:5;width:1376;height:2" coordorigin="4565,5" coordsize="1376,0" path="m4565,5l5941,5e" filled="false" stroked="true" strokeweight=".48pt" strokecolor="#000000">
                <v:path arrowok="t"/>
              </v:shape>
            </v:group>
            <v:group style="position:absolute;left:5941;top:5;width:10;height:2" coordorigin="5941,5" coordsize="10,2">
              <v:shape style="position:absolute;left:5941;top:5;width:10;height:2" coordorigin="5941,5" coordsize="10,0" path="m5941,5l5951,5e" filled="false" stroked="true" strokeweight=".48pt" strokecolor="#000000">
                <v:path arrowok="t"/>
              </v:shape>
            </v:group>
            <v:group style="position:absolute;left:5951;top:5;width:1335;height:2" coordorigin="5951,5" coordsize="1335,2">
              <v:shape style="position:absolute;left:5951;top:5;width:1335;height:2" coordorigin="5951,5" coordsize="1335,0" path="m5951,5l7285,5e" filled="false" stroked="true" strokeweight=".48pt" strokecolor="#000000">
                <v:path arrowok="t"/>
              </v:shape>
            </v:group>
            <v:group style="position:absolute;left:7286;top:5;width:10;height:2" coordorigin="7286,5" coordsize="10,2">
              <v:shape style="position:absolute;left:7286;top:5;width:10;height:2" coordorigin="7286,5" coordsize="10,0" path="m7286,5l7295,5e" filled="false" stroked="true" strokeweight=".48pt" strokecolor="#000000">
                <v:path arrowok="t"/>
              </v:shape>
            </v:group>
            <v:group style="position:absolute;left:7295;top:5;width:1234;height:2" coordorigin="7295,5" coordsize="1234,2">
              <v:shape style="position:absolute;left:7295;top:5;width:1234;height:2" coordorigin="7295,5" coordsize="1234,0" path="m7295,5l8529,5e" filled="false" stroked="true" strokeweight=".48pt" strokecolor="#000000">
                <v:path arrowok="t"/>
              </v:shape>
            </v:group>
          </v:group>
        </w:pict>
      </w:r>
      <w:r>
        <w:rPr>
          <w:rFonts w:ascii="宋体" w:hAnsi="宋体" w:cs="宋体" w:eastAsia="宋体" w:hint="default"/>
          <w:sz w:val="2"/>
          <w:szCs w:val="2"/>
        </w:rPr>
      </w:r>
    </w:p>
    <w:p>
      <w:pPr>
        <w:pStyle w:val="BodyText"/>
        <w:tabs>
          <w:tab w:pos="3749" w:val="left" w:leader="none"/>
          <w:tab w:pos="7811" w:val="left" w:leader="none"/>
        </w:tabs>
        <w:spacing w:line="240" w:lineRule="auto" w:before="109"/>
        <w:ind w:left="360" w:right="0"/>
        <w:jc w:val="left"/>
        <w:rPr>
          <w:rFonts w:ascii="Times New Roman" w:hAnsi="Times New Roman" w:cs="Times New Roman" w:eastAsia="Times New Roman" w:hint="default"/>
        </w:rPr>
      </w:pPr>
      <w:r>
        <w:rPr>
          <w:rFonts w:ascii="Times New Roman"/>
          <w:spacing w:val="-1"/>
        </w:rPr>
        <w:t>KEYROUTE</w:t>
      </w:r>
      <w:r>
        <w:rPr>
          <w:rFonts w:ascii="Times New Roman"/>
        </w:rPr>
        <w:t> </w:t>
      </w:r>
      <w:r>
        <w:rPr>
          <w:rFonts w:ascii="Times New Roman"/>
          <w:spacing w:val="-1"/>
        </w:rPr>
        <w:t>GAMES</w:t>
      </w:r>
      <w:r>
        <w:rPr>
          <w:rFonts w:ascii="Times New Roman"/>
          <w:spacing w:val="16"/>
        </w:rPr>
        <w:t> </w:t>
      </w:r>
      <w:r>
        <w:rPr>
          <w:rFonts w:ascii="Times New Roman"/>
          <w:spacing w:val="-1"/>
        </w:rPr>
        <w:t>CO.,LIMITED</w:t>
        <w:tab/>
        <w:t>7,347,000.00</w:t>
        <w:tab/>
        <w:t>7,347,000.00</w:t>
      </w:r>
    </w:p>
    <w:p>
      <w:pPr>
        <w:spacing w:line="240" w:lineRule="auto" w:before="1"/>
        <w:rPr>
          <w:rFonts w:ascii="Times New Roman" w:hAnsi="Times New Roman" w:cs="Times New Roman" w:eastAsia="Times New Roman" w:hint="default"/>
          <w:sz w:val="9"/>
          <w:szCs w:val="9"/>
        </w:rPr>
      </w:pPr>
    </w:p>
    <w:p>
      <w:pPr>
        <w:pStyle w:val="BodyText"/>
        <w:tabs>
          <w:tab w:pos="4945" w:val="left" w:leader="none"/>
          <w:tab w:pos="7722" w:val="left" w:leader="none"/>
        </w:tabs>
        <w:spacing w:line="240" w:lineRule="auto" w:before="44"/>
        <w:ind w:left="360" w:right="0"/>
        <w:jc w:val="left"/>
        <w:rPr>
          <w:rFonts w:ascii="Times New Roman" w:hAnsi="Times New Roman" w:cs="Times New Roman" w:eastAsia="Times New Roman" w:hint="default"/>
        </w:rPr>
      </w:pPr>
      <w:r>
        <w:rPr/>
        <w:t>北京初见科技有限公司</w:t>
        <w:tab/>
      </w:r>
      <w:r>
        <w:rPr>
          <w:rFonts w:ascii="Times New Roman" w:hAnsi="Times New Roman" w:cs="Times New Roman" w:eastAsia="Times New Roman" w:hint="default"/>
          <w:spacing w:val="-1"/>
        </w:rPr>
        <w:t>30,000,000.00</w:t>
        <w:tab/>
        <w:t>30,000,000.00</w:t>
      </w:r>
    </w:p>
    <w:p>
      <w:pPr>
        <w:pStyle w:val="BodyText"/>
        <w:tabs>
          <w:tab w:pos="3660" w:val="left" w:leader="none"/>
          <w:tab w:pos="4945" w:val="left" w:leader="none"/>
          <w:tab w:pos="7722" w:val="left" w:leader="none"/>
        </w:tabs>
        <w:spacing w:line="240" w:lineRule="auto" w:before="151"/>
        <w:ind w:left="1711" w:right="0"/>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rPr>
      </w:r>
      <w:r>
        <w:rPr>
          <w:rFonts w:ascii="Times New Roman" w:hAnsi="Times New Roman" w:cs="Times New Roman" w:eastAsia="Times New Roman" w:hint="default"/>
          <w:spacing w:val="-1"/>
          <w:u w:val="thick" w:color="000000"/>
        </w:rPr>
        <w:t>27,347,000.00</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50,000,000.00</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77,347,000.00</w:t>
      </w:r>
      <w:r>
        <w:rPr>
          <w:rFonts w:ascii="Times New Roman" w:hAnsi="Times New Roman" w:cs="Times New Roman" w:eastAsia="Times New Roman" w:hint="default"/>
          <w:spacing w:val="-1"/>
        </w:rPr>
      </w:r>
    </w:p>
    <w:p>
      <w:pPr>
        <w:spacing w:line="240" w:lineRule="auto" w:before="0"/>
        <w:rPr>
          <w:rFonts w:ascii="Times New Roman" w:hAnsi="Times New Roman" w:cs="Times New Roman" w:eastAsia="Times New Roman" w:hint="default"/>
          <w:sz w:val="20"/>
          <w:szCs w:val="20"/>
        </w:rPr>
      </w:pPr>
    </w:p>
    <w:p>
      <w:pPr>
        <w:pStyle w:val="Heading6"/>
        <w:spacing w:line="240" w:lineRule="auto" w:before="167"/>
        <w:ind w:left="780" w:right="0"/>
        <w:jc w:val="left"/>
      </w:pPr>
      <w:r>
        <w:rPr/>
        <w:t>接上表：</w:t>
      </w:r>
    </w:p>
    <w:p>
      <w:pPr>
        <w:spacing w:line="240" w:lineRule="auto" w:before="2"/>
        <w:rPr>
          <w:rFonts w:ascii="宋体" w:hAnsi="宋体" w:cs="宋体" w:eastAsia="宋体"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1231"/>
        <w:gridCol w:w="1233"/>
        <w:gridCol w:w="1233"/>
        <w:gridCol w:w="3660"/>
        <w:gridCol w:w="1441"/>
      </w:tblGrid>
      <w:tr>
        <w:trPr>
          <w:trHeight w:val="191" w:hRule="exact"/>
        </w:trPr>
        <w:tc>
          <w:tcPr>
            <w:tcW w:w="8798"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left="210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r>
      <w:tr>
        <w:trPr>
          <w:trHeight w:val="206" w:hRule="exact"/>
        </w:trPr>
        <w:tc>
          <w:tcPr>
            <w:tcW w:w="1231"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3660" w:type="dxa"/>
            <w:tcBorders>
              <w:top w:val="nil" w:sz="6" w:space="0" w:color="auto"/>
              <w:left w:val="nil" w:sz="6" w:space="0" w:color="auto"/>
              <w:bottom w:val="nil" w:sz="6" w:space="0" w:color="auto"/>
              <w:right w:val="nil" w:sz="6" w:space="0" w:color="auto"/>
            </w:tcBorders>
          </w:tcPr>
          <w:p>
            <w:pPr>
              <w:pStyle w:val="TableParagraph"/>
              <w:spacing w:line="204" w:lineRule="exact"/>
              <w:ind w:left="138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在被投资单位持股比例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41" w:type="dxa"/>
            <w:tcBorders>
              <w:top w:val="nil" w:sz="6" w:space="0" w:color="auto"/>
              <w:left w:val="nil" w:sz="6" w:space="0" w:color="auto"/>
              <w:bottom w:val="nil" w:sz="6" w:space="0" w:color="auto"/>
              <w:right w:val="nil" w:sz="6" w:space="0" w:color="auto"/>
            </w:tcBorders>
          </w:tcPr>
          <w:p>
            <w:pPr>
              <w:pStyle w:val="TableParagraph"/>
              <w:spacing w:line="191"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本期现金红利</w:t>
            </w:r>
            <w:r>
              <w:rPr>
                <w:rFonts w:ascii="宋体" w:hAnsi="宋体" w:cs="宋体" w:eastAsia="宋体" w:hint="default"/>
                <w:sz w:val="18"/>
                <w:szCs w:val="18"/>
              </w:rPr>
            </w:r>
          </w:p>
        </w:tc>
      </w:tr>
      <w:tr>
        <w:trPr>
          <w:trHeight w:val="280" w:hRule="exact"/>
        </w:trPr>
        <w:tc>
          <w:tcPr>
            <w:tcW w:w="1231" w:type="dxa"/>
            <w:tcBorders>
              <w:top w:val="nil" w:sz="6" w:space="0" w:color="auto"/>
              <w:left w:val="nil" w:sz="6" w:space="0" w:color="auto"/>
              <w:bottom w:val="single" w:sz="4" w:space="0" w:color="000000"/>
              <w:right w:val="nil" w:sz="6" w:space="0" w:color="auto"/>
            </w:tcBorders>
          </w:tcPr>
          <w:p>
            <w:pPr>
              <w:pStyle w:val="TableParagraph"/>
              <w:spacing w:line="185" w:lineRule="exact"/>
              <w:ind w:left="25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233" w:type="dxa"/>
            <w:tcBorders>
              <w:top w:val="nil" w:sz="6" w:space="0" w:color="auto"/>
              <w:left w:val="nil" w:sz="6" w:space="0" w:color="auto"/>
              <w:bottom w:val="single" w:sz="4" w:space="0" w:color="000000"/>
              <w:right w:val="nil" w:sz="6" w:space="0" w:color="auto"/>
            </w:tcBorders>
          </w:tcPr>
          <w:p>
            <w:pPr>
              <w:pStyle w:val="TableParagraph"/>
              <w:spacing w:line="185" w:lineRule="exact"/>
              <w:ind w:left="25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33" w:type="dxa"/>
            <w:tcBorders>
              <w:top w:val="nil" w:sz="6" w:space="0" w:color="auto"/>
              <w:left w:val="nil" w:sz="6" w:space="0" w:color="auto"/>
              <w:bottom w:val="single" w:sz="4" w:space="0" w:color="000000"/>
              <w:right w:val="nil" w:sz="6" w:space="0" w:color="auto"/>
            </w:tcBorders>
          </w:tcPr>
          <w:p>
            <w:pPr>
              <w:pStyle w:val="TableParagraph"/>
              <w:spacing w:line="185" w:lineRule="exact"/>
              <w:ind w:left="25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3660" w:type="dxa"/>
            <w:tcBorders>
              <w:top w:val="nil" w:sz="6" w:space="0" w:color="auto"/>
              <w:left w:val="nil" w:sz="6" w:space="0" w:color="auto"/>
              <w:bottom w:val="single" w:sz="4" w:space="0" w:color="000000"/>
              <w:right w:val="nil" w:sz="6" w:space="0" w:color="auto"/>
            </w:tcBorders>
          </w:tcPr>
          <w:p>
            <w:pPr>
              <w:pStyle w:val="TableParagraph"/>
              <w:spacing w:line="185" w:lineRule="exact"/>
              <w:ind w:left="25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41" w:type="dxa"/>
            <w:tcBorders>
              <w:top w:val="nil" w:sz="6" w:space="0" w:color="auto"/>
              <w:left w:val="nil" w:sz="6" w:space="0" w:color="auto"/>
              <w:bottom w:val="single" w:sz="4" w:space="0" w:color="000000"/>
              <w:right w:val="nil" w:sz="6" w:space="0" w:color="auto"/>
            </w:tcBorders>
          </w:tcPr>
          <w:p>
            <w:pPr/>
          </w:p>
        </w:tc>
      </w:tr>
      <w:tr>
        <w:trPr>
          <w:trHeight w:val="435" w:hRule="exact"/>
        </w:trPr>
        <w:tc>
          <w:tcPr>
            <w:tcW w:w="1231" w:type="dxa"/>
            <w:tcBorders>
              <w:top w:val="single" w:sz="4" w:space="0" w:color="000000"/>
              <w:left w:val="nil" w:sz="6" w:space="0" w:color="auto"/>
              <w:bottom w:val="nil" w:sz="6" w:space="0" w:color="auto"/>
              <w:right w:val="nil" w:sz="6" w:space="0" w:color="auto"/>
            </w:tcBorders>
          </w:tcPr>
          <w:p>
            <w:pPr/>
          </w:p>
        </w:tc>
        <w:tc>
          <w:tcPr>
            <w:tcW w:w="1233" w:type="dxa"/>
            <w:tcBorders>
              <w:top w:val="single" w:sz="4" w:space="0" w:color="000000"/>
              <w:left w:val="nil" w:sz="6" w:space="0" w:color="auto"/>
              <w:bottom w:val="nil" w:sz="6" w:space="0" w:color="auto"/>
              <w:right w:val="nil" w:sz="6" w:space="0" w:color="auto"/>
            </w:tcBorders>
          </w:tcPr>
          <w:p>
            <w:pPr/>
          </w:p>
        </w:tc>
        <w:tc>
          <w:tcPr>
            <w:tcW w:w="1233" w:type="dxa"/>
            <w:tcBorders>
              <w:top w:val="single" w:sz="4" w:space="0" w:color="000000"/>
              <w:left w:val="nil" w:sz="6" w:space="0" w:color="auto"/>
              <w:bottom w:val="nil" w:sz="6" w:space="0" w:color="auto"/>
              <w:right w:val="nil" w:sz="6" w:space="0" w:color="auto"/>
            </w:tcBorders>
          </w:tcPr>
          <w:p>
            <w:pPr/>
          </w:p>
        </w:tc>
        <w:tc>
          <w:tcPr>
            <w:tcW w:w="366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2234" w:right="0"/>
              <w:jc w:val="left"/>
              <w:rPr>
                <w:rFonts w:ascii="Times New Roman" w:hAnsi="Times New Roman" w:cs="Times New Roman" w:eastAsia="Times New Roman" w:hint="default"/>
                <w:sz w:val="18"/>
                <w:szCs w:val="18"/>
              </w:rPr>
            </w:pPr>
            <w:r>
              <w:rPr>
                <w:rFonts w:ascii="Times New Roman"/>
                <w:sz w:val="18"/>
              </w:rPr>
              <w:t>40.00</w:t>
            </w: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08"/>
              <w:jc w:val="right"/>
              <w:rPr>
                <w:rFonts w:ascii="Times New Roman" w:hAnsi="Times New Roman" w:cs="Times New Roman" w:eastAsia="Times New Roman" w:hint="default"/>
                <w:sz w:val="18"/>
                <w:szCs w:val="18"/>
              </w:rPr>
            </w:pPr>
            <w:r>
              <w:rPr>
                <w:rFonts w:ascii="Times New Roman"/>
                <w:spacing w:val="-1"/>
                <w:sz w:val="18"/>
              </w:rPr>
              <w:t>231,992.94</w:t>
            </w:r>
          </w:p>
        </w:tc>
      </w:tr>
      <w:tr>
        <w:trPr>
          <w:trHeight w:val="400" w:hRule="exact"/>
        </w:trPr>
        <w:tc>
          <w:tcPr>
            <w:tcW w:w="1231"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366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234" w:right="0"/>
              <w:jc w:val="left"/>
              <w:rPr>
                <w:rFonts w:ascii="Times New Roman" w:hAnsi="Times New Roman" w:cs="Times New Roman" w:eastAsia="Times New Roman" w:hint="default"/>
                <w:sz w:val="18"/>
                <w:szCs w:val="18"/>
              </w:rPr>
            </w:pPr>
            <w:r>
              <w:rPr>
                <w:rFonts w:ascii="Times New Roman"/>
                <w:sz w:val="18"/>
              </w:rPr>
              <w:t>25.00</w:t>
            </w:r>
          </w:p>
        </w:tc>
        <w:tc>
          <w:tcPr>
            <w:tcW w:w="1441" w:type="dxa"/>
            <w:tcBorders>
              <w:top w:val="nil" w:sz="6" w:space="0" w:color="auto"/>
              <w:left w:val="nil" w:sz="6" w:space="0" w:color="auto"/>
              <w:bottom w:val="nil" w:sz="6" w:space="0" w:color="auto"/>
              <w:right w:val="nil" w:sz="6" w:space="0" w:color="auto"/>
            </w:tcBorders>
          </w:tcPr>
          <w:p>
            <w:pPr/>
          </w:p>
        </w:tc>
      </w:tr>
      <w:tr>
        <w:trPr>
          <w:trHeight w:val="401" w:hRule="exact"/>
        </w:trPr>
        <w:tc>
          <w:tcPr>
            <w:tcW w:w="1231"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366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234" w:right="0"/>
              <w:jc w:val="left"/>
              <w:rPr>
                <w:rFonts w:ascii="Times New Roman" w:hAnsi="Times New Roman" w:cs="Times New Roman" w:eastAsia="Times New Roman" w:hint="default"/>
                <w:sz w:val="18"/>
                <w:szCs w:val="18"/>
              </w:rPr>
            </w:pPr>
            <w:r>
              <w:rPr>
                <w:rFonts w:ascii="Times New Roman"/>
                <w:sz w:val="18"/>
              </w:rPr>
              <w:t>15.00</w:t>
            </w:r>
          </w:p>
        </w:tc>
        <w:tc>
          <w:tcPr>
            <w:tcW w:w="1441" w:type="dxa"/>
            <w:tcBorders>
              <w:top w:val="nil" w:sz="6" w:space="0" w:color="auto"/>
              <w:left w:val="nil" w:sz="6" w:space="0" w:color="auto"/>
              <w:bottom w:val="nil" w:sz="6" w:space="0" w:color="auto"/>
              <w:right w:val="nil" w:sz="6" w:space="0" w:color="auto"/>
            </w:tcBorders>
          </w:tcPr>
          <w:p>
            <w:pPr/>
          </w:p>
        </w:tc>
      </w:tr>
      <w:tr>
        <w:trPr>
          <w:trHeight w:val="290" w:hRule="exact"/>
        </w:trPr>
        <w:tc>
          <w:tcPr>
            <w:tcW w:w="1231"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366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231,992.94</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350" w:lineRule="auto" w:before="44"/>
        <w:ind w:left="360" w:right="252" w:firstLine="359"/>
        <w:jc w:val="left"/>
      </w:pPr>
      <w:r>
        <w:rPr/>
        <w:t>注</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Times New Roman" w:hAnsi="Times New Roman" w:cs="Times New Roman" w:eastAsia="Times New Roman" w:hint="default"/>
        </w:rPr>
        <w:t>2014 </w:t>
      </w:r>
      <w:r>
        <w:rPr/>
        <w:t>年</w:t>
      </w:r>
      <w:r>
        <w:rPr>
          <w:spacing w:val="-44"/>
        </w:rPr>
        <w:t> </w:t>
      </w:r>
      <w:r>
        <w:rPr>
          <w:rFonts w:ascii="Times New Roman" w:hAnsi="Times New Roman" w:cs="Times New Roman" w:eastAsia="Times New Roman" w:hint="default"/>
        </w:rPr>
        <w:t>6 </w:t>
      </w:r>
      <w:r>
        <w:rPr/>
        <w:t>月</w:t>
      </w:r>
      <w:r>
        <w:rPr>
          <w:spacing w:val="-44"/>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spacing w:val="-5"/>
        </w:rPr>
        <w:t>日本公司与德同（北京）投资管理有限公司、上海德同共盈股权投资基金中心（有</w:t>
      </w:r>
      <w:r>
        <w:rPr/>
        <w:t> </w:t>
      </w:r>
      <w:r>
        <w:rPr>
          <w:spacing w:val="-4"/>
        </w:rPr>
        <w:t>限合伙）共同发起设立产业基金上海德天股权投资基金中心（有限合伙）。德天基金设立目标规模为人民币</w:t>
      </w:r>
      <w:r>
        <w:rPr>
          <w:spacing w:val="-58"/>
        </w:rPr>
        <w:t> </w:t>
      </w:r>
      <w:r>
        <w:rPr>
          <w:spacing w:val="-58"/>
        </w:rPr>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亿元，合伙企业存续期为</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年，普通合伙人可以自行决定将存续期限延长两次，每次</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年。德同（北京） </w:t>
      </w:r>
      <w:r>
        <w:rPr>
          <w:spacing w:val="-4"/>
          <w:w w:val="99"/>
        </w:rPr>
        <w:t>投资管理有限公司作为合伙企业的普通合伙人（</w:t>
      </w:r>
      <w:r>
        <w:rPr>
          <w:rFonts w:ascii="Times New Roman" w:hAnsi="Times New Roman" w:cs="Times New Roman" w:eastAsia="Times New Roman" w:hint="default"/>
          <w:spacing w:val="-4"/>
          <w:w w:val="99"/>
        </w:rPr>
        <w:t>GP</w:t>
      </w:r>
      <w:r>
        <w:rPr>
          <w:spacing w:val="-4"/>
          <w:w w:val="99"/>
        </w:rPr>
        <w:t>），出资人民币</w:t>
      </w:r>
      <w:r>
        <w:rPr>
          <w:spacing w:val="-35"/>
          <w:w w:val="99"/>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10"/>
        </w:rPr>
        <w:t> </w:t>
      </w:r>
      <w:r>
        <w:rPr>
          <w:spacing w:val="-1"/>
        </w:rPr>
        <w:t>万元，占合伙企业出资总额的</w:t>
      </w:r>
      <w:r>
        <w:rPr>
          <w:spacing w:val="-35"/>
        </w:rPr>
        <w:t> </w:t>
      </w:r>
      <w:r>
        <w:rPr>
          <w:rFonts w:ascii="Times New Roman" w:hAnsi="Times New Roman" w:cs="Times New Roman" w:eastAsia="Times New Roman" w:hint="default"/>
          <w:spacing w:val="-1"/>
        </w:rPr>
        <w:t>1%</w:t>
      </w:r>
      <w:r>
        <w:rPr>
          <w:spacing w:val="-1"/>
        </w:rPr>
        <w:t>，</w:t>
      </w:r>
      <w:r>
        <w:rPr>
          <w:spacing w:val="-78"/>
        </w:rPr>
        <w:t> </w:t>
      </w:r>
      <w:r>
        <w:rPr/>
        <w:t>本公司作为合伙企业的有限合伙人，出资人民币</w:t>
      </w:r>
      <w:r>
        <w:rPr>
          <w:spacing w:val="-46"/>
        </w:rPr>
        <w:t> </w:t>
      </w:r>
      <w:r>
        <w:rPr>
          <w:rFonts w:ascii="Times New Roman" w:hAnsi="Times New Roman" w:cs="Times New Roman" w:eastAsia="Times New Roman" w:hint="default"/>
        </w:rPr>
        <w:t>4,000 </w:t>
      </w:r>
      <w:r>
        <w:rPr/>
        <w:t>万元，占合伙企业出资总额的</w:t>
      </w:r>
      <w:r>
        <w:rPr>
          <w:spacing w:val="-47"/>
        </w:rPr>
        <w:t> </w:t>
      </w:r>
      <w:r>
        <w:rPr>
          <w:rFonts w:ascii="Times New Roman" w:hAnsi="Times New Roman" w:cs="Times New Roman" w:eastAsia="Times New Roman" w:hint="default"/>
        </w:rPr>
        <w:t>40%</w:t>
      </w:r>
      <w:r>
        <w:rPr/>
        <w:t>，上海德同共盈 </w:t>
      </w:r>
      <w:r>
        <w:rPr>
          <w:spacing w:val="-3"/>
        </w:rPr>
        <w:t>股权投资基金中心（有限合伙）作为有限合伙人，出资</w:t>
      </w:r>
      <w:r>
        <w:rPr>
          <w:spacing w:val="-43"/>
        </w:rPr>
        <w:t> </w:t>
      </w:r>
      <w:r>
        <w:rPr>
          <w:rFonts w:ascii="Times New Roman" w:hAnsi="Times New Roman" w:cs="Times New Roman" w:eastAsia="Times New Roman" w:hint="default"/>
        </w:rPr>
        <w:t>5900</w:t>
      </w:r>
      <w:r>
        <w:rPr>
          <w:rFonts w:ascii="Times New Roman" w:hAnsi="Times New Roman" w:cs="Times New Roman" w:eastAsia="Times New Roman" w:hint="default"/>
          <w:spacing w:val="2"/>
        </w:rPr>
        <w:t> </w:t>
      </w:r>
      <w:r>
        <w:rPr/>
        <w:t>万元，占合伙企业出资总额的</w:t>
      </w:r>
      <w:r>
        <w:rPr>
          <w:spacing w:val="-42"/>
        </w:rPr>
        <w:t> </w:t>
      </w:r>
      <w:r>
        <w:rPr>
          <w:rFonts w:ascii="Times New Roman" w:hAnsi="Times New Roman" w:cs="Times New Roman" w:eastAsia="Times New Roman" w:hint="default"/>
          <w:spacing w:val="-3"/>
        </w:rPr>
        <w:t>59%</w:t>
      </w:r>
      <w:r>
        <w:rPr>
          <w:spacing w:val="-3"/>
        </w:rPr>
        <w:t>。各合伙人</w:t>
      </w:r>
      <w:r>
        <w:rPr>
          <w:spacing w:val="-86"/>
        </w:rPr>
        <w:t> </w:t>
      </w:r>
      <w:r>
        <w:rPr>
          <w:spacing w:val="-86"/>
        </w:rPr>
      </w:r>
      <w:r>
        <w:rPr/>
        <w:t>首次交割中的首期出资均为其认缴出资额的</w:t>
      </w:r>
      <w:r>
        <w:rPr>
          <w:spacing w:val="-46"/>
        </w:rPr>
        <w:t> </w:t>
      </w:r>
      <w:r>
        <w:rPr>
          <w:rFonts w:ascii="Times New Roman" w:hAnsi="Times New Roman" w:cs="Times New Roman" w:eastAsia="Times New Roman" w:hint="default"/>
        </w:rPr>
        <w:t>50%</w:t>
      </w:r>
      <w:r>
        <w:rPr/>
        <w:t>，剩余</w:t>
      </w:r>
      <w:r>
        <w:rPr>
          <w:spacing w:val="-47"/>
        </w:rPr>
        <w:t> </w:t>
      </w:r>
      <w:r>
        <w:rPr>
          <w:rFonts w:ascii="Times New Roman" w:hAnsi="Times New Roman" w:cs="Times New Roman" w:eastAsia="Times New Roman" w:hint="default"/>
        </w:rPr>
        <w:t>50%</w:t>
      </w:r>
      <w:r>
        <w:rPr/>
        <w:t>的认缴出资额将按照资金使用需要按期缴付到 </w:t>
      </w:r>
      <w:r>
        <w:rPr>
          <w:spacing w:val="-3"/>
        </w:rPr>
        <w:t>位，本期公司支付</w:t>
      </w:r>
      <w:r>
        <w:rPr>
          <w:spacing w:val="-57"/>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0"/>
        </w:rPr>
        <w:t> </w:t>
      </w:r>
      <w:r>
        <w:rPr/>
        <w:t>万元。根据有限合伙合同约定，本公司作为有限合伙人不得执行合伙事务，对合伙 企业不具有控制、共同控制、重大影响，本公司将该项投资列入了可供出售金融资产核算。</w:t>
      </w:r>
    </w:p>
    <w:p>
      <w:pPr>
        <w:spacing w:line="240" w:lineRule="auto" w:before="1"/>
        <w:rPr>
          <w:rFonts w:ascii="宋体" w:hAnsi="宋体" w:cs="宋体" w:eastAsia="宋体" w:hint="default"/>
          <w:sz w:val="15"/>
          <w:szCs w:val="15"/>
        </w:rPr>
      </w:pPr>
    </w:p>
    <w:p>
      <w:pPr>
        <w:pStyle w:val="BodyText"/>
        <w:spacing w:line="240" w:lineRule="auto"/>
        <w:ind w:left="720" w:right="0"/>
        <w:jc w:val="left"/>
      </w:pPr>
      <w:r>
        <w:rPr/>
        <w:t>注</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t>日，天舟文化公司与北京初见科技有限公司（简称</w:t>
      </w:r>
      <w:r>
        <w:rPr>
          <w:rFonts w:ascii="Times New Roman" w:hAnsi="Times New Roman" w:cs="Times New Roman" w:eastAsia="Times New Roman" w:hint="default"/>
        </w:rPr>
        <w:t>“</w:t>
      </w:r>
      <w:r>
        <w:rPr/>
        <w:t>初见科技</w:t>
      </w:r>
      <w:r>
        <w:rPr>
          <w:rFonts w:ascii="Times New Roman" w:hAnsi="Times New Roman" w:cs="Times New Roman" w:eastAsia="Times New Roman" w:hint="default"/>
        </w:rPr>
        <w:t>”</w:t>
      </w:r>
      <w:r>
        <w:rPr/>
        <w:t>）及其原股东签订</w:t>
      </w:r>
    </w:p>
    <w:p>
      <w:pPr>
        <w:pStyle w:val="BodyText"/>
        <w:spacing w:line="240" w:lineRule="auto" w:before="111"/>
        <w:ind w:left="360" w:right="0"/>
        <w:jc w:val="left"/>
      </w:pPr>
      <w:r>
        <w:rPr/>
        <w:t>了《增资扩股协议书</w:t>
      </w:r>
      <w:r>
        <w:rPr>
          <w:spacing w:val="-92"/>
        </w:rPr>
        <w:t>》</w:t>
      </w:r>
      <w:r>
        <w:rPr/>
        <w:t>，预估</w:t>
      </w:r>
      <w:r>
        <w:rPr>
          <w:spacing w:val="2"/>
        </w:rPr>
        <w:t>本</w:t>
      </w:r>
      <w:r>
        <w:rPr/>
        <w:t>次增资后初见科技的总价值为</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亿，天舟文化公司对初见</w:t>
      </w:r>
      <w:r>
        <w:rPr>
          <w:spacing w:val="-3"/>
        </w:rPr>
        <w:t>科</w:t>
      </w:r>
      <w:r>
        <w:rPr/>
        <w:t>技的增资合计</w:t>
      </w:r>
    </w:p>
    <w:p>
      <w:pPr>
        <w:pStyle w:val="BodyText"/>
        <w:spacing w:line="240" w:lineRule="auto" w:before="111"/>
        <w:ind w:left="360" w:right="0"/>
        <w:jc w:val="left"/>
        <w:rPr>
          <w:rFonts w:ascii="Times New Roman" w:hAnsi="Times New Roman" w:cs="Times New Roman" w:eastAsia="Times New Roman" w:hint="default"/>
        </w:rPr>
      </w:pPr>
      <w:r>
        <w:rPr>
          <w:rFonts w:ascii="Times New Roman" w:hAnsi="Times New Roman" w:cs="Times New Roman" w:eastAsia="Times New Roman" w:hint="default"/>
        </w:rPr>
        <w:t>6000 </w:t>
      </w:r>
      <w:r>
        <w:rPr/>
        <w:t>万元，占股比例为</w:t>
      </w:r>
      <w:r>
        <w:rPr>
          <w:spacing w:val="-48"/>
        </w:rPr>
        <w:t> </w:t>
      </w:r>
      <w:r>
        <w:rPr>
          <w:rFonts w:ascii="Times New Roman" w:hAnsi="Times New Roman" w:cs="Times New Roman" w:eastAsia="Times New Roman" w:hint="default"/>
        </w:rPr>
        <w:t>15%</w:t>
      </w:r>
      <w:r>
        <w:rPr/>
        <w:t>。投资款项分两次支付，协议签订生效后</w:t>
      </w:r>
      <w:r>
        <w:rPr>
          <w:spacing w:val="-46"/>
        </w:rPr>
        <w:t> </w:t>
      </w:r>
      <w:r>
        <w:rPr>
          <w:rFonts w:ascii="Times New Roman" w:hAnsi="Times New Roman" w:cs="Times New Roman" w:eastAsia="Times New Roman" w:hint="default"/>
        </w:rPr>
        <w:t>5 </w:t>
      </w:r>
      <w:r>
        <w:rPr/>
        <w:t>个工作日内支付第一笔款项</w:t>
      </w:r>
      <w:r>
        <w:rPr>
          <w:spacing w:val="-45"/>
        </w:rPr>
        <w:t> </w:t>
      </w:r>
      <w:r>
        <w:rPr>
          <w:rFonts w:ascii="Times New Roman" w:hAnsi="Times New Roman" w:cs="Times New Roman" w:eastAsia="Times New Roman" w:hint="default"/>
        </w:rPr>
        <w:t>3000</w:t>
      </w:r>
    </w:p>
    <w:p>
      <w:pPr>
        <w:pStyle w:val="BodyText"/>
        <w:spacing w:line="240" w:lineRule="auto" w:before="111"/>
        <w:ind w:left="360" w:right="0"/>
        <w:jc w:val="left"/>
      </w:pPr>
      <w:r>
        <w:rPr>
          <w:spacing w:val="-6"/>
        </w:rPr>
        <w:t>万元，支付首笔增资款后</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个工作日内初见科技应办理本次增资所涉及的工商登记手续并登记天舟文化公</w:t>
      </w:r>
    </w:p>
    <w:p>
      <w:pPr>
        <w:pStyle w:val="BodyText"/>
        <w:spacing w:line="345" w:lineRule="auto" w:before="111"/>
        <w:ind w:left="360" w:right="368"/>
        <w:jc w:val="left"/>
      </w:pPr>
      <w:r>
        <w:rPr/>
        <w:t>司为其股东，工商登记完成后</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个工作日内支付第二笔投资款。公司对初见科技不具有控制、共同控制、 重大影响，本公司将该项投资列入了可供出售金融资产核算。</w:t>
      </w:r>
    </w:p>
    <w:p>
      <w:pPr>
        <w:spacing w:line="240" w:lineRule="auto" w:before="5"/>
        <w:rPr>
          <w:rFonts w:ascii="宋体" w:hAnsi="宋体" w:cs="宋体" w:eastAsia="宋体" w:hint="default"/>
          <w:sz w:val="15"/>
          <w:szCs w:val="15"/>
        </w:rPr>
      </w:pPr>
    </w:p>
    <w:p>
      <w:pPr>
        <w:pStyle w:val="BodyText"/>
        <w:spacing w:line="240" w:lineRule="auto"/>
        <w:ind w:left="720" w:right="0"/>
        <w:jc w:val="left"/>
      </w:pPr>
      <w:r>
        <w:rPr/>
        <w:t>（</w:t>
      </w:r>
      <w:r>
        <w:rPr>
          <w:rFonts w:ascii="Times New Roman" w:hAnsi="Times New Roman" w:cs="Times New Roman" w:eastAsia="Times New Roman" w:hint="default"/>
        </w:rPr>
        <w:t>3</w:t>
      </w:r>
      <w:r>
        <w:rPr/>
        <w:t>）期末可供出售金融资产未出现需计提减值准备的情形。</w:t>
      </w:r>
    </w:p>
    <w:p>
      <w:pPr>
        <w:spacing w:line="240" w:lineRule="auto" w:before="5"/>
        <w:rPr>
          <w:rFonts w:ascii="宋体" w:hAnsi="宋体" w:cs="宋体" w:eastAsia="宋体" w:hint="default"/>
          <w:sz w:val="20"/>
          <w:szCs w:val="20"/>
        </w:rPr>
      </w:pPr>
    </w:p>
    <w:p>
      <w:pPr>
        <w:pStyle w:val="BodyText"/>
        <w:spacing w:line="240" w:lineRule="auto"/>
        <w:ind w:left="720" w:right="0"/>
        <w:jc w:val="left"/>
      </w:pPr>
      <w:r>
        <w:rPr>
          <w:rFonts w:ascii="Times New Roman" w:hAnsi="Times New Roman" w:cs="Times New Roman" w:eastAsia="Times New Roman" w:hint="default"/>
        </w:rPr>
        <w:t>10. </w:t>
      </w:r>
      <w:r>
        <w:rPr>
          <w:rFonts w:ascii="Times New Roman" w:hAnsi="Times New Roman" w:cs="Times New Roman" w:eastAsia="Times New Roman" w:hint="default"/>
          <w:spacing w:val="1"/>
        </w:rPr>
        <w:t> </w:t>
      </w:r>
      <w:r>
        <w:rPr/>
        <w:t>长期股权投资</w:t>
      </w:r>
    </w:p>
    <w:p>
      <w:pPr>
        <w:spacing w:line="240" w:lineRule="auto" w:before="2"/>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505"/>
        <w:gridCol w:w="850"/>
        <w:gridCol w:w="1149"/>
        <w:gridCol w:w="949"/>
        <w:gridCol w:w="1217"/>
        <w:gridCol w:w="1054"/>
        <w:gridCol w:w="1074"/>
      </w:tblGrid>
      <w:tr>
        <w:trPr>
          <w:trHeight w:val="238" w:hRule="exact"/>
        </w:trPr>
        <w:tc>
          <w:tcPr>
            <w:tcW w:w="2505" w:type="dxa"/>
            <w:tcBorders>
              <w:top w:val="nil" w:sz="6" w:space="0" w:color="auto"/>
              <w:left w:val="nil" w:sz="6" w:space="0" w:color="auto"/>
              <w:bottom w:val="single" w:sz="4" w:space="0" w:color="000000"/>
              <w:right w:val="nil" w:sz="6" w:space="0" w:color="auto"/>
            </w:tcBorders>
          </w:tcPr>
          <w:p>
            <w:pPr>
              <w:pStyle w:val="TableParagraph"/>
              <w:spacing w:line="151" w:lineRule="exact"/>
              <w:ind w:left="741" w:right="0"/>
              <w:jc w:val="left"/>
              <w:rPr>
                <w:rFonts w:ascii="宋体" w:hAnsi="宋体" w:cs="宋体" w:eastAsia="宋体" w:hint="default"/>
                <w:sz w:val="15"/>
                <w:szCs w:val="15"/>
              </w:rPr>
            </w:pPr>
            <w:r>
              <w:rPr>
                <w:rFonts w:ascii="宋体" w:hAnsi="宋体" w:cs="宋体" w:eastAsia="宋体" w:hint="default"/>
                <w:b/>
                <w:bCs/>
                <w:sz w:val="15"/>
                <w:szCs w:val="15"/>
              </w:rPr>
              <w:t>被投资单位名称</w:t>
            </w:r>
            <w:r>
              <w:rPr>
                <w:rFonts w:ascii="宋体" w:hAnsi="宋体" w:cs="宋体" w:eastAsia="宋体" w:hint="default"/>
                <w:sz w:val="15"/>
                <w:szCs w:val="15"/>
              </w:rPr>
            </w:r>
          </w:p>
        </w:tc>
        <w:tc>
          <w:tcPr>
            <w:tcW w:w="850" w:type="dxa"/>
            <w:tcBorders>
              <w:top w:val="nil" w:sz="6" w:space="0" w:color="auto"/>
              <w:left w:val="nil" w:sz="6" w:space="0" w:color="auto"/>
              <w:bottom w:val="single" w:sz="4" w:space="0" w:color="000000"/>
              <w:right w:val="nil" w:sz="6" w:space="0" w:color="auto"/>
            </w:tcBorders>
          </w:tcPr>
          <w:p>
            <w:pPr>
              <w:pStyle w:val="TableParagraph"/>
              <w:spacing w:line="151" w:lineRule="exact"/>
              <w:ind w:left="145" w:right="0"/>
              <w:jc w:val="left"/>
              <w:rPr>
                <w:rFonts w:ascii="宋体" w:hAnsi="宋体" w:cs="宋体" w:eastAsia="宋体" w:hint="default"/>
                <w:sz w:val="15"/>
                <w:szCs w:val="15"/>
              </w:rPr>
            </w:pPr>
            <w:r>
              <w:rPr>
                <w:rFonts w:ascii="宋体" w:hAnsi="宋体" w:cs="宋体" w:eastAsia="宋体" w:hint="default"/>
                <w:b/>
                <w:bCs/>
                <w:sz w:val="15"/>
                <w:szCs w:val="15"/>
              </w:rPr>
              <w:t>核算方法</w:t>
            </w:r>
            <w:r>
              <w:rPr>
                <w:rFonts w:ascii="宋体" w:hAnsi="宋体" w:cs="宋体" w:eastAsia="宋体" w:hint="default"/>
                <w:sz w:val="15"/>
                <w:szCs w:val="15"/>
              </w:rPr>
            </w:r>
          </w:p>
        </w:tc>
        <w:tc>
          <w:tcPr>
            <w:tcW w:w="1149" w:type="dxa"/>
            <w:tcBorders>
              <w:top w:val="nil" w:sz="6" w:space="0" w:color="auto"/>
              <w:left w:val="nil" w:sz="6" w:space="0" w:color="auto"/>
              <w:bottom w:val="single" w:sz="4" w:space="0" w:color="000000"/>
              <w:right w:val="nil" w:sz="6" w:space="0" w:color="auto"/>
            </w:tcBorders>
          </w:tcPr>
          <w:p>
            <w:pPr>
              <w:pStyle w:val="TableParagraph"/>
              <w:spacing w:line="151" w:lineRule="exact"/>
              <w:ind w:left="236" w:right="0"/>
              <w:jc w:val="left"/>
              <w:rPr>
                <w:rFonts w:ascii="宋体" w:hAnsi="宋体" w:cs="宋体" w:eastAsia="宋体" w:hint="default"/>
                <w:sz w:val="15"/>
                <w:szCs w:val="15"/>
              </w:rPr>
            </w:pPr>
            <w:r>
              <w:rPr>
                <w:rFonts w:ascii="宋体" w:hAnsi="宋体" w:cs="宋体" w:eastAsia="宋体" w:hint="default"/>
                <w:b/>
                <w:bCs/>
                <w:sz w:val="15"/>
                <w:szCs w:val="15"/>
              </w:rPr>
              <w:t>投资成本</w:t>
            </w:r>
            <w:r>
              <w:rPr>
                <w:rFonts w:ascii="宋体" w:hAnsi="宋体" w:cs="宋体" w:eastAsia="宋体" w:hint="default"/>
                <w:sz w:val="15"/>
                <w:szCs w:val="15"/>
              </w:rPr>
            </w:r>
          </w:p>
        </w:tc>
        <w:tc>
          <w:tcPr>
            <w:tcW w:w="949" w:type="dxa"/>
            <w:tcBorders>
              <w:top w:val="nil" w:sz="6" w:space="0" w:color="auto"/>
              <w:left w:val="nil" w:sz="6" w:space="0" w:color="auto"/>
              <w:bottom w:val="single" w:sz="4" w:space="0" w:color="000000"/>
              <w:right w:val="nil" w:sz="6" w:space="0" w:color="auto"/>
            </w:tcBorders>
          </w:tcPr>
          <w:p>
            <w:pPr>
              <w:pStyle w:val="TableParagraph"/>
              <w:spacing w:line="151" w:lineRule="exact"/>
              <w:ind w:left="110"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1217" w:type="dxa"/>
            <w:tcBorders>
              <w:top w:val="nil" w:sz="6" w:space="0" w:color="auto"/>
              <w:left w:val="nil" w:sz="6" w:space="0" w:color="auto"/>
              <w:bottom w:val="single" w:sz="4" w:space="0" w:color="000000"/>
              <w:right w:val="nil" w:sz="6" w:space="0" w:color="auto"/>
            </w:tcBorders>
          </w:tcPr>
          <w:p>
            <w:pPr>
              <w:pStyle w:val="TableParagraph"/>
              <w:spacing w:line="151" w:lineRule="exact"/>
              <w:ind w:left="234" w:right="0"/>
              <w:jc w:val="left"/>
              <w:rPr>
                <w:rFonts w:ascii="宋体" w:hAnsi="宋体" w:cs="宋体" w:eastAsia="宋体" w:hint="default"/>
                <w:sz w:val="15"/>
                <w:szCs w:val="15"/>
              </w:rPr>
            </w:pPr>
            <w:r>
              <w:rPr>
                <w:rFonts w:ascii="宋体" w:hAnsi="宋体" w:cs="宋体" w:eastAsia="宋体" w:hint="default"/>
                <w:b/>
                <w:bCs/>
                <w:sz w:val="15"/>
                <w:szCs w:val="15"/>
              </w:rPr>
              <w:t>本期增加</w:t>
            </w:r>
            <w:r>
              <w:rPr>
                <w:rFonts w:ascii="宋体" w:hAnsi="宋体" w:cs="宋体" w:eastAsia="宋体" w:hint="default"/>
                <w:sz w:val="15"/>
                <w:szCs w:val="15"/>
              </w:rPr>
            </w:r>
          </w:p>
        </w:tc>
        <w:tc>
          <w:tcPr>
            <w:tcW w:w="1054" w:type="dxa"/>
            <w:tcBorders>
              <w:top w:val="nil" w:sz="6" w:space="0" w:color="auto"/>
              <w:left w:val="nil" w:sz="6" w:space="0" w:color="auto"/>
              <w:bottom w:val="single" w:sz="4" w:space="0" w:color="000000"/>
              <w:right w:val="nil" w:sz="6" w:space="0" w:color="auto"/>
            </w:tcBorders>
          </w:tcPr>
          <w:p>
            <w:pPr>
              <w:pStyle w:val="TableParagraph"/>
              <w:spacing w:line="151" w:lineRule="exact"/>
              <w:ind w:left="130" w:right="0"/>
              <w:jc w:val="left"/>
              <w:rPr>
                <w:rFonts w:ascii="宋体" w:hAnsi="宋体" w:cs="宋体" w:eastAsia="宋体" w:hint="default"/>
                <w:sz w:val="15"/>
                <w:szCs w:val="15"/>
              </w:rPr>
            </w:pPr>
            <w:r>
              <w:rPr>
                <w:rFonts w:ascii="宋体" w:hAnsi="宋体" w:cs="宋体" w:eastAsia="宋体" w:hint="default"/>
                <w:b/>
                <w:bCs/>
                <w:sz w:val="15"/>
                <w:szCs w:val="15"/>
              </w:rPr>
              <w:t>本期减少</w:t>
            </w:r>
            <w:r>
              <w:rPr>
                <w:rFonts w:ascii="宋体" w:hAnsi="宋体" w:cs="宋体" w:eastAsia="宋体" w:hint="default"/>
                <w:sz w:val="15"/>
                <w:szCs w:val="15"/>
              </w:rPr>
            </w:r>
          </w:p>
        </w:tc>
        <w:tc>
          <w:tcPr>
            <w:tcW w:w="1074" w:type="dxa"/>
            <w:tcBorders>
              <w:top w:val="nil" w:sz="6" w:space="0" w:color="auto"/>
              <w:left w:val="nil" w:sz="6" w:space="0" w:color="auto"/>
              <w:bottom w:val="single" w:sz="4" w:space="0" w:color="000000"/>
              <w:right w:val="nil" w:sz="6" w:space="0" w:color="auto"/>
            </w:tcBorders>
          </w:tcPr>
          <w:p>
            <w:pPr>
              <w:pStyle w:val="TableParagraph"/>
              <w:spacing w:line="151" w:lineRule="exact"/>
              <w:ind w:left="195"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r>
      <w:tr>
        <w:trPr>
          <w:trHeight w:val="369" w:hRule="exact"/>
        </w:trPr>
        <w:tc>
          <w:tcPr>
            <w:tcW w:w="2505"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5"/>
                <w:szCs w:val="15"/>
              </w:rPr>
            </w:pPr>
            <w:r>
              <w:rPr>
                <w:rFonts w:ascii="宋体" w:hAnsi="宋体" w:cs="宋体" w:eastAsia="宋体" w:hint="default"/>
                <w:sz w:val="15"/>
                <w:szCs w:val="15"/>
              </w:rPr>
              <w:t>北京决胜网教育科技股份有限公司</w:t>
            </w:r>
          </w:p>
        </w:tc>
        <w:tc>
          <w:tcPr>
            <w:tcW w:w="850"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143" w:right="0"/>
              <w:jc w:val="left"/>
              <w:rPr>
                <w:rFonts w:ascii="宋体" w:hAnsi="宋体" w:cs="宋体" w:eastAsia="宋体" w:hint="default"/>
                <w:sz w:val="15"/>
                <w:szCs w:val="15"/>
              </w:rPr>
            </w:pPr>
            <w:r>
              <w:rPr>
                <w:rFonts w:ascii="宋体" w:hAnsi="宋体" w:cs="宋体" w:eastAsia="宋体" w:hint="default"/>
                <w:sz w:val="15"/>
                <w:szCs w:val="15"/>
              </w:rPr>
              <w:t>权益法</w:t>
            </w:r>
          </w:p>
        </w:tc>
        <w:tc>
          <w:tcPr>
            <w:tcW w:w="1149"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08"/>
              <w:jc w:val="right"/>
              <w:rPr>
                <w:rFonts w:ascii="Times New Roman" w:hAnsi="Times New Roman" w:cs="Times New Roman" w:eastAsia="Times New Roman" w:hint="default"/>
                <w:sz w:val="15"/>
                <w:szCs w:val="15"/>
              </w:rPr>
            </w:pPr>
            <w:r>
              <w:rPr>
                <w:rFonts w:ascii="Times New Roman"/>
                <w:spacing w:val="-1"/>
                <w:sz w:val="15"/>
              </w:rPr>
              <w:t>170,000,000.00</w:t>
            </w:r>
          </w:p>
        </w:tc>
        <w:tc>
          <w:tcPr>
            <w:tcW w:w="949" w:type="dxa"/>
            <w:tcBorders>
              <w:top w:val="single" w:sz="4" w:space="0" w:color="000000"/>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28"/>
              <w:jc w:val="right"/>
              <w:rPr>
                <w:rFonts w:ascii="Times New Roman" w:hAnsi="Times New Roman" w:cs="Times New Roman" w:eastAsia="Times New Roman" w:hint="default"/>
                <w:sz w:val="15"/>
                <w:szCs w:val="15"/>
              </w:rPr>
            </w:pPr>
            <w:r>
              <w:rPr>
                <w:rFonts w:ascii="Times New Roman"/>
                <w:spacing w:val="-1"/>
                <w:sz w:val="15"/>
              </w:rPr>
              <w:t>170,000,000.00</w:t>
            </w:r>
          </w:p>
        </w:tc>
        <w:tc>
          <w:tcPr>
            <w:tcW w:w="1054" w:type="dxa"/>
            <w:tcBorders>
              <w:top w:val="single" w:sz="4" w:space="0" w:color="000000"/>
              <w:left w:val="nil" w:sz="6" w:space="0" w:color="auto"/>
              <w:bottom w:val="nil" w:sz="6" w:space="0" w:color="auto"/>
              <w:right w:val="nil" w:sz="6" w:space="0" w:color="auto"/>
            </w:tcBorders>
          </w:tcPr>
          <w:p>
            <w:pPr/>
          </w:p>
        </w:tc>
        <w:tc>
          <w:tcPr>
            <w:tcW w:w="1074"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5"/>
              <w:jc w:val="right"/>
              <w:rPr>
                <w:rFonts w:ascii="Times New Roman" w:hAnsi="Times New Roman" w:cs="Times New Roman" w:eastAsia="Times New Roman" w:hint="default"/>
                <w:sz w:val="15"/>
                <w:szCs w:val="15"/>
              </w:rPr>
            </w:pPr>
            <w:r>
              <w:rPr>
                <w:rFonts w:ascii="Times New Roman"/>
                <w:spacing w:val="-1"/>
                <w:sz w:val="15"/>
              </w:rPr>
              <w:t>170,000,000.00</w:t>
            </w:r>
          </w:p>
        </w:tc>
      </w:tr>
      <w:tr>
        <w:trPr>
          <w:trHeight w:val="360"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7" w:right="0"/>
              <w:jc w:val="left"/>
              <w:rPr>
                <w:rFonts w:ascii="宋体" w:hAnsi="宋体" w:cs="宋体" w:eastAsia="宋体" w:hint="default"/>
                <w:sz w:val="15"/>
                <w:szCs w:val="15"/>
              </w:rPr>
            </w:pPr>
            <w:r>
              <w:rPr>
                <w:rFonts w:ascii="宋体" w:hAnsi="宋体" w:cs="宋体" w:eastAsia="宋体" w:hint="default"/>
                <w:sz w:val="15"/>
                <w:szCs w:val="15"/>
              </w:rPr>
              <w:t>北京海德拉科技有限公司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43" w:right="0"/>
              <w:jc w:val="left"/>
              <w:rPr>
                <w:rFonts w:ascii="宋体" w:hAnsi="宋体" w:cs="宋体" w:eastAsia="宋体" w:hint="default"/>
                <w:sz w:val="15"/>
                <w:szCs w:val="15"/>
              </w:rPr>
            </w:pPr>
            <w:r>
              <w:rPr>
                <w:rFonts w:ascii="宋体" w:hAnsi="宋体" w:cs="宋体" w:eastAsia="宋体" w:hint="default"/>
                <w:sz w:val="15"/>
                <w:szCs w:val="15"/>
              </w:rPr>
              <w:t>权益法</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8"/>
              <w:jc w:val="right"/>
              <w:rPr>
                <w:rFonts w:ascii="Times New Roman" w:hAnsi="Times New Roman" w:cs="Times New Roman" w:eastAsia="Times New Roman" w:hint="default"/>
                <w:sz w:val="15"/>
                <w:szCs w:val="15"/>
              </w:rPr>
            </w:pPr>
            <w:r>
              <w:rPr>
                <w:rFonts w:ascii="Times New Roman"/>
                <w:spacing w:val="-1"/>
                <w:sz w:val="15"/>
              </w:rPr>
              <w:t>3,000,000.00</w:t>
            </w:r>
          </w:p>
        </w:tc>
        <w:tc>
          <w:tcPr>
            <w:tcW w:w="949"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28"/>
              <w:jc w:val="right"/>
              <w:rPr>
                <w:rFonts w:ascii="Times New Roman" w:hAnsi="Times New Roman" w:cs="Times New Roman" w:eastAsia="Times New Roman" w:hint="default"/>
                <w:sz w:val="15"/>
                <w:szCs w:val="15"/>
              </w:rPr>
            </w:pPr>
            <w:r>
              <w:rPr>
                <w:rFonts w:ascii="Times New Roman"/>
                <w:spacing w:val="-1"/>
                <w:sz w:val="15"/>
              </w:rPr>
              <w:t>3,000,000.00</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15"/>
                <w:szCs w:val="15"/>
              </w:rPr>
            </w:pPr>
            <w:r>
              <w:rPr>
                <w:rFonts w:ascii="Times New Roman"/>
                <w:spacing w:val="-1"/>
                <w:sz w:val="15"/>
              </w:rPr>
              <w:t>124,848.83</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3"/>
              <w:jc w:val="right"/>
              <w:rPr>
                <w:rFonts w:ascii="Times New Roman" w:hAnsi="Times New Roman" w:cs="Times New Roman" w:eastAsia="Times New Roman" w:hint="default"/>
                <w:sz w:val="15"/>
                <w:szCs w:val="15"/>
              </w:rPr>
            </w:pPr>
            <w:r>
              <w:rPr>
                <w:rFonts w:ascii="Times New Roman"/>
                <w:spacing w:val="-1"/>
                <w:sz w:val="15"/>
              </w:rPr>
              <w:t>2,875,151.17</w:t>
            </w:r>
          </w:p>
        </w:tc>
      </w:tr>
      <w:tr>
        <w:trPr>
          <w:trHeight w:val="274" w:hRule="exact"/>
        </w:trPr>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4"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850"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8"/>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173,000,000.00</w:t>
            </w:r>
            <w:r>
              <w:rPr>
                <w:rFonts w:ascii="Times New Roman"/>
                <w:spacing w:val="-1"/>
                <w:sz w:val="15"/>
              </w:rPr>
            </w:r>
          </w:p>
        </w:tc>
        <w:tc>
          <w:tcPr>
            <w:tcW w:w="949"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28"/>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173,000,000.00</w:t>
            </w:r>
            <w:r>
              <w:rPr>
                <w:rFonts w:ascii="Times New Roman"/>
                <w:spacing w:val="-1"/>
                <w:sz w:val="15"/>
              </w:rPr>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124,848.83</w:t>
            </w:r>
            <w:r>
              <w:rPr>
                <w:rFonts w:ascii="Times New Roman"/>
                <w:spacing w:val="-1"/>
                <w:sz w:val="15"/>
              </w:rPr>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172,875,151.17</w:t>
            </w:r>
            <w:r>
              <w:rPr>
                <w:rFonts w:ascii="Times New Roman"/>
                <w:spacing w:val="-1"/>
                <w:sz w:val="15"/>
              </w:rPr>
            </w:r>
          </w:p>
        </w:tc>
      </w:tr>
    </w:tbl>
    <w:p>
      <w:pPr>
        <w:spacing w:after="0" w:line="240" w:lineRule="auto"/>
        <w:jc w:val="right"/>
        <w:rPr>
          <w:rFonts w:ascii="Times New Roman" w:hAnsi="Times New Roman" w:cs="Times New Roman" w:eastAsia="Times New Roman" w:hint="default"/>
          <w:sz w:val="15"/>
          <w:szCs w:val="15"/>
        </w:rPr>
        <w:sectPr>
          <w:pgSz w:w="11910" w:h="16840"/>
          <w:pgMar w:header="0" w:footer="979" w:top="1480" w:bottom="1160" w:left="1440" w:right="1440"/>
        </w:sectPr>
      </w:pPr>
    </w:p>
    <w:p>
      <w:pPr>
        <w:pStyle w:val="BodyText"/>
        <w:spacing w:line="240" w:lineRule="auto" w:before="19"/>
        <w:ind w:left="720" w:right="0"/>
        <w:jc w:val="left"/>
      </w:pPr>
      <w:r>
        <w:rPr/>
        <w:t>接上表：</w:t>
      </w:r>
    </w:p>
    <w:p>
      <w:pPr>
        <w:spacing w:line="240" w:lineRule="auto" w:before="5"/>
        <w:rPr>
          <w:rFonts w:ascii="宋体" w:hAnsi="宋体" w:cs="宋体" w:eastAsia="宋体"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1518"/>
        <w:gridCol w:w="1669"/>
        <w:gridCol w:w="2301"/>
        <w:gridCol w:w="1005"/>
        <w:gridCol w:w="1266"/>
        <w:gridCol w:w="1038"/>
      </w:tblGrid>
      <w:tr>
        <w:trPr>
          <w:trHeight w:val="648" w:hRule="exact"/>
        </w:trPr>
        <w:tc>
          <w:tcPr>
            <w:tcW w:w="1518" w:type="dxa"/>
            <w:tcBorders>
              <w:top w:val="nil" w:sz="6" w:space="0" w:color="auto"/>
              <w:left w:val="nil" w:sz="6" w:space="0" w:color="auto"/>
              <w:bottom w:val="single" w:sz="4" w:space="0" w:color="000000"/>
              <w:right w:val="nil" w:sz="6" w:space="0" w:color="auto"/>
            </w:tcBorders>
          </w:tcPr>
          <w:p>
            <w:pPr>
              <w:pStyle w:val="TableParagraph"/>
              <w:spacing w:line="151" w:lineRule="exact"/>
              <w:ind w:left="251" w:right="0"/>
              <w:jc w:val="left"/>
              <w:rPr>
                <w:rFonts w:ascii="宋体" w:hAnsi="宋体" w:cs="宋体" w:eastAsia="宋体" w:hint="default"/>
                <w:sz w:val="15"/>
                <w:szCs w:val="15"/>
              </w:rPr>
            </w:pPr>
            <w:r>
              <w:rPr>
                <w:rFonts w:ascii="宋体" w:hAnsi="宋体" w:cs="宋体" w:eastAsia="宋体" w:hint="default"/>
                <w:b/>
                <w:bCs/>
                <w:sz w:val="15"/>
                <w:szCs w:val="15"/>
              </w:rPr>
              <w:t>在被投资单位的</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5"/>
                <w:szCs w:val="15"/>
              </w:rPr>
            </w:pPr>
            <w:r>
              <w:rPr>
                <w:rFonts w:ascii="宋体" w:hAnsi="宋体" w:cs="宋体" w:eastAsia="宋体" w:hint="default"/>
                <w:b/>
                <w:bCs/>
                <w:sz w:val="15"/>
                <w:szCs w:val="15"/>
              </w:rPr>
              <w:t>持股比例（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669" w:type="dxa"/>
            <w:tcBorders>
              <w:top w:val="nil" w:sz="6" w:space="0" w:color="auto"/>
              <w:left w:val="nil" w:sz="6" w:space="0" w:color="auto"/>
              <w:bottom w:val="single" w:sz="4" w:space="0" w:color="000000"/>
              <w:right w:val="nil" w:sz="6" w:space="0" w:color="auto"/>
            </w:tcBorders>
          </w:tcPr>
          <w:p>
            <w:pPr>
              <w:pStyle w:val="TableParagraph"/>
              <w:spacing w:line="173" w:lineRule="exact"/>
              <w:ind w:right="40"/>
              <w:jc w:val="center"/>
              <w:rPr>
                <w:rFonts w:ascii="宋体" w:hAnsi="宋体" w:cs="宋体" w:eastAsia="宋体" w:hint="default"/>
                <w:sz w:val="15"/>
                <w:szCs w:val="15"/>
              </w:rPr>
            </w:pPr>
            <w:r>
              <w:rPr>
                <w:rFonts w:ascii="宋体" w:hAnsi="宋体" w:cs="宋体" w:eastAsia="宋体" w:hint="default"/>
                <w:b/>
                <w:bCs/>
                <w:sz w:val="15"/>
                <w:szCs w:val="15"/>
              </w:rPr>
              <w:t>在被投资单位表决</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39"/>
              <w:jc w:val="center"/>
              <w:rPr>
                <w:rFonts w:ascii="宋体" w:hAnsi="宋体" w:cs="宋体" w:eastAsia="宋体" w:hint="default"/>
                <w:sz w:val="15"/>
                <w:szCs w:val="15"/>
              </w:rPr>
            </w:pPr>
            <w:r>
              <w:rPr>
                <w:rFonts w:ascii="宋体" w:hAnsi="宋体" w:cs="宋体" w:eastAsia="宋体" w:hint="default"/>
                <w:b/>
                <w:bCs/>
                <w:sz w:val="15"/>
                <w:szCs w:val="15"/>
              </w:rPr>
              <w:t>权比例（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2301" w:type="dxa"/>
            <w:tcBorders>
              <w:top w:val="nil" w:sz="6" w:space="0" w:color="auto"/>
              <w:left w:val="nil" w:sz="6" w:space="0" w:color="auto"/>
              <w:bottom w:val="single" w:sz="4" w:space="0" w:color="000000"/>
              <w:right w:val="nil" w:sz="6" w:space="0" w:color="auto"/>
            </w:tcBorders>
          </w:tcPr>
          <w:p>
            <w:pPr>
              <w:pStyle w:val="TableParagraph"/>
              <w:spacing w:line="151" w:lineRule="exact"/>
              <w:ind w:left="329" w:right="0" w:hanging="77"/>
              <w:jc w:val="left"/>
              <w:rPr>
                <w:rFonts w:ascii="宋体" w:hAnsi="宋体" w:cs="宋体" w:eastAsia="宋体" w:hint="default"/>
                <w:sz w:val="15"/>
                <w:szCs w:val="15"/>
              </w:rPr>
            </w:pPr>
            <w:r>
              <w:rPr>
                <w:rFonts w:ascii="宋体" w:hAnsi="宋体" w:cs="宋体" w:eastAsia="宋体" w:hint="default"/>
                <w:b/>
                <w:bCs/>
                <w:sz w:val="15"/>
                <w:szCs w:val="15"/>
              </w:rPr>
              <w:t>在被投资单位的持股比例与</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29" w:right="0"/>
              <w:jc w:val="left"/>
              <w:rPr>
                <w:rFonts w:ascii="宋体" w:hAnsi="宋体" w:cs="宋体" w:eastAsia="宋体" w:hint="default"/>
                <w:sz w:val="15"/>
                <w:szCs w:val="15"/>
              </w:rPr>
            </w:pPr>
            <w:r>
              <w:rPr>
                <w:rFonts w:ascii="宋体" w:hAnsi="宋体" w:cs="宋体" w:eastAsia="宋体" w:hint="default"/>
                <w:b/>
                <w:bCs/>
                <w:sz w:val="15"/>
                <w:szCs w:val="15"/>
              </w:rPr>
              <w:t>表决权比例不一致的说明</w:t>
            </w:r>
            <w:r>
              <w:rPr>
                <w:rFonts w:ascii="宋体" w:hAnsi="宋体" w:cs="宋体" w:eastAsia="宋体" w:hint="default"/>
                <w:sz w:val="15"/>
                <w:szCs w:val="15"/>
              </w:rPr>
            </w:r>
          </w:p>
        </w:tc>
        <w:tc>
          <w:tcPr>
            <w:tcW w:w="100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39" w:right="0"/>
              <w:jc w:val="left"/>
              <w:rPr>
                <w:rFonts w:ascii="宋体" w:hAnsi="宋体" w:cs="宋体" w:eastAsia="宋体" w:hint="default"/>
                <w:sz w:val="15"/>
                <w:szCs w:val="15"/>
              </w:rPr>
            </w:pPr>
            <w:r>
              <w:rPr>
                <w:rFonts w:ascii="宋体" w:hAnsi="宋体" w:cs="宋体" w:eastAsia="宋体" w:hint="default"/>
                <w:b/>
                <w:bCs/>
                <w:sz w:val="15"/>
                <w:szCs w:val="15"/>
              </w:rPr>
              <w:t>减值准备</w:t>
            </w:r>
            <w:r>
              <w:rPr>
                <w:rFonts w:ascii="宋体" w:hAnsi="宋体" w:cs="宋体" w:eastAsia="宋体" w:hint="default"/>
                <w:sz w:val="15"/>
                <w:szCs w:val="15"/>
              </w:rPr>
            </w:r>
          </w:p>
        </w:tc>
        <w:tc>
          <w:tcPr>
            <w:tcW w:w="1266" w:type="dxa"/>
            <w:tcBorders>
              <w:top w:val="nil" w:sz="6" w:space="0" w:color="auto"/>
              <w:left w:val="nil" w:sz="6" w:space="0" w:color="auto"/>
              <w:bottom w:val="single" w:sz="4" w:space="0" w:color="000000"/>
              <w:right w:val="nil" w:sz="6" w:space="0" w:color="auto"/>
            </w:tcBorders>
          </w:tcPr>
          <w:p>
            <w:pPr>
              <w:pStyle w:val="TableParagraph"/>
              <w:spacing w:line="173" w:lineRule="exact"/>
              <w:ind w:right="40"/>
              <w:jc w:val="center"/>
              <w:rPr>
                <w:rFonts w:ascii="宋体" w:hAnsi="宋体" w:cs="宋体" w:eastAsia="宋体" w:hint="default"/>
                <w:sz w:val="15"/>
                <w:szCs w:val="15"/>
              </w:rPr>
            </w:pPr>
            <w:r>
              <w:rPr>
                <w:rFonts w:ascii="宋体" w:hAnsi="宋体" w:cs="宋体" w:eastAsia="宋体" w:hint="default"/>
                <w:b/>
                <w:bCs/>
                <w:sz w:val="15"/>
                <w:szCs w:val="15"/>
              </w:rPr>
              <w:t>本期计提资产</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35"/>
              <w:jc w:val="center"/>
              <w:rPr>
                <w:rFonts w:ascii="宋体" w:hAnsi="宋体" w:cs="宋体" w:eastAsia="宋体" w:hint="default"/>
                <w:sz w:val="15"/>
                <w:szCs w:val="15"/>
              </w:rPr>
            </w:pPr>
            <w:r>
              <w:rPr>
                <w:rFonts w:ascii="宋体" w:hAnsi="宋体" w:cs="宋体" w:eastAsia="宋体" w:hint="default"/>
                <w:b/>
                <w:bCs/>
                <w:sz w:val="15"/>
                <w:szCs w:val="15"/>
              </w:rPr>
              <w:t>减值准备</w:t>
            </w:r>
            <w:r>
              <w:rPr>
                <w:rFonts w:ascii="宋体" w:hAnsi="宋体" w:cs="宋体" w:eastAsia="宋体" w:hint="default"/>
                <w:sz w:val="15"/>
                <w:szCs w:val="15"/>
              </w:rPr>
            </w:r>
          </w:p>
        </w:tc>
        <w:tc>
          <w:tcPr>
            <w:tcW w:w="103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03" w:right="0"/>
              <w:jc w:val="left"/>
              <w:rPr>
                <w:rFonts w:ascii="宋体" w:hAnsi="宋体" w:cs="宋体" w:eastAsia="宋体" w:hint="default"/>
                <w:sz w:val="15"/>
                <w:szCs w:val="15"/>
              </w:rPr>
            </w:pPr>
            <w:r>
              <w:rPr>
                <w:rFonts w:ascii="宋体" w:hAnsi="宋体" w:cs="宋体" w:eastAsia="宋体" w:hint="default"/>
                <w:b/>
                <w:bCs/>
                <w:sz w:val="15"/>
                <w:szCs w:val="15"/>
              </w:rPr>
              <w:t>现金红利</w:t>
            </w:r>
            <w:r>
              <w:rPr>
                <w:rFonts w:ascii="宋体" w:hAnsi="宋体" w:cs="宋体" w:eastAsia="宋体" w:hint="default"/>
                <w:sz w:val="15"/>
                <w:szCs w:val="15"/>
              </w:rPr>
            </w:r>
          </w:p>
        </w:tc>
      </w:tr>
      <w:tr>
        <w:trPr>
          <w:trHeight w:val="446" w:hRule="exact"/>
        </w:trPr>
        <w:tc>
          <w:tcPr>
            <w:tcW w:w="151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528"/>
              <w:jc w:val="right"/>
              <w:rPr>
                <w:rFonts w:ascii="Times New Roman" w:hAnsi="Times New Roman" w:cs="Times New Roman" w:eastAsia="Times New Roman" w:hint="default"/>
                <w:sz w:val="15"/>
                <w:szCs w:val="15"/>
              </w:rPr>
            </w:pPr>
            <w:r>
              <w:rPr>
                <w:rFonts w:ascii="Times New Roman"/>
                <w:spacing w:val="-1"/>
                <w:sz w:val="15"/>
              </w:rPr>
              <w:t>18.889</w:t>
            </w:r>
          </w:p>
        </w:tc>
        <w:tc>
          <w:tcPr>
            <w:tcW w:w="166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41"/>
              <w:jc w:val="center"/>
              <w:rPr>
                <w:rFonts w:ascii="Times New Roman" w:hAnsi="Times New Roman" w:cs="Times New Roman" w:eastAsia="Times New Roman" w:hint="default"/>
                <w:sz w:val="15"/>
                <w:szCs w:val="15"/>
              </w:rPr>
            </w:pPr>
            <w:r>
              <w:rPr>
                <w:rFonts w:ascii="Times New Roman"/>
                <w:sz w:val="15"/>
              </w:rPr>
              <w:t>18.889</w:t>
            </w:r>
          </w:p>
        </w:tc>
        <w:tc>
          <w:tcPr>
            <w:tcW w:w="2301" w:type="dxa"/>
            <w:tcBorders>
              <w:top w:val="single" w:sz="4" w:space="0" w:color="000000"/>
              <w:left w:val="nil" w:sz="6" w:space="0" w:color="auto"/>
              <w:bottom w:val="nil" w:sz="6" w:space="0" w:color="auto"/>
              <w:right w:val="nil" w:sz="6" w:space="0" w:color="auto"/>
            </w:tcBorders>
          </w:tcPr>
          <w:p>
            <w:pPr/>
          </w:p>
        </w:tc>
        <w:tc>
          <w:tcPr>
            <w:tcW w:w="1005" w:type="dxa"/>
            <w:tcBorders>
              <w:top w:val="single" w:sz="4" w:space="0" w:color="000000"/>
              <w:left w:val="nil" w:sz="6" w:space="0" w:color="auto"/>
              <w:bottom w:val="nil" w:sz="6" w:space="0" w:color="auto"/>
              <w:right w:val="nil" w:sz="6" w:space="0" w:color="auto"/>
            </w:tcBorders>
          </w:tcPr>
          <w:p>
            <w:pPr/>
          </w:p>
        </w:tc>
        <w:tc>
          <w:tcPr>
            <w:tcW w:w="1266" w:type="dxa"/>
            <w:tcBorders>
              <w:top w:val="single" w:sz="4" w:space="0" w:color="000000"/>
              <w:left w:val="nil" w:sz="6" w:space="0" w:color="auto"/>
              <w:bottom w:val="nil" w:sz="6" w:space="0" w:color="auto"/>
              <w:right w:val="nil" w:sz="6" w:space="0" w:color="auto"/>
            </w:tcBorders>
          </w:tcPr>
          <w:p>
            <w:pPr/>
          </w:p>
        </w:tc>
        <w:tc>
          <w:tcPr>
            <w:tcW w:w="1038" w:type="dxa"/>
            <w:tcBorders>
              <w:top w:val="single" w:sz="4" w:space="0" w:color="000000"/>
              <w:left w:val="nil" w:sz="6" w:space="0" w:color="auto"/>
              <w:bottom w:val="nil" w:sz="6" w:space="0" w:color="auto"/>
              <w:right w:val="nil" w:sz="6" w:space="0" w:color="auto"/>
            </w:tcBorders>
          </w:tcPr>
          <w:p>
            <w:pPr/>
          </w:p>
        </w:tc>
      </w:tr>
      <w:tr>
        <w:trPr>
          <w:trHeight w:val="395"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67"/>
              <w:jc w:val="right"/>
              <w:rPr>
                <w:rFonts w:ascii="Times New Roman" w:hAnsi="Times New Roman" w:cs="Times New Roman" w:eastAsia="Times New Roman" w:hint="default"/>
                <w:sz w:val="15"/>
                <w:szCs w:val="15"/>
              </w:rPr>
            </w:pPr>
            <w:r>
              <w:rPr>
                <w:rFonts w:ascii="Times New Roman"/>
                <w:spacing w:val="-1"/>
                <w:sz w:val="15"/>
              </w:rPr>
              <w:t>25.00</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9"/>
              <w:jc w:val="center"/>
              <w:rPr>
                <w:rFonts w:ascii="Times New Roman" w:hAnsi="Times New Roman" w:cs="Times New Roman" w:eastAsia="Times New Roman" w:hint="default"/>
                <w:sz w:val="15"/>
                <w:szCs w:val="15"/>
              </w:rPr>
            </w:pPr>
            <w:r>
              <w:rPr>
                <w:rFonts w:ascii="Times New Roman"/>
                <w:sz w:val="15"/>
              </w:rPr>
              <w:t>25.00</w:t>
            </w:r>
          </w:p>
        </w:tc>
        <w:tc>
          <w:tcPr>
            <w:tcW w:w="2301"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
        </w:tc>
      </w:tr>
      <w:tr>
        <w:trPr>
          <w:trHeight w:val="272" w:hRule="exact"/>
        </w:trPr>
        <w:tc>
          <w:tcPr>
            <w:tcW w:w="31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right="75"/>
              <w:jc w:val="center"/>
              <w:rPr>
                <w:rFonts w:ascii="宋体" w:hAnsi="宋体" w:cs="宋体" w:eastAsia="宋体" w:hint="default"/>
                <w:sz w:val="15"/>
                <w:szCs w:val="15"/>
              </w:rPr>
            </w:pPr>
            <w:r>
              <w:rPr>
                <w:rFonts w:ascii="宋体" w:hAnsi="宋体" w:cs="宋体" w:eastAsia="宋体" w:hint="default"/>
                <w:sz w:val="15"/>
                <w:szCs w:val="15"/>
              </w:rPr>
              <w:t>合计</w:t>
            </w:r>
          </w:p>
        </w:tc>
        <w:tc>
          <w:tcPr>
            <w:tcW w:w="2301"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48" w:lineRule="auto"/>
        <w:ind w:left="360" w:right="267" w:firstLine="359"/>
        <w:jc w:val="left"/>
      </w:pPr>
      <w:r>
        <w:rPr>
          <w:spacing w:val="-5"/>
        </w:rPr>
        <w:t>注：</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23</w:t>
      </w:r>
      <w:r>
        <w:rPr>
          <w:spacing w:val="-5"/>
        </w:rPr>
        <w:t>日，天舟文化公司与阙登峰、戴政、北京决胜网教育科技股份有限公司（以下简称</w:t>
      </w:r>
      <w:r>
        <w:rPr>
          <w:rFonts w:ascii="Times New Roman" w:hAnsi="Times New Roman" w:cs="Times New Roman" w:eastAsia="Times New Roman" w:hint="default"/>
          <w:spacing w:val="-5"/>
        </w:rPr>
        <w:t>“</w:t>
      </w:r>
      <w:r>
        <w:rPr>
          <w:spacing w:val="-5"/>
        </w:rPr>
        <w:t>决</w:t>
      </w:r>
      <w:r>
        <w:rPr/>
        <w:t> </w:t>
      </w:r>
      <w:r>
        <w:rPr>
          <w:spacing w:val="-4"/>
        </w:rPr>
        <w:t>胜网</w:t>
      </w:r>
      <w:r>
        <w:rPr>
          <w:rFonts w:ascii="Times New Roman" w:hAnsi="Times New Roman" w:cs="Times New Roman" w:eastAsia="Times New Roman" w:hint="default"/>
          <w:spacing w:val="-4"/>
        </w:rPr>
        <w:t>”</w:t>
      </w:r>
      <w:r>
        <w:rPr>
          <w:spacing w:val="-4"/>
        </w:rPr>
        <w:t>）签订《附生效条件投资协议》，以自有资金出资</w:t>
      </w:r>
      <w:r>
        <w:rPr>
          <w:rFonts w:ascii="Times New Roman" w:hAnsi="Times New Roman" w:cs="Times New Roman" w:eastAsia="Times New Roman" w:hint="default"/>
          <w:spacing w:val="-4"/>
        </w:rPr>
        <w:t>1.7</w:t>
      </w:r>
      <w:r>
        <w:rPr>
          <w:spacing w:val="-4"/>
        </w:rPr>
        <w:t>亿元人民币投资决胜网获得其经增资后的</w:t>
      </w:r>
      <w:r>
        <w:rPr>
          <w:rFonts w:ascii="Times New Roman" w:hAnsi="Times New Roman" w:cs="Times New Roman" w:eastAsia="Times New Roman" w:hint="default"/>
          <w:spacing w:val="-4"/>
        </w:rPr>
        <w:t>18.889%</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的股权。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日决胜网召开</w:t>
      </w:r>
      <w:r>
        <w:rPr>
          <w:rFonts w:ascii="Times New Roman" w:hAnsi="Times New Roman" w:cs="Times New Roman" w:eastAsia="Times New Roman" w:hint="default"/>
        </w:rPr>
        <w:t>2015</w:t>
      </w:r>
      <w:r>
        <w:rPr/>
        <w:t>年第三次临时股东大会决议，通过《关于天舟文化股份有限公司</w:t>
      </w:r>
      <w:r>
        <w:rPr>
          <w:spacing w:val="-73"/>
        </w:rPr>
        <w:t> </w:t>
      </w:r>
      <w:r>
        <w:rPr>
          <w:spacing w:val="-73"/>
        </w:rPr>
      </w:r>
      <w:r>
        <w:rPr/>
        <w:t>对公司增资的议案》、《关于增补第一届董事会董事候选人的议案》、《关于修改公司章程的议案》，</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月</w:t>
      </w:r>
      <w:r>
        <w:rPr>
          <w:rFonts w:ascii="Times New Roman" w:hAnsi="Times New Roman" w:cs="Times New Roman" w:eastAsia="Times New Roman" w:hint="default"/>
        </w:rPr>
        <w:t>25</w:t>
      </w:r>
      <w:r>
        <w:rPr/>
        <w:t>日办理了工商登记变更，投资完成后，天舟文化成为决胜网第二大股东，在决胜网董事会成员中派有</w:t>
      </w:r>
      <w:r>
        <w:rPr>
          <w:spacing w:val="-73"/>
        </w:rPr>
        <w:t> </w:t>
      </w:r>
      <w:r>
        <w:rPr>
          <w:spacing w:val="-73"/>
        </w:rPr>
      </w:r>
      <w:r>
        <w:rPr>
          <w:spacing w:val="-1"/>
        </w:rPr>
        <w:t>董事，对决胜网财务和经营政策具有重大影响，根据财政部新修订了《企业会计准则第</w:t>
      </w:r>
      <w:r>
        <w:rPr>
          <w:rFonts w:ascii="Times New Roman" w:hAnsi="Times New Roman" w:cs="Times New Roman" w:eastAsia="Times New Roman" w:hint="default"/>
          <w:spacing w:val="-1"/>
        </w:rPr>
        <w:t>2</w:t>
      </w:r>
      <w:r>
        <w:rPr>
          <w:spacing w:val="-1"/>
        </w:rPr>
        <w:t>号</w:t>
      </w:r>
      <w:r>
        <w:rPr>
          <w:rFonts w:ascii="Times New Roman" w:hAnsi="Times New Roman" w:cs="Times New Roman" w:eastAsia="Times New Roman" w:hint="default"/>
          <w:spacing w:val="-1"/>
        </w:rPr>
        <w:t>-</w:t>
      </w:r>
      <w:r>
        <w:rPr>
          <w:spacing w:val="-1"/>
        </w:rPr>
        <w:t>长期股权投资》</w:t>
      </w:r>
      <w:r>
        <w:rPr>
          <w:spacing w:val="-79"/>
        </w:rPr>
        <w:t> </w:t>
      </w:r>
      <w:r>
        <w:rPr/>
        <w:t>规定，从投资之日起采用权益法核算。</w:t>
      </w:r>
    </w:p>
    <w:p>
      <w:pPr>
        <w:spacing w:line="240" w:lineRule="auto" w:before="3"/>
        <w:rPr>
          <w:rFonts w:ascii="宋体" w:hAnsi="宋体" w:cs="宋体" w:eastAsia="宋体" w:hint="default"/>
          <w:sz w:val="15"/>
          <w:szCs w:val="15"/>
        </w:rPr>
      </w:pPr>
    </w:p>
    <w:p>
      <w:pPr>
        <w:pStyle w:val="BodyText"/>
        <w:spacing w:line="240" w:lineRule="auto"/>
        <w:ind w:left="720" w:right="0"/>
        <w:jc w:val="left"/>
      </w:pPr>
      <w:r>
        <w:rPr>
          <w:rFonts w:ascii="Times New Roman" w:hAnsi="Times New Roman" w:cs="Times New Roman" w:eastAsia="Times New Roman" w:hint="default"/>
        </w:rPr>
        <w:t>11. </w:t>
      </w:r>
      <w:r>
        <w:rPr>
          <w:rFonts w:ascii="Times New Roman" w:hAnsi="Times New Roman" w:cs="Times New Roman" w:eastAsia="Times New Roman" w:hint="default"/>
          <w:spacing w:val="1"/>
        </w:rPr>
        <w:t> </w:t>
      </w:r>
      <w:r>
        <w:rPr/>
        <w:t>固定资产</w:t>
      </w:r>
    </w:p>
    <w:p>
      <w:pPr>
        <w:spacing w:line="240" w:lineRule="auto" w:before="5"/>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1</w:t>
      </w:r>
      <w:r>
        <w:rPr/>
        <w:t>）分类列示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tbl>
      <w:tblPr>
        <w:tblW w:w="0" w:type="auto"/>
        <w:jc w:val="left"/>
        <w:tblInd w:w="252" w:type="dxa"/>
        <w:tblLayout w:type="fixed"/>
        <w:tblCellMar>
          <w:top w:w="0" w:type="dxa"/>
          <w:left w:w="0" w:type="dxa"/>
          <w:bottom w:w="0" w:type="dxa"/>
          <w:right w:w="0" w:type="dxa"/>
        </w:tblCellMar>
        <w:tblLook w:val="01E0"/>
      </w:tblPr>
      <w:tblGrid>
        <w:gridCol w:w="2301"/>
        <w:gridCol w:w="1324"/>
        <w:gridCol w:w="1024"/>
        <w:gridCol w:w="1127"/>
        <w:gridCol w:w="1404"/>
        <w:gridCol w:w="1344"/>
      </w:tblGrid>
      <w:tr>
        <w:trPr>
          <w:trHeight w:val="275" w:hRule="exact"/>
        </w:trPr>
        <w:tc>
          <w:tcPr>
            <w:tcW w:w="2301" w:type="dxa"/>
            <w:tcBorders>
              <w:top w:val="nil" w:sz="6" w:space="0" w:color="auto"/>
              <w:left w:val="nil" w:sz="6" w:space="0" w:color="auto"/>
              <w:bottom w:val="single" w:sz="4" w:space="0" w:color="000000"/>
              <w:right w:val="nil" w:sz="6" w:space="0" w:color="auto"/>
            </w:tcBorders>
          </w:tcPr>
          <w:p>
            <w:pPr>
              <w:pStyle w:val="TableParagraph"/>
              <w:spacing w:line="180" w:lineRule="exact"/>
              <w:ind w:right="6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24" w:type="dxa"/>
            <w:tcBorders>
              <w:top w:val="nil" w:sz="6" w:space="0" w:color="auto"/>
              <w:left w:val="nil" w:sz="6" w:space="0" w:color="auto"/>
              <w:bottom w:val="single" w:sz="4" w:space="0" w:color="000000"/>
              <w:right w:val="nil" w:sz="6" w:space="0" w:color="auto"/>
            </w:tcBorders>
          </w:tcPr>
          <w:p>
            <w:pPr>
              <w:pStyle w:val="TableParagraph"/>
              <w:spacing w:line="180" w:lineRule="exact"/>
              <w:ind w:left="26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151" w:type="dxa"/>
            <w:gridSpan w:val="2"/>
            <w:tcBorders>
              <w:top w:val="nil" w:sz="6" w:space="0" w:color="auto"/>
              <w:left w:val="nil" w:sz="6" w:space="0" w:color="auto"/>
              <w:bottom w:val="single" w:sz="4" w:space="0" w:color="000000"/>
              <w:right w:val="nil" w:sz="6" w:space="0" w:color="auto"/>
            </w:tcBorders>
          </w:tcPr>
          <w:p>
            <w:pPr>
              <w:pStyle w:val="TableParagraph"/>
              <w:spacing w:line="180" w:lineRule="exact"/>
              <w:ind w:left="71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04" w:type="dxa"/>
            <w:tcBorders>
              <w:top w:val="nil" w:sz="6" w:space="0" w:color="auto"/>
              <w:left w:val="nil" w:sz="6" w:space="0" w:color="auto"/>
              <w:bottom w:val="single" w:sz="4" w:space="0" w:color="000000"/>
              <w:right w:val="nil" w:sz="6" w:space="0" w:color="auto"/>
            </w:tcBorders>
          </w:tcPr>
          <w:p>
            <w:pPr>
              <w:pStyle w:val="TableParagraph"/>
              <w:spacing w:line="180" w:lineRule="exact"/>
              <w:ind w:left="29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44" w:type="dxa"/>
            <w:tcBorders>
              <w:top w:val="nil" w:sz="6" w:space="0" w:color="auto"/>
              <w:left w:val="nil" w:sz="6" w:space="0" w:color="auto"/>
              <w:bottom w:val="single" w:sz="4" w:space="0" w:color="000000"/>
              <w:right w:val="nil" w:sz="6" w:space="0" w:color="auto"/>
            </w:tcBorders>
          </w:tcPr>
          <w:p>
            <w:pPr>
              <w:pStyle w:val="TableParagraph"/>
              <w:spacing w:line="180" w:lineRule="exact"/>
              <w:ind w:left="26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1" w:hRule="exact"/>
        </w:trPr>
        <w:tc>
          <w:tcPr>
            <w:tcW w:w="230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32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64,831,616.85</w:t>
            </w:r>
            <w:r>
              <w:rPr>
                <w:rFonts w:ascii="Times New Roman"/>
                <w:spacing w:val="-1"/>
                <w:sz w:val="18"/>
              </w:rPr>
            </w:r>
          </w:p>
        </w:tc>
        <w:tc>
          <w:tcPr>
            <w:tcW w:w="2151"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17"/>
              <w:ind w:left="58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23,813,466.00</w:t>
            </w:r>
            <w:r>
              <w:rPr>
                <w:rFonts w:ascii="Times New Roman"/>
                <w:sz w:val="18"/>
              </w:rPr>
            </w:r>
          </w:p>
        </w:tc>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9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2,412,013.19</w:t>
            </w:r>
            <w:r>
              <w:rPr>
                <w:rFonts w:ascii="Times New Roman"/>
                <w:spacing w:val="-1"/>
                <w:sz w:val="18"/>
              </w:rPr>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86,233,069.66</w:t>
            </w:r>
            <w:r>
              <w:rPr>
                <w:rFonts w:ascii="Times New Roman"/>
                <w:spacing w:val="-1"/>
                <w:sz w:val="18"/>
              </w:rPr>
            </w:r>
          </w:p>
        </w:tc>
      </w:tr>
      <w:tr>
        <w:trPr>
          <w:trHeight w:val="400"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40,098,552.87</w:t>
            </w:r>
          </w:p>
        </w:tc>
        <w:tc>
          <w:tcPr>
            <w:tcW w:w="21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580" w:right="0"/>
              <w:jc w:val="left"/>
              <w:rPr>
                <w:rFonts w:ascii="Times New Roman" w:hAnsi="Times New Roman" w:cs="Times New Roman" w:eastAsia="Times New Roman" w:hint="default"/>
                <w:sz w:val="18"/>
                <w:szCs w:val="18"/>
              </w:rPr>
            </w:pPr>
            <w:r>
              <w:rPr>
                <w:rFonts w:ascii="Times New Roman"/>
                <w:sz w:val="18"/>
              </w:rPr>
              <w:t>22,541,902.10</w:t>
            </w:r>
          </w:p>
        </w:tc>
        <w:tc>
          <w:tcPr>
            <w:tcW w:w="14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7"/>
              <w:jc w:val="right"/>
              <w:rPr>
                <w:rFonts w:ascii="Times New Roman" w:hAnsi="Times New Roman" w:cs="Times New Roman" w:eastAsia="Times New Roman" w:hint="default"/>
                <w:sz w:val="18"/>
                <w:szCs w:val="18"/>
              </w:rPr>
            </w:pPr>
            <w:r>
              <w:rPr>
                <w:rFonts w:ascii="Times New Roman"/>
                <w:spacing w:val="-1"/>
                <w:sz w:val="18"/>
              </w:rPr>
              <w:t>62,640,454.97</w:t>
            </w:r>
          </w:p>
        </w:tc>
      </w:tr>
      <w:tr>
        <w:trPr>
          <w:trHeight w:val="400"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4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12,800.00</w:t>
            </w:r>
          </w:p>
        </w:tc>
        <w:tc>
          <w:tcPr>
            <w:tcW w:w="1024"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9"/>
              <w:jc w:val="right"/>
              <w:rPr>
                <w:rFonts w:ascii="Times New Roman" w:hAnsi="Times New Roman" w:cs="Times New Roman" w:eastAsia="Times New Roman" w:hint="default"/>
                <w:sz w:val="18"/>
                <w:szCs w:val="18"/>
              </w:rPr>
            </w:pPr>
            <w:r>
              <w:rPr>
                <w:rFonts w:ascii="Times New Roman"/>
                <w:spacing w:val="-1"/>
                <w:sz w:val="18"/>
              </w:rPr>
              <w:t>12,800.00</w:t>
            </w:r>
          </w:p>
        </w:tc>
        <w:tc>
          <w:tcPr>
            <w:tcW w:w="1344" w:type="dxa"/>
            <w:tcBorders>
              <w:top w:val="nil" w:sz="6" w:space="0" w:color="auto"/>
              <w:left w:val="nil" w:sz="6" w:space="0" w:color="auto"/>
              <w:bottom w:val="nil" w:sz="6" w:space="0" w:color="auto"/>
              <w:right w:val="nil" w:sz="6" w:space="0" w:color="auto"/>
            </w:tcBorders>
          </w:tcPr>
          <w:p>
            <w:pPr/>
          </w:p>
        </w:tc>
      </w:tr>
      <w:tr>
        <w:trPr>
          <w:trHeight w:val="401"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4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10,080,244.48</w:t>
            </w:r>
          </w:p>
        </w:tc>
        <w:tc>
          <w:tcPr>
            <w:tcW w:w="21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803" w:right="0"/>
              <w:jc w:val="left"/>
              <w:rPr>
                <w:rFonts w:ascii="Times New Roman" w:hAnsi="Times New Roman" w:cs="Times New Roman" w:eastAsia="Times New Roman" w:hint="default"/>
                <w:sz w:val="18"/>
                <w:szCs w:val="18"/>
              </w:rPr>
            </w:pPr>
            <w:r>
              <w:rPr>
                <w:rFonts w:ascii="Times New Roman"/>
                <w:sz w:val="18"/>
              </w:rPr>
              <w:t>452,400.00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9"/>
              <w:jc w:val="right"/>
              <w:rPr>
                <w:rFonts w:ascii="Times New Roman" w:hAnsi="Times New Roman" w:cs="Times New Roman" w:eastAsia="Times New Roman" w:hint="default"/>
                <w:sz w:val="18"/>
                <w:szCs w:val="18"/>
              </w:rPr>
            </w:pPr>
            <w:r>
              <w:rPr>
                <w:rFonts w:ascii="Times New Roman"/>
                <w:spacing w:val="-1"/>
                <w:sz w:val="18"/>
              </w:rPr>
              <w:t>994,340.82</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9,538,303.66</w:t>
            </w:r>
          </w:p>
        </w:tc>
      </w:tr>
      <w:tr>
        <w:trPr>
          <w:trHeight w:val="400"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0"/>
              <w:jc w:val="right"/>
              <w:rPr>
                <w:rFonts w:ascii="宋体" w:hAnsi="宋体" w:cs="宋体" w:eastAsia="宋体" w:hint="default"/>
                <w:sz w:val="18"/>
                <w:szCs w:val="18"/>
              </w:rPr>
            </w:pPr>
            <w:r>
              <w:rPr>
                <w:rFonts w:ascii="宋体" w:hAnsi="宋体" w:cs="宋体" w:eastAsia="宋体" w:hint="default"/>
                <w:sz w:val="18"/>
                <w:szCs w:val="18"/>
              </w:rPr>
              <w:t>电子设备及其他</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14,640,019.50</w:t>
            </w:r>
          </w:p>
        </w:tc>
        <w:tc>
          <w:tcPr>
            <w:tcW w:w="21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803" w:right="0"/>
              <w:jc w:val="left"/>
              <w:rPr>
                <w:rFonts w:ascii="Times New Roman" w:hAnsi="Times New Roman" w:cs="Times New Roman" w:eastAsia="Times New Roman" w:hint="default"/>
                <w:sz w:val="18"/>
                <w:szCs w:val="18"/>
              </w:rPr>
            </w:pPr>
            <w:r>
              <w:rPr>
                <w:rFonts w:ascii="Times New Roman"/>
                <w:sz w:val="18"/>
              </w:rPr>
              <w:t>819,163.90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9"/>
              <w:jc w:val="right"/>
              <w:rPr>
                <w:rFonts w:ascii="Times New Roman" w:hAnsi="Times New Roman" w:cs="Times New Roman" w:eastAsia="Times New Roman" w:hint="default"/>
                <w:sz w:val="18"/>
                <w:szCs w:val="18"/>
              </w:rPr>
            </w:pPr>
            <w:r>
              <w:rPr>
                <w:rFonts w:ascii="Times New Roman"/>
                <w:spacing w:val="-1"/>
                <w:sz w:val="18"/>
              </w:rPr>
              <w:t>1,404,872.37</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14,054,311.03</w:t>
            </w:r>
          </w:p>
        </w:tc>
      </w:tr>
      <w:tr>
        <w:trPr>
          <w:trHeight w:val="379" w:hRule="exact"/>
        </w:trPr>
        <w:tc>
          <w:tcPr>
            <w:tcW w:w="2301" w:type="dxa"/>
            <w:tcBorders>
              <w:top w:val="nil" w:sz="6" w:space="0" w:color="auto"/>
              <w:left w:val="nil" w:sz="6" w:space="0" w:color="auto"/>
              <w:bottom w:val="nil" w:sz="6" w:space="0" w:color="auto"/>
              <w:right w:val="nil" w:sz="6" w:space="0" w:color="auto"/>
            </w:tcBorders>
          </w:tcPr>
          <w:p>
            <w:pPr/>
          </w:p>
        </w:tc>
        <w:tc>
          <w:tcPr>
            <w:tcW w:w="23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144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127"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76"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c>
          <w:tcPr>
            <w:tcW w:w="14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r>
      <w:tr>
        <w:trPr>
          <w:trHeight w:val="432"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21,323,717.04</w:t>
            </w:r>
            <w:r>
              <w:rPr>
                <w:rFonts w:ascii="Times New Roman"/>
                <w:spacing w:val="-1"/>
                <w:sz w:val="18"/>
              </w:rPr>
            </w:r>
          </w:p>
        </w:tc>
        <w:tc>
          <w:tcPr>
            <w:tcW w:w="1024" w:type="dxa"/>
            <w:tcBorders>
              <w:top w:val="single" w:sz="4" w:space="0" w:color="000000"/>
              <w:left w:val="nil" w:sz="6" w:space="0" w:color="auto"/>
              <w:bottom w:val="nil" w:sz="6" w:space="0" w:color="auto"/>
              <w:right w:val="nil" w:sz="6" w:space="0" w:color="auto"/>
            </w:tcBorders>
          </w:tcPr>
          <w:p>
            <w:pPr/>
          </w:p>
        </w:tc>
        <w:tc>
          <w:tcPr>
            <w:tcW w:w="112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6,376,783.96</w:t>
            </w:r>
            <w:r>
              <w:rPr>
                <w:rFonts w:ascii="Times New Roman"/>
                <w:spacing w:val="-1"/>
                <w:sz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9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2,216,122.61</w:t>
            </w:r>
            <w:r>
              <w:rPr>
                <w:rFonts w:ascii="Times New Roman"/>
                <w:spacing w:val="-1"/>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25,484,378.39</w:t>
            </w:r>
            <w:r>
              <w:rPr>
                <w:rFonts w:ascii="Times New Roman"/>
                <w:spacing w:val="-1"/>
                <w:sz w:val="18"/>
              </w:rPr>
            </w:r>
          </w:p>
        </w:tc>
      </w:tr>
      <w:tr>
        <w:trPr>
          <w:trHeight w:val="401"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6,798,678.47</w:t>
            </w:r>
          </w:p>
        </w:tc>
        <w:tc>
          <w:tcPr>
            <w:tcW w:w="1024"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1,688,174.61</w:t>
            </w:r>
          </w:p>
        </w:tc>
        <w:tc>
          <w:tcPr>
            <w:tcW w:w="14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8,486,853.08</w:t>
            </w:r>
          </w:p>
        </w:tc>
      </w:tr>
      <w:tr>
        <w:trPr>
          <w:trHeight w:val="400"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4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2"/>
                <w:sz w:val="18"/>
              </w:rPr>
              <w:t>11,510.11</w:t>
            </w:r>
          </w:p>
        </w:tc>
        <w:tc>
          <w:tcPr>
            <w:tcW w:w="1024"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w w:val="95"/>
                <w:sz w:val="18"/>
              </w:rPr>
              <w:t>1,138.06</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9"/>
              <w:jc w:val="right"/>
              <w:rPr>
                <w:rFonts w:ascii="Times New Roman" w:hAnsi="Times New Roman" w:cs="Times New Roman" w:eastAsia="Times New Roman" w:hint="default"/>
                <w:sz w:val="18"/>
                <w:szCs w:val="18"/>
              </w:rPr>
            </w:pPr>
            <w:r>
              <w:rPr>
                <w:rFonts w:ascii="Times New Roman"/>
                <w:spacing w:val="-1"/>
                <w:sz w:val="18"/>
              </w:rPr>
              <w:t>12,648.17</w:t>
            </w:r>
          </w:p>
        </w:tc>
        <w:tc>
          <w:tcPr>
            <w:tcW w:w="1344" w:type="dxa"/>
            <w:tcBorders>
              <w:top w:val="nil" w:sz="6" w:space="0" w:color="auto"/>
              <w:left w:val="nil" w:sz="6" w:space="0" w:color="auto"/>
              <w:bottom w:val="nil" w:sz="6" w:space="0" w:color="auto"/>
              <w:right w:val="nil" w:sz="6" w:space="0" w:color="auto"/>
            </w:tcBorders>
          </w:tcPr>
          <w:p>
            <w:pPr/>
          </w:p>
        </w:tc>
      </w:tr>
      <w:tr>
        <w:trPr>
          <w:trHeight w:val="400"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4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6,371,659.61</w:t>
            </w:r>
          </w:p>
        </w:tc>
        <w:tc>
          <w:tcPr>
            <w:tcW w:w="1024"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1,283,405.04</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9"/>
              <w:jc w:val="right"/>
              <w:rPr>
                <w:rFonts w:ascii="Times New Roman" w:hAnsi="Times New Roman" w:cs="Times New Roman" w:eastAsia="Times New Roman" w:hint="default"/>
                <w:sz w:val="18"/>
                <w:szCs w:val="18"/>
              </w:rPr>
            </w:pPr>
            <w:r>
              <w:rPr>
                <w:rFonts w:ascii="Times New Roman"/>
                <w:spacing w:val="-1"/>
                <w:sz w:val="18"/>
              </w:rPr>
              <w:t>912,995.74</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6,742,068.91</w:t>
            </w:r>
          </w:p>
        </w:tc>
      </w:tr>
      <w:tr>
        <w:trPr>
          <w:trHeight w:val="402"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0"/>
              <w:jc w:val="right"/>
              <w:rPr>
                <w:rFonts w:ascii="宋体" w:hAnsi="宋体" w:cs="宋体" w:eastAsia="宋体" w:hint="default"/>
                <w:sz w:val="18"/>
                <w:szCs w:val="18"/>
              </w:rPr>
            </w:pPr>
            <w:r>
              <w:rPr>
                <w:rFonts w:ascii="宋体" w:hAnsi="宋体" w:cs="宋体" w:eastAsia="宋体" w:hint="default"/>
                <w:sz w:val="18"/>
                <w:szCs w:val="18"/>
              </w:rPr>
              <w:t>电子设备及其他</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8,141,868.85</w:t>
            </w:r>
          </w:p>
        </w:tc>
        <w:tc>
          <w:tcPr>
            <w:tcW w:w="1024"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3,404,066.25</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9"/>
              <w:jc w:val="right"/>
              <w:rPr>
                <w:rFonts w:ascii="Times New Roman" w:hAnsi="Times New Roman" w:cs="Times New Roman" w:eastAsia="Times New Roman" w:hint="default"/>
                <w:sz w:val="18"/>
                <w:szCs w:val="18"/>
              </w:rPr>
            </w:pPr>
            <w:r>
              <w:rPr>
                <w:rFonts w:ascii="Times New Roman"/>
                <w:spacing w:val="-1"/>
                <w:sz w:val="18"/>
              </w:rPr>
              <w:t>1,290,478.70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7"/>
              <w:jc w:val="right"/>
              <w:rPr>
                <w:rFonts w:ascii="Times New Roman" w:hAnsi="Times New Roman" w:cs="Times New Roman" w:eastAsia="Times New Roman" w:hint="default"/>
                <w:sz w:val="18"/>
                <w:szCs w:val="18"/>
              </w:rPr>
            </w:pPr>
            <w:r>
              <w:rPr>
                <w:rFonts w:ascii="Times New Roman"/>
                <w:spacing w:val="-1"/>
                <w:sz w:val="18"/>
              </w:rPr>
              <w:t>10,255,456.40</w:t>
            </w:r>
          </w:p>
        </w:tc>
      </w:tr>
      <w:tr>
        <w:trPr>
          <w:trHeight w:val="755"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364" w:lineRule="auto" w:before="51"/>
              <w:ind w:left="108" w:right="179"/>
              <w:jc w:val="left"/>
              <w:rPr>
                <w:rFonts w:ascii="宋体" w:hAnsi="宋体" w:cs="宋体" w:eastAsia="宋体" w:hint="default"/>
                <w:sz w:val="18"/>
                <w:szCs w:val="18"/>
              </w:rPr>
            </w:pPr>
            <w:r>
              <w:rPr>
                <w:rFonts w:ascii="宋体" w:hAnsi="宋体" w:cs="宋体" w:eastAsia="宋体" w:hint="default"/>
                <w:spacing w:val="2"/>
                <w:sz w:val="18"/>
                <w:szCs w:val="18"/>
              </w:rPr>
              <w:t>三、固定资产减值准备累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计金额合计</w:t>
            </w:r>
          </w:p>
        </w:tc>
        <w:tc>
          <w:tcPr>
            <w:tcW w:w="1324"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r>
      <w:tr>
        <w:trPr>
          <w:trHeight w:val="759"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364" w:lineRule="auto" w:before="55"/>
              <w:ind w:left="108" w:right="179"/>
              <w:jc w:val="left"/>
              <w:rPr>
                <w:rFonts w:ascii="宋体" w:hAnsi="宋体" w:cs="宋体" w:eastAsia="宋体" w:hint="default"/>
                <w:sz w:val="18"/>
                <w:szCs w:val="18"/>
              </w:rPr>
            </w:pPr>
            <w:r>
              <w:rPr>
                <w:rFonts w:ascii="宋体" w:hAnsi="宋体" w:cs="宋体" w:eastAsia="宋体" w:hint="default"/>
                <w:spacing w:val="2"/>
                <w:sz w:val="18"/>
                <w:szCs w:val="18"/>
              </w:rPr>
              <w:t>四、固定资产账面价值合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43,507,899.81</w:t>
            </w:r>
            <w:r>
              <w:rPr>
                <w:rFonts w:ascii="Times New Roman"/>
                <w:spacing w:val="-1"/>
                <w:sz w:val="18"/>
              </w:rPr>
            </w:r>
          </w:p>
        </w:tc>
        <w:tc>
          <w:tcPr>
            <w:tcW w:w="1024"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pacing w:val="-1"/>
                <w:sz w:val="18"/>
                <w:u w:val="thick" w:color="000000"/>
              </w:rPr>
              <w:t>60,748,691.27</w:t>
            </w:r>
            <w:r>
              <w:rPr>
                <w:rFonts w:ascii="Times New Roman"/>
                <w:spacing w:val="-1"/>
                <w:sz w:val="18"/>
              </w:rPr>
            </w:r>
          </w:p>
        </w:tc>
      </w:tr>
      <w:tr>
        <w:trPr>
          <w:trHeight w:val="300"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8"/>
                <w:szCs w:val="18"/>
              </w:rPr>
            </w:pPr>
            <w:r>
              <w:rPr>
                <w:rFonts w:ascii="Times New Roman"/>
                <w:spacing w:val="-1"/>
                <w:sz w:val="18"/>
              </w:rPr>
              <w:t>33,299,874.40</w:t>
            </w:r>
          </w:p>
        </w:tc>
        <w:tc>
          <w:tcPr>
            <w:tcW w:w="1024"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5"/>
              <w:jc w:val="right"/>
              <w:rPr>
                <w:rFonts w:ascii="Times New Roman" w:hAnsi="Times New Roman" w:cs="Times New Roman" w:eastAsia="Times New Roman" w:hint="default"/>
                <w:sz w:val="18"/>
                <w:szCs w:val="18"/>
              </w:rPr>
            </w:pPr>
            <w:r>
              <w:rPr>
                <w:rFonts w:ascii="Times New Roman"/>
                <w:spacing w:val="-1"/>
                <w:sz w:val="18"/>
              </w:rPr>
              <w:t>54,153,601.89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480" w:bottom="1160" w:left="1440" w:right="1440"/>
        </w:sectPr>
      </w:pPr>
    </w:p>
    <w:p>
      <w:pPr>
        <w:spacing w:line="240" w:lineRule="auto" w:before="7"/>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2237"/>
        <w:gridCol w:w="1690"/>
        <w:gridCol w:w="1637"/>
        <w:gridCol w:w="1553"/>
        <w:gridCol w:w="1407"/>
      </w:tblGrid>
      <w:tr>
        <w:trPr>
          <w:trHeight w:val="275" w:hRule="exact"/>
        </w:trPr>
        <w:tc>
          <w:tcPr>
            <w:tcW w:w="2237"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90" w:type="dxa"/>
            <w:tcBorders>
              <w:top w:val="nil" w:sz="6" w:space="0" w:color="auto"/>
              <w:left w:val="nil" w:sz="6" w:space="0" w:color="auto"/>
              <w:bottom w:val="single" w:sz="4" w:space="0" w:color="000000"/>
              <w:right w:val="nil" w:sz="6" w:space="0" w:color="auto"/>
            </w:tcBorders>
          </w:tcPr>
          <w:p>
            <w:pPr>
              <w:pStyle w:val="TableParagraph"/>
              <w:spacing w:line="180" w:lineRule="exact"/>
              <w:ind w:left="32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637" w:type="dxa"/>
            <w:tcBorders>
              <w:top w:val="nil" w:sz="6" w:space="0" w:color="auto"/>
              <w:left w:val="nil" w:sz="6" w:space="0" w:color="auto"/>
              <w:bottom w:val="single" w:sz="4" w:space="0" w:color="000000"/>
              <w:right w:val="nil" w:sz="6" w:space="0" w:color="auto"/>
            </w:tcBorders>
          </w:tcPr>
          <w:p>
            <w:pPr>
              <w:pStyle w:val="TableParagraph"/>
              <w:spacing w:line="180" w:lineRule="exact"/>
              <w:ind w:left="41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53" w:type="dxa"/>
            <w:tcBorders>
              <w:top w:val="nil" w:sz="6" w:space="0" w:color="auto"/>
              <w:left w:val="nil" w:sz="6" w:space="0" w:color="auto"/>
              <w:bottom w:val="single" w:sz="4" w:space="0" w:color="000000"/>
              <w:right w:val="nil" w:sz="6" w:space="0" w:color="auto"/>
            </w:tcBorders>
          </w:tcPr>
          <w:p>
            <w:pPr>
              <w:pStyle w:val="TableParagraph"/>
              <w:spacing w:line="180" w:lineRule="exact"/>
              <w:ind w:left="50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07" w:type="dxa"/>
            <w:tcBorders>
              <w:top w:val="nil" w:sz="6" w:space="0" w:color="auto"/>
              <w:left w:val="nil" w:sz="6" w:space="0" w:color="auto"/>
              <w:bottom w:val="single" w:sz="4" w:space="0" w:color="000000"/>
              <w:right w:val="nil" w:sz="6" w:space="0" w:color="auto"/>
            </w:tcBorders>
          </w:tcPr>
          <w:p>
            <w:pPr>
              <w:pStyle w:val="TableParagraph"/>
              <w:spacing w:line="180" w:lineRule="exact"/>
              <w:ind w:left="32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1" w:hRule="exact"/>
        </w:trPr>
        <w:tc>
          <w:tcPr>
            <w:tcW w:w="223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64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648" w:right="0"/>
              <w:jc w:val="left"/>
              <w:rPr>
                <w:rFonts w:ascii="Times New Roman" w:hAnsi="Times New Roman" w:cs="Times New Roman" w:eastAsia="Times New Roman" w:hint="default"/>
                <w:sz w:val="18"/>
                <w:szCs w:val="18"/>
              </w:rPr>
            </w:pPr>
            <w:r>
              <w:rPr>
                <w:rFonts w:ascii="Times New Roman"/>
                <w:sz w:val="18"/>
              </w:rPr>
              <w:t>1,289.89</w:t>
            </w:r>
          </w:p>
        </w:tc>
        <w:tc>
          <w:tcPr>
            <w:tcW w:w="1637" w:type="dxa"/>
            <w:tcBorders>
              <w:top w:val="single" w:sz="4" w:space="0" w:color="000000"/>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nil" w:sz="6" w:space="0" w:color="auto"/>
              <w:right w:val="nil" w:sz="6" w:space="0" w:color="auto"/>
            </w:tcBorders>
          </w:tcPr>
          <w:p>
            <w:pPr/>
          </w:p>
        </w:tc>
        <w:tc>
          <w:tcPr>
            <w:tcW w:w="1407" w:type="dxa"/>
            <w:tcBorders>
              <w:top w:val="single" w:sz="4" w:space="0" w:color="000000"/>
              <w:left w:val="nil" w:sz="6" w:space="0" w:color="auto"/>
              <w:bottom w:val="nil" w:sz="6" w:space="0" w:color="auto"/>
              <w:right w:val="nil" w:sz="6" w:space="0" w:color="auto"/>
            </w:tcBorders>
          </w:tcPr>
          <w:p>
            <w:pPr/>
          </w:p>
        </w:tc>
      </w:tr>
      <w:tr>
        <w:trPr>
          <w:trHeight w:val="400" w:hRule="exact"/>
        </w:trPr>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4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33" w:right="0"/>
              <w:jc w:val="left"/>
              <w:rPr>
                <w:rFonts w:ascii="Times New Roman" w:hAnsi="Times New Roman" w:cs="Times New Roman" w:eastAsia="Times New Roman" w:hint="default"/>
                <w:sz w:val="18"/>
                <w:szCs w:val="18"/>
              </w:rPr>
            </w:pPr>
            <w:r>
              <w:rPr>
                <w:rFonts w:ascii="Times New Roman"/>
                <w:sz w:val="18"/>
              </w:rPr>
              <w:t>3,708,584.87</w:t>
            </w:r>
          </w:p>
        </w:tc>
        <w:tc>
          <w:tcPr>
            <w:tcW w:w="163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3" w:right="0"/>
              <w:jc w:val="left"/>
              <w:rPr>
                <w:rFonts w:ascii="Times New Roman" w:hAnsi="Times New Roman" w:cs="Times New Roman" w:eastAsia="Times New Roman" w:hint="default"/>
                <w:sz w:val="18"/>
                <w:szCs w:val="18"/>
              </w:rPr>
            </w:pPr>
            <w:r>
              <w:rPr>
                <w:rFonts w:ascii="Times New Roman"/>
                <w:sz w:val="18"/>
              </w:rPr>
              <w:t>2,796,234.75</w:t>
            </w:r>
          </w:p>
        </w:tc>
      </w:tr>
      <w:tr>
        <w:trPr>
          <w:trHeight w:val="294" w:hRule="exact"/>
        </w:trPr>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47"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6,498,150.65</w:t>
            </w:r>
          </w:p>
        </w:tc>
        <w:tc>
          <w:tcPr>
            <w:tcW w:w="163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3,798,854.63</w:t>
            </w:r>
          </w:p>
        </w:tc>
      </w:tr>
    </w:tbl>
    <w:p>
      <w:pPr>
        <w:spacing w:line="240" w:lineRule="auto" w:before="12"/>
        <w:rPr>
          <w:rFonts w:ascii="宋体" w:hAnsi="宋体" w:cs="宋体" w:eastAsia="宋体" w:hint="default"/>
          <w:sz w:val="29"/>
          <w:szCs w:val="29"/>
        </w:rPr>
      </w:pPr>
    </w:p>
    <w:p>
      <w:pPr>
        <w:pStyle w:val="BodyText"/>
        <w:spacing w:line="240" w:lineRule="auto" w:before="44"/>
        <w:ind w:left="580" w:right="0"/>
        <w:jc w:val="left"/>
      </w:pPr>
      <w:r>
        <w:rPr/>
        <w:t>（</w:t>
      </w:r>
      <w:r>
        <w:rPr>
          <w:rFonts w:ascii="Times New Roman" w:hAnsi="Times New Roman" w:cs="Times New Roman" w:eastAsia="Times New Roman" w:hint="default"/>
        </w:rPr>
        <w:t>2</w:t>
      </w:r>
      <w:r>
        <w:rPr/>
        <w:t>）本期计提的累计折旧额为</w:t>
      </w:r>
      <w:r>
        <w:rPr>
          <w:spacing w:val="-47"/>
        </w:rPr>
        <w:t> </w:t>
      </w:r>
      <w:r>
        <w:rPr>
          <w:rFonts w:ascii="Times New Roman" w:hAnsi="Times New Roman" w:cs="Times New Roman" w:eastAsia="Times New Roman" w:hint="default"/>
        </w:rPr>
        <w:t>6,376,783.96 </w:t>
      </w:r>
      <w:r>
        <w:rPr/>
        <w:t>元。</w:t>
      </w:r>
    </w:p>
    <w:p>
      <w:pPr>
        <w:spacing w:line="240" w:lineRule="auto" w:before="8"/>
        <w:rPr>
          <w:rFonts w:ascii="宋体" w:hAnsi="宋体" w:cs="宋体" w:eastAsia="宋体" w:hint="default"/>
          <w:sz w:val="20"/>
          <w:szCs w:val="20"/>
        </w:rPr>
      </w:pPr>
    </w:p>
    <w:p>
      <w:pPr>
        <w:pStyle w:val="BodyText"/>
        <w:spacing w:line="240" w:lineRule="auto"/>
        <w:ind w:left="580" w:right="0"/>
        <w:jc w:val="left"/>
      </w:pPr>
      <w:r>
        <w:rPr/>
        <w:t>（</w:t>
      </w:r>
      <w:r>
        <w:rPr>
          <w:rFonts w:ascii="Times New Roman" w:hAnsi="Times New Roman" w:cs="Times New Roman" w:eastAsia="Times New Roman" w:hint="default"/>
        </w:rPr>
        <w:t>3</w:t>
      </w:r>
      <w:r>
        <w:rPr/>
        <w:t>）期末暂时闲置固定资产情况</w:t>
      </w: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1562"/>
        <w:gridCol w:w="1529"/>
        <w:gridCol w:w="1368"/>
        <w:gridCol w:w="1292"/>
        <w:gridCol w:w="1448"/>
        <w:gridCol w:w="1324"/>
      </w:tblGrid>
      <w:tr>
        <w:trPr>
          <w:trHeight w:val="272" w:hRule="exact"/>
        </w:trPr>
        <w:tc>
          <w:tcPr>
            <w:tcW w:w="1562" w:type="dxa"/>
            <w:tcBorders>
              <w:top w:val="nil" w:sz="6" w:space="0" w:color="auto"/>
              <w:left w:val="nil" w:sz="6" w:space="0" w:color="auto"/>
              <w:bottom w:val="single" w:sz="4" w:space="0" w:color="000000"/>
              <w:right w:val="nil" w:sz="6" w:space="0" w:color="auto"/>
            </w:tcBorders>
          </w:tcPr>
          <w:p>
            <w:pPr>
              <w:pStyle w:val="TableParagraph"/>
              <w:spacing w:line="180" w:lineRule="exact"/>
              <w:ind w:left="50" w:right="0"/>
              <w:jc w:val="center"/>
              <w:rPr>
                <w:rFonts w:ascii="宋体" w:hAnsi="宋体" w:cs="宋体" w:eastAsia="宋体" w:hint="default"/>
                <w:sz w:val="18"/>
                <w:szCs w:val="18"/>
              </w:rPr>
            </w:pPr>
            <w:r>
              <w:rPr>
                <w:rFonts w:ascii="宋体" w:hAnsi="宋体" w:cs="宋体" w:eastAsia="宋体" w:hint="default"/>
                <w:b/>
                <w:bCs/>
                <w:sz w:val="18"/>
                <w:szCs w:val="18"/>
              </w:rPr>
              <w:t>固定资产类别</w:t>
            </w:r>
            <w:r>
              <w:rPr>
                <w:rFonts w:ascii="宋体" w:hAnsi="宋体" w:cs="宋体" w:eastAsia="宋体" w:hint="default"/>
                <w:sz w:val="18"/>
                <w:szCs w:val="18"/>
              </w:rPr>
            </w:r>
          </w:p>
        </w:tc>
        <w:tc>
          <w:tcPr>
            <w:tcW w:w="1529" w:type="dxa"/>
            <w:tcBorders>
              <w:top w:val="nil" w:sz="6" w:space="0" w:color="auto"/>
              <w:left w:val="nil" w:sz="6" w:space="0" w:color="auto"/>
              <w:bottom w:val="single" w:sz="4" w:space="0" w:color="000000"/>
              <w:right w:val="nil" w:sz="6" w:space="0" w:color="auto"/>
            </w:tcBorders>
          </w:tcPr>
          <w:p>
            <w:pPr>
              <w:pStyle w:val="TableParagraph"/>
              <w:spacing w:line="180" w:lineRule="exact"/>
              <w:ind w:left="213" w:right="0"/>
              <w:jc w:val="left"/>
              <w:rPr>
                <w:rFonts w:ascii="宋体" w:hAnsi="宋体" w:cs="宋体" w:eastAsia="宋体" w:hint="default"/>
                <w:sz w:val="18"/>
                <w:szCs w:val="18"/>
              </w:rPr>
            </w:pPr>
            <w:r>
              <w:rPr>
                <w:rFonts w:ascii="宋体" w:hAnsi="宋体" w:cs="宋体" w:eastAsia="宋体" w:hint="default"/>
                <w:b/>
                <w:bCs/>
                <w:sz w:val="18"/>
                <w:szCs w:val="18"/>
              </w:rPr>
              <w:t>固定资产原价</w:t>
            </w:r>
            <w:r>
              <w:rPr>
                <w:rFonts w:ascii="宋体" w:hAnsi="宋体" w:cs="宋体" w:eastAsia="宋体" w:hint="default"/>
                <w:sz w:val="18"/>
                <w:szCs w:val="18"/>
              </w:rPr>
            </w:r>
          </w:p>
        </w:tc>
        <w:tc>
          <w:tcPr>
            <w:tcW w:w="1368" w:type="dxa"/>
            <w:tcBorders>
              <w:top w:val="nil" w:sz="6" w:space="0" w:color="auto"/>
              <w:left w:val="nil" w:sz="6" w:space="0" w:color="auto"/>
              <w:bottom w:val="single" w:sz="4" w:space="0" w:color="000000"/>
              <w:right w:val="nil" w:sz="6" w:space="0" w:color="auto"/>
            </w:tcBorders>
          </w:tcPr>
          <w:p>
            <w:pPr>
              <w:pStyle w:val="TableParagraph"/>
              <w:spacing w:line="180" w:lineRule="exact"/>
              <w:ind w:right="207"/>
              <w:jc w:val="center"/>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292" w:type="dxa"/>
            <w:tcBorders>
              <w:top w:val="nil" w:sz="6" w:space="0" w:color="auto"/>
              <w:left w:val="nil" w:sz="6" w:space="0" w:color="auto"/>
              <w:bottom w:val="single" w:sz="4" w:space="0" w:color="000000"/>
              <w:right w:val="nil" w:sz="6" w:space="0" w:color="auto"/>
            </w:tcBorders>
          </w:tcPr>
          <w:p>
            <w:pPr>
              <w:pStyle w:val="TableParagraph"/>
              <w:spacing w:line="180" w:lineRule="exact"/>
              <w:ind w:left="249"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448" w:type="dxa"/>
            <w:tcBorders>
              <w:top w:val="nil" w:sz="6" w:space="0" w:color="auto"/>
              <w:left w:val="nil" w:sz="6" w:space="0" w:color="auto"/>
              <w:bottom w:val="single" w:sz="4" w:space="0" w:color="000000"/>
              <w:right w:val="nil" w:sz="6" w:space="0" w:color="auto"/>
            </w:tcBorders>
          </w:tcPr>
          <w:p>
            <w:pPr>
              <w:pStyle w:val="TableParagraph"/>
              <w:spacing w:line="180" w:lineRule="exact"/>
              <w:ind w:right="82"/>
              <w:jc w:val="center"/>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324" w:type="dxa"/>
            <w:tcBorders>
              <w:top w:val="nil" w:sz="6" w:space="0" w:color="auto"/>
              <w:left w:val="nil" w:sz="6" w:space="0" w:color="auto"/>
              <w:bottom w:val="single" w:sz="4" w:space="0" w:color="000000"/>
              <w:right w:val="nil" w:sz="6" w:space="0" w:color="auto"/>
            </w:tcBorders>
          </w:tcPr>
          <w:p>
            <w:pPr>
              <w:pStyle w:val="TableParagraph"/>
              <w:spacing w:line="180" w:lineRule="exact"/>
              <w:ind w:left="404"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10" w:hRule="exact"/>
        </w:trPr>
        <w:tc>
          <w:tcPr>
            <w:tcW w:w="1562"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50"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71"/>
              <w:jc w:val="right"/>
              <w:rPr>
                <w:rFonts w:ascii="Times New Roman" w:hAnsi="Times New Roman" w:cs="Times New Roman" w:eastAsia="Times New Roman" w:hint="default"/>
                <w:sz w:val="18"/>
                <w:szCs w:val="18"/>
              </w:rPr>
            </w:pPr>
            <w:r>
              <w:rPr>
                <w:rFonts w:ascii="Times New Roman"/>
                <w:spacing w:val="-1"/>
                <w:sz w:val="18"/>
              </w:rPr>
              <w:t>5,278,789.54</w:t>
            </w: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74"/>
              <w:jc w:val="center"/>
              <w:rPr>
                <w:rFonts w:ascii="Times New Roman" w:hAnsi="Times New Roman" w:cs="Times New Roman" w:eastAsia="Times New Roman" w:hint="default"/>
                <w:sz w:val="18"/>
                <w:szCs w:val="18"/>
              </w:rPr>
            </w:pPr>
            <w:r>
              <w:rPr>
                <w:rFonts w:ascii="Times New Roman"/>
                <w:sz w:val="18"/>
              </w:rPr>
              <w:t>1,515,676.18</w:t>
            </w:r>
          </w:p>
        </w:tc>
        <w:tc>
          <w:tcPr>
            <w:tcW w:w="1292" w:type="dxa"/>
            <w:tcBorders>
              <w:top w:val="single" w:sz="4" w:space="0" w:color="000000"/>
              <w:left w:val="nil" w:sz="6" w:space="0" w:color="auto"/>
              <w:bottom w:val="nil" w:sz="6" w:space="0" w:color="auto"/>
              <w:right w:val="nil" w:sz="6" w:space="0" w:color="auto"/>
            </w:tcBorders>
          </w:tcPr>
          <w:p>
            <w:pPr/>
          </w:p>
        </w:tc>
        <w:tc>
          <w:tcPr>
            <w:tcW w:w="144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4"/>
              <w:jc w:val="center"/>
              <w:rPr>
                <w:rFonts w:ascii="Times New Roman" w:hAnsi="Times New Roman" w:cs="Times New Roman" w:eastAsia="Times New Roman" w:hint="default"/>
                <w:sz w:val="18"/>
                <w:szCs w:val="18"/>
              </w:rPr>
            </w:pPr>
            <w:r>
              <w:rPr>
                <w:rFonts w:ascii="Times New Roman"/>
                <w:sz w:val="18"/>
              </w:rPr>
              <w:t>3,763,113.36</w:t>
            </w:r>
          </w:p>
        </w:tc>
        <w:tc>
          <w:tcPr>
            <w:tcW w:w="1324" w:type="dxa"/>
            <w:tcBorders>
              <w:top w:val="single" w:sz="4" w:space="0" w:color="000000"/>
              <w:left w:val="nil" w:sz="6" w:space="0" w:color="auto"/>
              <w:bottom w:val="nil" w:sz="6" w:space="0" w:color="auto"/>
              <w:right w:val="nil" w:sz="6" w:space="0" w:color="auto"/>
            </w:tcBorders>
          </w:tcPr>
          <w:p>
            <w:pPr/>
          </w:p>
        </w:tc>
      </w:tr>
      <w:tr>
        <w:trPr>
          <w:trHeight w:val="307"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7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5,278,789.54</w:t>
            </w:r>
            <w:r>
              <w:rPr>
                <w:rFonts w:ascii="Times New Roman"/>
                <w:spacing w:val="-1"/>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4"/>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1,515,676.18</w:t>
            </w:r>
            <w:r>
              <w:rPr>
                <w:rFonts w:ascii="Times New Roman"/>
                <w:sz w:val="18"/>
              </w:rPr>
            </w:r>
          </w:p>
        </w:tc>
        <w:tc>
          <w:tcPr>
            <w:tcW w:w="129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3,763,113.36</w:t>
            </w:r>
            <w:r>
              <w:rPr>
                <w:rFonts w:ascii="Times New Roman"/>
                <w:sz w:val="18"/>
              </w:rPr>
            </w:r>
          </w:p>
        </w:tc>
        <w:tc>
          <w:tcPr>
            <w:tcW w:w="132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580" w:right="0"/>
        <w:jc w:val="left"/>
      </w:pPr>
      <w:r>
        <w:rPr/>
        <w:t>（</w:t>
      </w:r>
      <w:r>
        <w:rPr>
          <w:rFonts w:ascii="Times New Roman" w:hAnsi="Times New Roman" w:cs="Times New Roman" w:eastAsia="Times New Roman" w:hint="default"/>
        </w:rPr>
        <w:t>4</w:t>
      </w:r>
      <w:r>
        <w:rPr/>
        <w:t>）期末未办妥产权证书的固定资产情况</w:t>
      </w: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2791"/>
        <w:gridCol w:w="2721"/>
        <w:gridCol w:w="3285"/>
      </w:tblGrid>
      <w:tr>
        <w:trPr>
          <w:trHeight w:val="275" w:hRule="exact"/>
        </w:trPr>
        <w:tc>
          <w:tcPr>
            <w:tcW w:w="2791" w:type="dxa"/>
            <w:tcBorders>
              <w:top w:val="nil" w:sz="6" w:space="0" w:color="auto"/>
              <w:left w:val="nil" w:sz="6" w:space="0" w:color="auto"/>
              <w:bottom w:val="single" w:sz="4" w:space="0" w:color="000000"/>
              <w:right w:val="nil" w:sz="6" w:space="0" w:color="auto"/>
            </w:tcBorders>
          </w:tcPr>
          <w:p>
            <w:pPr>
              <w:pStyle w:val="TableParagraph"/>
              <w:spacing w:line="180" w:lineRule="exact"/>
              <w:ind w:left="14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21" w:type="dxa"/>
            <w:tcBorders>
              <w:top w:val="nil" w:sz="6" w:space="0" w:color="auto"/>
              <w:left w:val="nil" w:sz="6" w:space="0" w:color="auto"/>
              <w:bottom w:val="single" w:sz="4" w:space="0" w:color="000000"/>
              <w:right w:val="nil" w:sz="6" w:space="0" w:color="auto"/>
            </w:tcBorders>
          </w:tcPr>
          <w:p>
            <w:pPr>
              <w:pStyle w:val="TableParagraph"/>
              <w:spacing w:line="180" w:lineRule="exact"/>
              <w:ind w:right="573"/>
              <w:jc w:val="right"/>
              <w:rPr>
                <w:rFonts w:ascii="宋体" w:hAnsi="宋体" w:cs="宋体" w:eastAsia="宋体" w:hint="default"/>
                <w:sz w:val="18"/>
                <w:szCs w:val="18"/>
              </w:rPr>
            </w:pPr>
            <w:r>
              <w:rPr>
                <w:rFonts w:ascii="宋体" w:hAnsi="宋体" w:cs="宋体" w:eastAsia="宋体" w:hint="default"/>
                <w:b/>
                <w:bCs/>
                <w:w w:val="95"/>
                <w:sz w:val="18"/>
                <w:szCs w:val="18"/>
              </w:rPr>
              <w:t>固定资产净值</w:t>
            </w:r>
            <w:r>
              <w:rPr>
                <w:rFonts w:ascii="宋体" w:hAnsi="宋体" w:cs="宋体" w:eastAsia="宋体" w:hint="default"/>
                <w:sz w:val="18"/>
                <w:szCs w:val="18"/>
              </w:rPr>
            </w:r>
          </w:p>
        </w:tc>
        <w:tc>
          <w:tcPr>
            <w:tcW w:w="3285" w:type="dxa"/>
            <w:tcBorders>
              <w:top w:val="nil" w:sz="6" w:space="0" w:color="auto"/>
              <w:left w:val="nil" w:sz="6" w:space="0" w:color="auto"/>
              <w:bottom w:val="single" w:sz="4" w:space="0" w:color="000000"/>
              <w:right w:val="nil" w:sz="6" w:space="0" w:color="auto"/>
            </w:tcBorders>
          </w:tcPr>
          <w:p>
            <w:pPr>
              <w:pStyle w:val="TableParagraph"/>
              <w:spacing w:line="180" w:lineRule="exact"/>
              <w:ind w:left="1002" w:right="0"/>
              <w:jc w:val="left"/>
              <w:rPr>
                <w:rFonts w:ascii="宋体" w:hAnsi="宋体" w:cs="宋体" w:eastAsia="宋体" w:hint="default"/>
                <w:sz w:val="18"/>
                <w:szCs w:val="18"/>
              </w:rPr>
            </w:pPr>
            <w:r>
              <w:rPr>
                <w:rFonts w:ascii="宋体" w:hAnsi="宋体" w:cs="宋体" w:eastAsia="宋体" w:hint="default"/>
                <w:b/>
                <w:bCs/>
                <w:sz w:val="18"/>
                <w:szCs w:val="18"/>
              </w:rPr>
              <w:t>未办妥产权证书原因</w:t>
            </w:r>
            <w:r>
              <w:rPr>
                <w:rFonts w:ascii="宋体" w:hAnsi="宋体" w:cs="宋体" w:eastAsia="宋体" w:hint="default"/>
                <w:sz w:val="18"/>
                <w:szCs w:val="18"/>
              </w:rPr>
            </w:r>
          </w:p>
        </w:tc>
      </w:tr>
      <w:tr>
        <w:trPr>
          <w:trHeight w:val="421" w:hRule="exact"/>
        </w:trPr>
        <w:tc>
          <w:tcPr>
            <w:tcW w:w="279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18"/>
                <w:szCs w:val="18"/>
              </w:rPr>
            </w:pPr>
            <w:r>
              <w:rPr>
                <w:rFonts w:ascii="宋体" w:hAnsi="宋体" w:cs="宋体" w:eastAsia="宋体" w:hint="default"/>
                <w:sz w:val="18"/>
                <w:szCs w:val="18"/>
              </w:rPr>
              <w:t>常德中德房产</w:t>
            </w:r>
          </w:p>
        </w:tc>
        <w:tc>
          <w:tcPr>
            <w:tcW w:w="272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455"/>
              <w:jc w:val="right"/>
              <w:rPr>
                <w:rFonts w:ascii="Times New Roman" w:hAnsi="Times New Roman" w:cs="Times New Roman" w:eastAsia="Times New Roman" w:hint="default"/>
                <w:sz w:val="18"/>
                <w:szCs w:val="18"/>
              </w:rPr>
            </w:pPr>
            <w:r>
              <w:rPr>
                <w:rFonts w:ascii="Times New Roman"/>
                <w:spacing w:val="-1"/>
                <w:sz w:val="18"/>
              </w:rPr>
              <w:t>931,842.17</w:t>
            </w:r>
          </w:p>
        </w:tc>
        <w:tc>
          <w:tcPr>
            <w:tcW w:w="328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457"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1"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郴州房屋</w:t>
            </w:r>
          </w:p>
        </w:tc>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55"/>
              <w:jc w:val="right"/>
              <w:rPr>
                <w:rFonts w:ascii="Times New Roman" w:hAnsi="Times New Roman" w:cs="Times New Roman" w:eastAsia="Times New Roman" w:hint="default"/>
                <w:sz w:val="18"/>
                <w:szCs w:val="18"/>
              </w:rPr>
            </w:pPr>
            <w:r>
              <w:rPr>
                <w:rFonts w:ascii="Times New Roman"/>
                <w:spacing w:val="-1"/>
                <w:sz w:val="18"/>
              </w:rPr>
              <w:t>842,889.50</w:t>
            </w:r>
          </w:p>
        </w:tc>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57" w:right="0"/>
              <w:jc w:val="left"/>
              <w:rPr>
                <w:rFonts w:ascii="宋体" w:hAnsi="宋体" w:cs="宋体" w:eastAsia="宋体" w:hint="default"/>
                <w:sz w:val="18"/>
                <w:szCs w:val="18"/>
              </w:rPr>
            </w:pPr>
            <w:r>
              <w:rPr>
                <w:rFonts w:ascii="宋体" w:hAnsi="宋体" w:cs="宋体" w:eastAsia="宋体" w:hint="default"/>
                <w:sz w:val="18"/>
                <w:szCs w:val="18"/>
              </w:rPr>
              <w:t>根据合同约定进度办理</w:t>
            </w:r>
          </w:p>
        </w:tc>
      </w:tr>
      <w:tr>
        <w:trPr>
          <w:trHeight w:val="409"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长沙绿地广场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套房</w:t>
            </w:r>
          </w:p>
        </w:tc>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55"/>
              <w:jc w:val="right"/>
              <w:rPr>
                <w:rFonts w:ascii="Times New Roman" w:hAnsi="Times New Roman" w:cs="Times New Roman" w:eastAsia="Times New Roman" w:hint="default"/>
                <w:sz w:val="18"/>
                <w:szCs w:val="18"/>
              </w:rPr>
            </w:pPr>
            <w:r>
              <w:rPr>
                <w:rFonts w:ascii="Times New Roman"/>
                <w:spacing w:val="-1"/>
                <w:sz w:val="18"/>
              </w:rPr>
              <w:t>17,057,708.62</w:t>
            </w:r>
          </w:p>
        </w:tc>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57"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294"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3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5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18,832,440.29</w:t>
            </w:r>
            <w:r>
              <w:rPr>
                <w:rFonts w:ascii="Times New Roman"/>
                <w:spacing w:val="-1"/>
                <w:sz w:val="18"/>
              </w:rPr>
            </w:r>
          </w:p>
        </w:tc>
        <w:tc>
          <w:tcPr>
            <w:tcW w:w="3285"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9"/>
          <w:szCs w:val="29"/>
        </w:rPr>
      </w:pPr>
    </w:p>
    <w:p>
      <w:pPr>
        <w:pStyle w:val="BodyText"/>
        <w:spacing w:line="240" w:lineRule="auto" w:before="44"/>
        <w:ind w:left="580" w:right="0"/>
        <w:jc w:val="left"/>
      </w:pPr>
      <w:r>
        <w:rPr/>
        <w:t>（</w:t>
      </w:r>
      <w:r>
        <w:rPr>
          <w:rFonts w:ascii="Times New Roman" w:hAnsi="Times New Roman" w:cs="Times New Roman" w:eastAsia="Times New Roman" w:hint="default"/>
        </w:rPr>
        <w:t>5</w:t>
      </w:r>
      <w:r>
        <w:rPr/>
        <w:t>）期末无融资租赁租入的固定资产。</w:t>
      </w:r>
    </w:p>
    <w:p>
      <w:pPr>
        <w:spacing w:line="240" w:lineRule="auto" w:before="8"/>
        <w:rPr>
          <w:rFonts w:ascii="宋体" w:hAnsi="宋体" w:cs="宋体" w:eastAsia="宋体" w:hint="default"/>
          <w:sz w:val="20"/>
          <w:szCs w:val="20"/>
        </w:rPr>
      </w:pPr>
    </w:p>
    <w:p>
      <w:pPr>
        <w:pStyle w:val="BodyText"/>
        <w:spacing w:line="240" w:lineRule="auto"/>
        <w:ind w:left="580" w:right="0"/>
        <w:jc w:val="left"/>
      </w:pPr>
      <w:r>
        <w:rPr/>
        <w:t>（</w:t>
      </w:r>
      <w:r>
        <w:rPr>
          <w:rFonts w:ascii="Times New Roman" w:hAnsi="Times New Roman" w:cs="Times New Roman" w:eastAsia="Times New Roman" w:hint="default"/>
        </w:rPr>
        <w:t>6</w:t>
      </w:r>
      <w:r>
        <w:rPr/>
        <w:t>）本期经营租赁租出的固定资产</w:t>
      </w: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4259"/>
        <w:gridCol w:w="4265"/>
      </w:tblGrid>
      <w:tr>
        <w:trPr>
          <w:trHeight w:val="272" w:hRule="exact"/>
        </w:trPr>
        <w:tc>
          <w:tcPr>
            <w:tcW w:w="425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固定资产类别</w:t>
            </w:r>
            <w:r>
              <w:rPr>
                <w:rFonts w:ascii="宋体" w:hAnsi="宋体" w:cs="宋体" w:eastAsia="宋体" w:hint="default"/>
                <w:sz w:val="18"/>
                <w:szCs w:val="18"/>
              </w:rPr>
            </w:r>
          </w:p>
        </w:tc>
        <w:tc>
          <w:tcPr>
            <w:tcW w:w="4265"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固定资产净值</w:t>
            </w:r>
            <w:r>
              <w:rPr>
                <w:rFonts w:ascii="宋体" w:hAnsi="宋体" w:cs="宋体" w:eastAsia="宋体" w:hint="default"/>
                <w:sz w:val="18"/>
                <w:szCs w:val="18"/>
              </w:rPr>
            </w:r>
          </w:p>
        </w:tc>
      </w:tr>
      <w:tr>
        <w:trPr>
          <w:trHeight w:val="431" w:hRule="exact"/>
        </w:trPr>
        <w:tc>
          <w:tcPr>
            <w:tcW w:w="425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426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373"/>
              <w:jc w:val="right"/>
              <w:rPr>
                <w:rFonts w:ascii="Times New Roman" w:hAnsi="Times New Roman" w:cs="Times New Roman" w:eastAsia="Times New Roman" w:hint="default"/>
                <w:sz w:val="18"/>
                <w:szCs w:val="18"/>
              </w:rPr>
            </w:pPr>
            <w:r>
              <w:rPr>
                <w:rFonts w:ascii="Times New Roman"/>
                <w:spacing w:val="-1"/>
                <w:sz w:val="18"/>
              </w:rPr>
              <w:t>3,563,204.55</w:t>
            </w:r>
          </w:p>
        </w:tc>
      </w:tr>
      <w:tr>
        <w:trPr>
          <w:trHeight w:val="295" w:hRule="exact"/>
        </w:trPr>
        <w:tc>
          <w:tcPr>
            <w:tcW w:w="42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426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37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pacing w:val="-1"/>
                <w:sz w:val="18"/>
                <w:u w:val="thick" w:color="000000"/>
              </w:rPr>
              <w:t>3,563,204.55</w:t>
            </w:r>
            <w:r>
              <w:rPr>
                <w:rFonts w:ascii="Times New Roman"/>
                <w:spacing w:val="-1"/>
                <w:sz w:val="18"/>
              </w:rPr>
            </w:r>
          </w:p>
        </w:tc>
      </w:tr>
    </w:tbl>
    <w:p>
      <w:pPr>
        <w:spacing w:line="240" w:lineRule="auto" w:before="13"/>
        <w:rPr>
          <w:rFonts w:ascii="宋体" w:hAnsi="宋体" w:cs="宋体" w:eastAsia="宋体" w:hint="default"/>
          <w:sz w:val="29"/>
          <w:szCs w:val="29"/>
        </w:rPr>
      </w:pPr>
    </w:p>
    <w:p>
      <w:pPr>
        <w:pStyle w:val="BodyText"/>
        <w:spacing w:line="240" w:lineRule="auto" w:before="44"/>
        <w:ind w:left="580" w:right="0"/>
        <w:jc w:val="left"/>
      </w:pPr>
      <w:r>
        <w:rPr>
          <w:rFonts w:ascii="Times New Roman" w:hAnsi="Times New Roman" w:cs="Times New Roman" w:eastAsia="Times New Roman" w:hint="default"/>
        </w:rPr>
        <w:t>12. </w:t>
      </w:r>
      <w:r>
        <w:rPr>
          <w:rFonts w:ascii="Times New Roman" w:hAnsi="Times New Roman" w:cs="Times New Roman" w:eastAsia="Times New Roman" w:hint="default"/>
          <w:spacing w:val="1"/>
        </w:rPr>
        <w:t> </w:t>
      </w:r>
      <w:r>
        <w:rPr/>
        <w:t>无形资产</w:t>
      </w: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2506"/>
        <w:gridCol w:w="1961"/>
        <w:gridCol w:w="1383"/>
        <w:gridCol w:w="1289"/>
        <w:gridCol w:w="1385"/>
      </w:tblGrid>
      <w:tr>
        <w:trPr>
          <w:trHeight w:val="275" w:hRule="exact"/>
        </w:trPr>
        <w:tc>
          <w:tcPr>
            <w:tcW w:w="2506" w:type="dxa"/>
            <w:tcBorders>
              <w:top w:val="nil" w:sz="6" w:space="0" w:color="auto"/>
              <w:left w:val="nil" w:sz="6" w:space="0" w:color="auto"/>
              <w:bottom w:val="single" w:sz="4" w:space="0" w:color="000000"/>
              <w:right w:val="nil" w:sz="6" w:space="0" w:color="auto"/>
            </w:tcBorders>
          </w:tcPr>
          <w:p>
            <w:pPr>
              <w:pStyle w:val="TableParagraph"/>
              <w:spacing w:line="180" w:lineRule="exact"/>
              <w:ind w:left="131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61" w:type="dxa"/>
            <w:tcBorders>
              <w:top w:val="nil" w:sz="6" w:space="0" w:color="auto"/>
              <w:left w:val="nil" w:sz="6" w:space="0" w:color="auto"/>
              <w:bottom w:val="single" w:sz="4" w:space="0" w:color="000000"/>
              <w:right w:val="nil" w:sz="6" w:space="0" w:color="auto"/>
            </w:tcBorders>
          </w:tcPr>
          <w:p>
            <w:pPr>
              <w:pStyle w:val="TableParagraph"/>
              <w:spacing w:line="180" w:lineRule="exact"/>
              <w:ind w:left="81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83" w:type="dxa"/>
            <w:tcBorders>
              <w:top w:val="nil" w:sz="6" w:space="0" w:color="auto"/>
              <w:left w:val="nil" w:sz="6" w:space="0" w:color="auto"/>
              <w:bottom w:val="single" w:sz="4" w:space="0" w:color="000000"/>
              <w:right w:val="nil" w:sz="6" w:space="0" w:color="auto"/>
            </w:tcBorders>
          </w:tcPr>
          <w:p>
            <w:pPr>
              <w:pStyle w:val="TableParagraph"/>
              <w:spacing w:line="180" w:lineRule="exact"/>
              <w:ind w:left="23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89" w:type="dxa"/>
            <w:tcBorders>
              <w:top w:val="nil" w:sz="6" w:space="0" w:color="auto"/>
              <w:left w:val="nil" w:sz="6" w:space="0" w:color="auto"/>
              <w:bottom w:val="single" w:sz="4" w:space="0" w:color="000000"/>
              <w:right w:val="nil" w:sz="6" w:space="0" w:color="auto"/>
            </w:tcBorders>
          </w:tcPr>
          <w:p>
            <w:pPr>
              <w:pStyle w:val="TableParagraph"/>
              <w:spacing w:line="180" w:lineRule="exact"/>
              <w:ind w:left="23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85" w:type="dxa"/>
            <w:tcBorders>
              <w:top w:val="nil" w:sz="6" w:space="0" w:color="auto"/>
              <w:left w:val="nil" w:sz="6" w:space="0" w:color="auto"/>
              <w:bottom w:val="single" w:sz="4" w:space="0" w:color="000000"/>
              <w:right w:val="nil" w:sz="6" w:space="0" w:color="auto"/>
            </w:tcBorders>
          </w:tcPr>
          <w:p>
            <w:pPr>
              <w:pStyle w:val="TableParagraph"/>
              <w:spacing w:line="180"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1" w:hRule="exact"/>
        </w:trPr>
        <w:tc>
          <w:tcPr>
            <w:tcW w:w="250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96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4,177,374.21</w:t>
            </w:r>
            <w:r>
              <w:rPr>
                <w:rFonts w:ascii="Times New Roman"/>
                <w:spacing w:val="-1"/>
                <w:sz w:val="18"/>
              </w:rPr>
            </w:r>
          </w:p>
        </w:tc>
        <w:tc>
          <w:tcPr>
            <w:tcW w:w="138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144,677.91</w:t>
            </w:r>
            <w:r>
              <w:rPr>
                <w:rFonts w:ascii="Times New Roman"/>
                <w:spacing w:val="-1"/>
                <w:sz w:val="18"/>
              </w:rPr>
            </w:r>
          </w:p>
        </w:tc>
        <w:tc>
          <w:tcPr>
            <w:tcW w:w="1289" w:type="dxa"/>
            <w:tcBorders>
              <w:top w:val="single" w:sz="4" w:space="0" w:color="000000"/>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4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4,322,052.12</w:t>
            </w:r>
            <w:r>
              <w:rPr>
                <w:rFonts w:ascii="Times New Roman"/>
                <w:spacing w:val="-1"/>
                <w:sz w:val="18"/>
              </w:rPr>
            </w:r>
          </w:p>
        </w:tc>
      </w:tr>
      <w:tr>
        <w:trPr>
          <w:trHeight w:val="401"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32" w:right="0"/>
              <w:jc w:val="left"/>
              <w:rPr>
                <w:rFonts w:ascii="宋体" w:hAnsi="宋体" w:cs="宋体" w:eastAsia="宋体" w:hint="default"/>
                <w:sz w:val="18"/>
                <w:szCs w:val="18"/>
              </w:rPr>
            </w:pPr>
            <w:r>
              <w:rPr>
                <w:rFonts w:ascii="宋体" w:hAnsi="宋体" w:cs="宋体" w:eastAsia="宋体" w:hint="default"/>
                <w:sz w:val="18"/>
                <w:szCs w:val="18"/>
              </w:rPr>
              <w:t>发行权</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5"/>
              <w:jc w:val="right"/>
              <w:rPr>
                <w:rFonts w:ascii="Times New Roman" w:hAnsi="Times New Roman" w:cs="Times New Roman" w:eastAsia="Times New Roman" w:hint="default"/>
                <w:sz w:val="18"/>
                <w:szCs w:val="18"/>
              </w:rPr>
            </w:pPr>
            <w:r>
              <w:rPr>
                <w:rFonts w:ascii="Times New Roman"/>
                <w:spacing w:val="-1"/>
                <w:sz w:val="18"/>
              </w:rPr>
              <w:t>1,577,800.00</w:t>
            </w:r>
          </w:p>
        </w:tc>
        <w:tc>
          <w:tcPr>
            <w:tcW w:w="1383"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41"/>
              <w:jc w:val="right"/>
              <w:rPr>
                <w:rFonts w:ascii="Times New Roman" w:hAnsi="Times New Roman" w:cs="Times New Roman" w:eastAsia="Times New Roman" w:hint="default"/>
                <w:sz w:val="18"/>
                <w:szCs w:val="18"/>
              </w:rPr>
            </w:pPr>
            <w:r>
              <w:rPr>
                <w:rFonts w:ascii="Times New Roman"/>
                <w:spacing w:val="-1"/>
                <w:sz w:val="18"/>
              </w:rPr>
              <w:t>1,577,800.00</w:t>
            </w:r>
          </w:p>
        </w:tc>
      </w:tr>
      <w:tr>
        <w:trPr>
          <w:trHeight w:val="400"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32" w:right="0"/>
              <w:jc w:val="left"/>
              <w:rPr>
                <w:rFonts w:ascii="宋体" w:hAnsi="宋体" w:cs="宋体" w:eastAsia="宋体" w:hint="default"/>
                <w:sz w:val="18"/>
                <w:szCs w:val="18"/>
              </w:rPr>
            </w:pPr>
            <w:r>
              <w:rPr>
                <w:rFonts w:ascii="宋体" w:hAnsi="宋体" w:cs="宋体" w:eastAsia="宋体" w:hint="default"/>
                <w:sz w:val="18"/>
                <w:szCs w:val="18"/>
              </w:rPr>
              <w:t>代理权</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5"/>
              <w:jc w:val="right"/>
              <w:rPr>
                <w:rFonts w:ascii="Times New Roman" w:hAnsi="Times New Roman" w:cs="Times New Roman" w:eastAsia="Times New Roman" w:hint="default"/>
                <w:sz w:val="18"/>
                <w:szCs w:val="18"/>
              </w:rPr>
            </w:pPr>
            <w:r>
              <w:rPr>
                <w:rFonts w:ascii="Times New Roman"/>
                <w:spacing w:val="-1"/>
                <w:sz w:val="18"/>
              </w:rPr>
              <w:t>500,000.00</w:t>
            </w:r>
          </w:p>
        </w:tc>
        <w:tc>
          <w:tcPr>
            <w:tcW w:w="1383"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4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0"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32"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35"/>
              <w:jc w:val="right"/>
              <w:rPr>
                <w:rFonts w:ascii="Times New Roman" w:hAnsi="Times New Roman" w:cs="Times New Roman" w:eastAsia="Times New Roman" w:hint="default"/>
                <w:sz w:val="18"/>
                <w:szCs w:val="18"/>
              </w:rPr>
            </w:pPr>
            <w:r>
              <w:rPr>
                <w:rFonts w:ascii="Times New Roman"/>
                <w:spacing w:val="-1"/>
                <w:sz w:val="18"/>
              </w:rPr>
              <w:t>291,350.00</w:t>
            </w:r>
          </w:p>
        </w:tc>
        <w:tc>
          <w:tcPr>
            <w:tcW w:w="1383"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41"/>
              <w:jc w:val="right"/>
              <w:rPr>
                <w:rFonts w:ascii="Times New Roman" w:hAnsi="Times New Roman" w:cs="Times New Roman" w:eastAsia="Times New Roman" w:hint="default"/>
                <w:sz w:val="18"/>
                <w:szCs w:val="18"/>
              </w:rPr>
            </w:pPr>
            <w:r>
              <w:rPr>
                <w:rFonts w:ascii="Times New Roman"/>
                <w:spacing w:val="-1"/>
                <w:sz w:val="18"/>
              </w:rPr>
              <w:t>291,350.00</w:t>
            </w:r>
          </w:p>
        </w:tc>
      </w:tr>
      <w:tr>
        <w:trPr>
          <w:trHeight w:val="401"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3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5"/>
              <w:jc w:val="right"/>
              <w:rPr>
                <w:rFonts w:ascii="Times New Roman" w:hAnsi="Times New Roman" w:cs="Times New Roman" w:eastAsia="Times New Roman" w:hint="default"/>
                <w:sz w:val="18"/>
                <w:szCs w:val="18"/>
              </w:rPr>
            </w:pPr>
            <w:r>
              <w:rPr>
                <w:rFonts w:ascii="Times New Roman"/>
                <w:spacing w:val="-1"/>
                <w:sz w:val="18"/>
              </w:rPr>
              <w:t>57,700.00</w:t>
            </w:r>
          </w:p>
        </w:tc>
        <w:tc>
          <w:tcPr>
            <w:tcW w:w="1383"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41"/>
              <w:jc w:val="right"/>
              <w:rPr>
                <w:rFonts w:ascii="Times New Roman" w:hAnsi="Times New Roman" w:cs="Times New Roman" w:eastAsia="Times New Roman" w:hint="default"/>
                <w:sz w:val="18"/>
                <w:szCs w:val="18"/>
              </w:rPr>
            </w:pPr>
            <w:r>
              <w:rPr>
                <w:rFonts w:ascii="Times New Roman"/>
                <w:spacing w:val="-1"/>
                <w:sz w:val="18"/>
              </w:rPr>
              <w:t>57,700.00</w:t>
            </w:r>
          </w:p>
        </w:tc>
      </w:tr>
      <w:tr>
        <w:trPr>
          <w:trHeight w:val="400"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3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5"/>
              <w:jc w:val="right"/>
              <w:rPr>
                <w:rFonts w:ascii="Times New Roman" w:hAnsi="Times New Roman" w:cs="Times New Roman" w:eastAsia="Times New Roman" w:hint="default"/>
                <w:sz w:val="18"/>
                <w:szCs w:val="18"/>
              </w:rPr>
            </w:pPr>
            <w:r>
              <w:rPr>
                <w:rFonts w:ascii="Times New Roman"/>
                <w:spacing w:val="-1"/>
                <w:sz w:val="18"/>
              </w:rPr>
              <w:t>1,750,524.21</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2"/>
              <w:jc w:val="right"/>
              <w:rPr>
                <w:rFonts w:ascii="Times New Roman" w:hAnsi="Times New Roman" w:cs="Times New Roman" w:eastAsia="Times New Roman" w:hint="default"/>
                <w:sz w:val="18"/>
                <w:szCs w:val="18"/>
              </w:rPr>
            </w:pPr>
            <w:r>
              <w:rPr>
                <w:rFonts w:ascii="Times New Roman"/>
                <w:spacing w:val="-1"/>
                <w:sz w:val="18"/>
              </w:rPr>
              <w:t>144,677.91</w:t>
            </w:r>
          </w:p>
        </w:tc>
        <w:tc>
          <w:tcPr>
            <w:tcW w:w="1289"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41"/>
              <w:jc w:val="right"/>
              <w:rPr>
                <w:rFonts w:ascii="Times New Roman" w:hAnsi="Times New Roman" w:cs="Times New Roman" w:eastAsia="Times New Roman" w:hint="default"/>
                <w:sz w:val="18"/>
                <w:szCs w:val="18"/>
              </w:rPr>
            </w:pPr>
            <w:r>
              <w:rPr>
                <w:rFonts w:ascii="Times New Roman"/>
                <w:spacing w:val="-1"/>
                <w:sz w:val="18"/>
              </w:rPr>
              <w:t>1,895,202.12</w:t>
            </w:r>
          </w:p>
        </w:tc>
      </w:tr>
      <w:tr>
        <w:trPr>
          <w:trHeight w:val="395"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61"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r>
      <w:tr>
        <w:trPr>
          <w:trHeight w:val="300"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3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3,149,203.57</w:t>
            </w:r>
            <w:r>
              <w:rPr>
                <w:rFonts w:ascii="Times New Roman"/>
                <w:spacing w:val="-1"/>
                <w:sz w:val="18"/>
              </w:rPr>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353,418.21</w:t>
            </w:r>
            <w:r>
              <w:rPr>
                <w:rFonts w:ascii="Times New Roman"/>
                <w:spacing w:val="-1"/>
                <w:sz w:val="18"/>
              </w:rPr>
            </w:r>
          </w:p>
        </w:tc>
        <w:tc>
          <w:tcPr>
            <w:tcW w:w="1289"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4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3,502,621.78</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480" w:bottom="1160" w:left="1580" w:right="1300"/>
        </w:sectPr>
      </w:pPr>
    </w:p>
    <w:p>
      <w:pPr>
        <w:spacing w:line="240" w:lineRule="auto" w:before="7"/>
        <w:rPr>
          <w:rFonts w:ascii="宋体" w:hAnsi="宋体" w:cs="宋体" w:eastAsia="宋体" w:hint="default"/>
          <w:sz w:val="5"/>
          <w:szCs w:val="5"/>
        </w:rPr>
      </w:pPr>
    </w:p>
    <w:tbl>
      <w:tblPr>
        <w:tblW w:w="0" w:type="auto"/>
        <w:jc w:val="left"/>
        <w:tblInd w:w="252" w:type="dxa"/>
        <w:tblLayout w:type="fixed"/>
        <w:tblCellMar>
          <w:top w:w="0" w:type="dxa"/>
          <w:left w:w="0" w:type="dxa"/>
          <w:bottom w:w="0" w:type="dxa"/>
          <w:right w:w="0" w:type="dxa"/>
        </w:tblCellMar>
        <w:tblLook w:val="01E0"/>
      </w:tblPr>
      <w:tblGrid>
        <w:gridCol w:w="3082"/>
        <w:gridCol w:w="1385"/>
        <w:gridCol w:w="1383"/>
        <w:gridCol w:w="1271"/>
        <w:gridCol w:w="1403"/>
      </w:tblGrid>
      <w:tr>
        <w:trPr>
          <w:trHeight w:val="375" w:hRule="exact"/>
        </w:trPr>
        <w:tc>
          <w:tcPr>
            <w:tcW w:w="308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3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8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3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7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3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0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1" w:hRule="exact"/>
        </w:trPr>
        <w:tc>
          <w:tcPr>
            <w:tcW w:w="308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532" w:right="0"/>
              <w:jc w:val="left"/>
              <w:rPr>
                <w:rFonts w:ascii="宋体" w:hAnsi="宋体" w:cs="宋体" w:eastAsia="宋体" w:hint="default"/>
                <w:sz w:val="18"/>
                <w:szCs w:val="18"/>
              </w:rPr>
            </w:pPr>
            <w:r>
              <w:rPr>
                <w:rFonts w:ascii="宋体" w:hAnsi="宋体" w:cs="宋体" w:eastAsia="宋体" w:hint="default"/>
                <w:sz w:val="18"/>
                <w:szCs w:val="18"/>
              </w:rPr>
              <w:t>发行权</w:t>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201" w:right="0"/>
              <w:jc w:val="left"/>
              <w:rPr>
                <w:rFonts w:ascii="Times New Roman" w:hAnsi="Times New Roman" w:cs="Times New Roman" w:eastAsia="Times New Roman" w:hint="default"/>
                <w:sz w:val="18"/>
                <w:szCs w:val="18"/>
              </w:rPr>
            </w:pPr>
            <w:r>
              <w:rPr>
                <w:rFonts w:ascii="Times New Roman"/>
                <w:sz w:val="18"/>
              </w:rPr>
              <w:t>1,577,800.00</w:t>
            </w:r>
          </w:p>
        </w:tc>
        <w:tc>
          <w:tcPr>
            <w:tcW w:w="1383" w:type="dxa"/>
            <w:tcBorders>
              <w:top w:val="single" w:sz="4" w:space="0" w:color="000000"/>
              <w:left w:val="nil" w:sz="6" w:space="0" w:color="auto"/>
              <w:bottom w:val="nil" w:sz="6" w:space="0" w:color="auto"/>
              <w:right w:val="nil" w:sz="6" w:space="0" w:color="auto"/>
            </w:tcBorders>
          </w:tcPr>
          <w:p>
            <w:pPr/>
          </w:p>
        </w:tc>
        <w:tc>
          <w:tcPr>
            <w:tcW w:w="1271" w:type="dxa"/>
            <w:tcBorders>
              <w:top w:val="single" w:sz="4" w:space="0" w:color="000000"/>
              <w:left w:val="nil" w:sz="6" w:space="0" w:color="auto"/>
              <w:bottom w:val="nil" w:sz="6" w:space="0" w:color="auto"/>
              <w:right w:val="nil" w:sz="6" w:space="0" w:color="auto"/>
            </w:tcBorders>
          </w:tcPr>
          <w:p>
            <w:pPr/>
          </w:p>
        </w:tc>
        <w:tc>
          <w:tcPr>
            <w:tcW w:w="140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41"/>
              <w:jc w:val="right"/>
              <w:rPr>
                <w:rFonts w:ascii="Times New Roman" w:hAnsi="Times New Roman" w:cs="Times New Roman" w:eastAsia="Times New Roman" w:hint="default"/>
                <w:sz w:val="18"/>
                <w:szCs w:val="18"/>
              </w:rPr>
            </w:pPr>
            <w:r>
              <w:rPr>
                <w:rFonts w:ascii="Times New Roman"/>
                <w:spacing w:val="-1"/>
                <w:sz w:val="18"/>
              </w:rPr>
              <w:t>1,577,800.00</w:t>
            </w:r>
          </w:p>
        </w:tc>
      </w:tr>
      <w:tr>
        <w:trPr>
          <w:trHeight w:val="400"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32" w:right="0"/>
              <w:jc w:val="left"/>
              <w:rPr>
                <w:rFonts w:ascii="宋体" w:hAnsi="宋体" w:cs="宋体" w:eastAsia="宋体" w:hint="default"/>
                <w:sz w:val="18"/>
                <w:szCs w:val="18"/>
              </w:rPr>
            </w:pPr>
            <w:r>
              <w:rPr>
                <w:rFonts w:ascii="宋体" w:hAnsi="宋体" w:cs="宋体" w:eastAsia="宋体" w:hint="default"/>
                <w:sz w:val="18"/>
                <w:szCs w:val="18"/>
              </w:rPr>
              <w:t>代理权</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5"/>
              <w:jc w:val="right"/>
              <w:rPr>
                <w:rFonts w:ascii="Times New Roman" w:hAnsi="Times New Roman" w:cs="Times New Roman" w:eastAsia="Times New Roman" w:hint="default"/>
                <w:sz w:val="18"/>
                <w:szCs w:val="18"/>
              </w:rPr>
            </w:pPr>
            <w:r>
              <w:rPr>
                <w:rFonts w:ascii="Times New Roman"/>
                <w:spacing w:val="-1"/>
                <w:sz w:val="18"/>
              </w:rPr>
              <w:t>500,000.00</w:t>
            </w:r>
          </w:p>
        </w:tc>
        <w:tc>
          <w:tcPr>
            <w:tcW w:w="138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4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0"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32"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35"/>
              <w:jc w:val="right"/>
              <w:rPr>
                <w:rFonts w:ascii="Times New Roman" w:hAnsi="Times New Roman" w:cs="Times New Roman" w:eastAsia="Times New Roman" w:hint="default"/>
                <w:sz w:val="18"/>
                <w:szCs w:val="18"/>
              </w:rPr>
            </w:pPr>
            <w:r>
              <w:rPr>
                <w:rFonts w:ascii="Times New Roman"/>
                <w:spacing w:val="-1"/>
                <w:sz w:val="18"/>
              </w:rPr>
              <w:t>239,643.06</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34"/>
              <w:jc w:val="right"/>
              <w:rPr>
                <w:rFonts w:ascii="Times New Roman" w:hAnsi="Times New Roman" w:cs="Times New Roman" w:eastAsia="Times New Roman" w:hint="default"/>
                <w:sz w:val="18"/>
                <w:szCs w:val="18"/>
              </w:rPr>
            </w:pPr>
            <w:r>
              <w:rPr>
                <w:rFonts w:ascii="Times New Roman"/>
                <w:w w:val="95"/>
                <w:sz w:val="18"/>
              </w:rPr>
              <w:t>5,438.86</w:t>
            </w:r>
          </w:p>
        </w:tc>
        <w:tc>
          <w:tcPr>
            <w:tcW w:w="127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41"/>
              <w:jc w:val="right"/>
              <w:rPr>
                <w:rFonts w:ascii="Times New Roman" w:hAnsi="Times New Roman" w:cs="Times New Roman" w:eastAsia="Times New Roman" w:hint="default"/>
                <w:sz w:val="18"/>
                <w:szCs w:val="18"/>
              </w:rPr>
            </w:pPr>
            <w:r>
              <w:rPr>
                <w:rFonts w:ascii="Times New Roman"/>
                <w:spacing w:val="-1"/>
                <w:sz w:val="18"/>
              </w:rPr>
              <w:t>245,081.92</w:t>
            </w:r>
          </w:p>
        </w:tc>
      </w:tr>
      <w:tr>
        <w:trPr>
          <w:trHeight w:val="401"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3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5"/>
              <w:jc w:val="right"/>
              <w:rPr>
                <w:rFonts w:ascii="Times New Roman" w:hAnsi="Times New Roman" w:cs="Times New Roman" w:eastAsia="Times New Roman" w:hint="default"/>
                <w:sz w:val="18"/>
                <w:szCs w:val="18"/>
              </w:rPr>
            </w:pPr>
            <w:r>
              <w:rPr>
                <w:rFonts w:ascii="Times New Roman"/>
                <w:spacing w:val="-1"/>
                <w:sz w:val="18"/>
              </w:rPr>
              <w:t>57,700.00</w:t>
            </w:r>
          </w:p>
        </w:tc>
        <w:tc>
          <w:tcPr>
            <w:tcW w:w="138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41"/>
              <w:jc w:val="right"/>
              <w:rPr>
                <w:rFonts w:ascii="Times New Roman" w:hAnsi="Times New Roman" w:cs="Times New Roman" w:eastAsia="Times New Roman" w:hint="default"/>
                <w:sz w:val="18"/>
                <w:szCs w:val="18"/>
              </w:rPr>
            </w:pPr>
            <w:r>
              <w:rPr>
                <w:rFonts w:ascii="Times New Roman"/>
                <w:spacing w:val="-1"/>
                <w:sz w:val="18"/>
              </w:rPr>
              <w:t>57,700.00</w:t>
            </w:r>
          </w:p>
        </w:tc>
      </w:tr>
      <w:tr>
        <w:trPr>
          <w:trHeight w:val="400"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3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5"/>
              <w:jc w:val="right"/>
              <w:rPr>
                <w:rFonts w:ascii="Times New Roman" w:hAnsi="Times New Roman" w:cs="Times New Roman" w:eastAsia="Times New Roman" w:hint="default"/>
                <w:sz w:val="18"/>
                <w:szCs w:val="18"/>
              </w:rPr>
            </w:pPr>
            <w:r>
              <w:rPr>
                <w:rFonts w:ascii="Times New Roman"/>
                <w:spacing w:val="-1"/>
                <w:sz w:val="18"/>
              </w:rPr>
              <w:t>774,060.51</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3"/>
              <w:jc w:val="right"/>
              <w:rPr>
                <w:rFonts w:ascii="Times New Roman" w:hAnsi="Times New Roman" w:cs="Times New Roman" w:eastAsia="Times New Roman" w:hint="default"/>
                <w:sz w:val="18"/>
                <w:szCs w:val="18"/>
              </w:rPr>
            </w:pPr>
            <w:r>
              <w:rPr>
                <w:rFonts w:ascii="Times New Roman"/>
                <w:spacing w:val="-1"/>
                <w:sz w:val="18"/>
              </w:rPr>
              <w:t>347,979.35</w:t>
            </w:r>
          </w:p>
        </w:tc>
        <w:tc>
          <w:tcPr>
            <w:tcW w:w="127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41"/>
              <w:jc w:val="right"/>
              <w:rPr>
                <w:rFonts w:ascii="Times New Roman" w:hAnsi="Times New Roman" w:cs="Times New Roman" w:eastAsia="Times New Roman" w:hint="default"/>
                <w:sz w:val="18"/>
                <w:szCs w:val="18"/>
              </w:rPr>
            </w:pPr>
            <w:r>
              <w:rPr>
                <w:rFonts w:ascii="Times New Roman"/>
                <w:spacing w:val="-1"/>
                <w:sz w:val="18"/>
              </w:rPr>
              <w:t>1,122,039.86</w:t>
            </w:r>
          </w:p>
        </w:tc>
      </w:tr>
      <w:tr>
        <w:trPr>
          <w:trHeight w:val="396"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6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5"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760"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364" w:lineRule="auto" w:before="56"/>
              <w:ind w:left="108" w:right="199"/>
              <w:jc w:val="left"/>
              <w:rPr>
                <w:rFonts w:ascii="宋体" w:hAnsi="宋体" w:cs="宋体" w:eastAsia="宋体" w:hint="default"/>
                <w:sz w:val="18"/>
                <w:szCs w:val="18"/>
              </w:rPr>
            </w:pPr>
            <w:r>
              <w:rPr>
                <w:rFonts w:ascii="宋体" w:hAnsi="宋体" w:cs="宋体" w:eastAsia="宋体" w:hint="default"/>
                <w:spacing w:val="4"/>
                <w:sz w:val="18"/>
                <w:szCs w:val="18"/>
              </w:rPr>
              <w:t>三、无形资产减值准备累计金额合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w:t>
            </w:r>
          </w:p>
        </w:tc>
        <w:tc>
          <w:tcPr>
            <w:tcW w:w="1385"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405"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四、无形资产账面价值合计</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1,028,170.64</w:t>
            </w:r>
            <w:r>
              <w:rPr>
                <w:rFonts w:ascii="Times New Roman"/>
                <w:sz w:val="18"/>
              </w:rPr>
            </w:r>
          </w:p>
        </w:tc>
        <w:tc>
          <w:tcPr>
            <w:tcW w:w="138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4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819,430.34</w:t>
            </w:r>
            <w:r>
              <w:rPr>
                <w:rFonts w:ascii="Times New Roman"/>
                <w:spacing w:val="-1"/>
                <w:sz w:val="18"/>
              </w:rPr>
            </w:r>
          </w:p>
        </w:tc>
      </w:tr>
      <w:tr>
        <w:trPr>
          <w:trHeight w:val="395"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32" w:right="0"/>
              <w:jc w:val="left"/>
              <w:rPr>
                <w:rFonts w:ascii="宋体" w:hAnsi="宋体" w:cs="宋体" w:eastAsia="宋体" w:hint="default"/>
                <w:sz w:val="18"/>
                <w:szCs w:val="18"/>
              </w:rPr>
            </w:pPr>
            <w:r>
              <w:rPr>
                <w:rFonts w:ascii="宋体" w:hAnsi="宋体" w:cs="宋体" w:eastAsia="宋体" w:hint="default"/>
                <w:sz w:val="18"/>
                <w:szCs w:val="18"/>
              </w:rPr>
              <w:t>发行权</w:t>
            </w:r>
          </w:p>
        </w:tc>
        <w:tc>
          <w:tcPr>
            <w:tcW w:w="1385"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401"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32" w:right="0"/>
              <w:jc w:val="left"/>
              <w:rPr>
                <w:rFonts w:ascii="宋体" w:hAnsi="宋体" w:cs="宋体" w:eastAsia="宋体" w:hint="default"/>
                <w:sz w:val="18"/>
                <w:szCs w:val="18"/>
              </w:rPr>
            </w:pPr>
            <w:r>
              <w:rPr>
                <w:rFonts w:ascii="宋体" w:hAnsi="宋体" w:cs="宋体" w:eastAsia="宋体" w:hint="default"/>
                <w:sz w:val="18"/>
                <w:szCs w:val="18"/>
              </w:rPr>
              <w:t>代理权</w:t>
            </w:r>
          </w:p>
        </w:tc>
        <w:tc>
          <w:tcPr>
            <w:tcW w:w="1385"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405"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32"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35"/>
              <w:jc w:val="right"/>
              <w:rPr>
                <w:rFonts w:ascii="Times New Roman" w:hAnsi="Times New Roman" w:cs="Times New Roman" w:eastAsia="Times New Roman" w:hint="default"/>
                <w:sz w:val="18"/>
                <w:szCs w:val="18"/>
              </w:rPr>
            </w:pPr>
            <w:r>
              <w:rPr>
                <w:rFonts w:ascii="Times New Roman"/>
                <w:spacing w:val="-1"/>
                <w:sz w:val="18"/>
              </w:rPr>
              <w:t>51,706.94</w:t>
            </w:r>
          </w:p>
        </w:tc>
        <w:tc>
          <w:tcPr>
            <w:tcW w:w="138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41"/>
              <w:jc w:val="right"/>
              <w:rPr>
                <w:rFonts w:ascii="Times New Roman" w:hAnsi="Times New Roman" w:cs="Times New Roman" w:eastAsia="Times New Roman" w:hint="default"/>
                <w:sz w:val="18"/>
                <w:szCs w:val="18"/>
              </w:rPr>
            </w:pPr>
            <w:r>
              <w:rPr>
                <w:rFonts w:ascii="Times New Roman"/>
                <w:spacing w:val="-1"/>
                <w:sz w:val="18"/>
              </w:rPr>
              <w:t>46,268.08</w:t>
            </w:r>
          </w:p>
        </w:tc>
      </w:tr>
      <w:tr>
        <w:trPr>
          <w:trHeight w:val="395"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3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385"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406"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3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35"/>
              <w:jc w:val="right"/>
              <w:rPr>
                <w:rFonts w:ascii="Times New Roman" w:hAnsi="Times New Roman" w:cs="Times New Roman" w:eastAsia="Times New Roman" w:hint="default"/>
                <w:sz w:val="18"/>
                <w:szCs w:val="18"/>
              </w:rPr>
            </w:pPr>
            <w:r>
              <w:rPr>
                <w:rFonts w:ascii="Times New Roman"/>
                <w:spacing w:val="-1"/>
                <w:sz w:val="18"/>
              </w:rPr>
              <w:t>976,463.70</w:t>
            </w:r>
          </w:p>
        </w:tc>
        <w:tc>
          <w:tcPr>
            <w:tcW w:w="138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41"/>
              <w:jc w:val="right"/>
              <w:rPr>
                <w:rFonts w:ascii="Times New Roman" w:hAnsi="Times New Roman" w:cs="Times New Roman" w:eastAsia="Times New Roman" w:hint="default"/>
                <w:sz w:val="18"/>
                <w:szCs w:val="18"/>
              </w:rPr>
            </w:pPr>
            <w:r>
              <w:rPr>
                <w:rFonts w:ascii="Times New Roman"/>
                <w:spacing w:val="-1"/>
                <w:sz w:val="18"/>
              </w:rPr>
              <w:t>773,162.26</w:t>
            </w:r>
          </w:p>
        </w:tc>
      </w:tr>
      <w:tr>
        <w:trPr>
          <w:trHeight w:val="385"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3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5"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2"/>
          <w:szCs w:val="22"/>
        </w:rPr>
      </w:pPr>
    </w:p>
    <w:p>
      <w:pPr>
        <w:pStyle w:val="BodyText"/>
        <w:spacing w:line="240" w:lineRule="auto" w:before="44"/>
        <w:ind w:left="720" w:right="0"/>
        <w:jc w:val="left"/>
      </w:pPr>
      <w:r>
        <w:rPr/>
        <w:t>注</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本期计提的累计摊销额为</w:t>
      </w:r>
      <w:r>
        <w:rPr>
          <w:rFonts w:ascii="Times New Roman" w:hAnsi="Times New Roman" w:cs="Times New Roman" w:eastAsia="Times New Roman" w:hint="default"/>
        </w:rPr>
        <w:t>353,418.21</w:t>
      </w:r>
      <w:r>
        <w:rPr/>
        <w:t>元。</w:t>
      </w:r>
    </w:p>
    <w:p>
      <w:pPr>
        <w:spacing w:line="240" w:lineRule="auto" w:before="0"/>
        <w:rPr>
          <w:rFonts w:ascii="宋体" w:hAnsi="宋体" w:cs="宋体" w:eastAsia="宋体" w:hint="default"/>
          <w:sz w:val="18"/>
          <w:szCs w:val="18"/>
        </w:rPr>
      </w:pPr>
    </w:p>
    <w:p>
      <w:pPr>
        <w:pStyle w:val="BodyText"/>
        <w:spacing w:line="240" w:lineRule="auto" w:before="156"/>
        <w:ind w:left="720" w:right="0"/>
        <w:jc w:val="left"/>
      </w:pPr>
      <w:r>
        <w:rPr>
          <w:rFonts w:ascii="Times New Roman" w:hAnsi="Times New Roman" w:cs="Times New Roman" w:eastAsia="Times New Roman" w:hint="default"/>
        </w:rPr>
        <w:t>13. </w:t>
      </w:r>
      <w:r>
        <w:rPr>
          <w:rFonts w:ascii="Times New Roman" w:hAnsi="Times New Roman" w:cs="Times New Roman" w:eastAsia="Times New Roman" w:hint="default"/>
          <w:spacing w:val="1"/>
        </w:rPr>
        <w:t> </w:t>
      </w:r>
      <w:r>
        <w:rPr/>
        <w:t>商誉</w:t>
      </w:r>
    </w:p>
    <w:p>
      <w:pPr>
        <w:spacing w:line="240" w:lineRule="auto" w:before="8"/>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1</w:t>
      </w:r>
      <w:r>
        <w:rPr/>
        <w:t>）商誉账面原值</w:t>
      </w:r>
    </w:p>
    <w:p>
      <w:pPr>
        <w:spacing w:line="240" w:lineRule="auto" w:before="6"/>
        <w:rPr>
          <w:rFonts w:ascii="宋体" w:hAnsi="宋体" w:cs="宋体" w:eastAsia="宋体" w:hint="default"/>
          <w:sz w:val="24"/>
          <w:szCs w:val="24"/>
        </w:rPr>
      </w:pPr>
    </w:p>
    <w:tbl>
      <w:tblPr>
        <w:tblW w:w="0" w:type="auto"/>
        <w:jc w:val="left"/>
        <w:tblInd w:w="331" w:type="dxa"/>
        <w:tblLayout w:type="fixed"/>
        <w:tblCellMar>
          <w:top w:w="0" w:type="dxa"/>
          <w:left w:w="0" w:type="dxa"/>
          <w:bottom w:w="0" w:type="dxa"/>
          <w:right w:w="0" w:type="dxa"/>
        </w:tblCellMar>
        <w:tblLook w:val="01E0"/>
      </w:tblPr>
      <w:tblGrid>
        <w:gridCol w:w="2693"/>
        <w:gridCol w:w="1647"/>
        <w:gridCol w:w="1267"/>
        <w:gridCol w:w="1417"/>
        <w:gridCol w:w="1421"/>
      </w:tblGrid>
      <w:tr>
        <w:trPr>
          <w:trHeight w:val="272" w:hRule="exact"/>
        </w:trPr>
        <w:tc>
          <w:tcPr>
            <w:tcW w:w="2693" w:type="dxa"/>
            <w:tcBorders>
              <w:top w:val="nil" w:sz="6" w:space="0" w:color="auto"/>
              <w:left w:val="nil" w:sz="6" w:space="0" w:color="auto"/>
              <w:bottom w:val="single" w:sz="6" w:space="0" w:color="000000"/>
              <w:right w:val="nil" w:sz="6" w:space="0" w:color="auto"/>
            </w:tcBorders>
          </w:tcPr>
          <w:p>
            <w:pPr>
              <w:pStyle w:val="TableParagraph"/>
              <w:spacing w:line="185" w:lineRule="exact"/>
              <w:ind w:left="1396"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647" w:type="dxa"/>
            <w:tcBorders>
              <w:top w:val="nil" w:sz="6" w:space="0" w:color="auto"/>
              <w:left w:val="nil" w:sz="6" w:space="0" w:color="auto"/>
              <w:bottom w:val="single" w:sz="4" w:space="0" w:color="000000"/>
              <w:right w:val="nil" w:sz="6" w:space="0" w:color="auto"/>
            </w:tcBorders>
          </w:tcPr>
          <w:p>
            <w:pPr>
              <w:pStyle w:val="TableParagraph"/>
              <w:spacing w:line="180" w:lineRule="exact"/>
              <w:ind w:right="6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267" w:type="dxa"/>
            <w:tcBorders>
              <w:top w:val="nil" w:sz="6" w:space="0" w:color="auto"/>
              <w:left w:val="nil" w:sz="6" w:space="0" w:color="auto"/>
              <w:bottom w:val="single" w:sz="4" w:space="0" w:color="000000"/>
              <w:right w:val="nil" w:sz="6" w:space="0" w:color="auto"/>
            </w:tcBorders>
          </w:tcPr>
          <w:p>
            <w:pPr>
              <w:pStyle w:val="TableParagraph"/>
              <w:spacing w:line="180" w:lineRule="exact"/>
              <w:ind w:left="19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17" w:type="dxa"/>
            <w:tcBorders>
              <w:top w:val="nil" w:sz="6" w:space="0" w:color="auto"/>
              <w:left w:val="nil" w:sz="6" w:space="0" w:color="auto"/>
              <w:bottom w:val="single" w:sz="4" w:space="0" w:color="000000"/>
              <w:right w:val="nil" w:sz="6" w:space="0" w:color="auto"/>
            </w:tcBorders>
          </w:tcPr>
          <w:p>
            <w:pPr>
              <w:pStyle w:val="TableParagraph"/>
              <w:spacing w:line="180" w:lineRule="exact"/>
              <w:ind w:left="34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2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1" w:hRule="exact"/>
        </w:trPr>
        <w:tc>
          <w:tcPr>
            <w:tcW w:w="2693" w:type="dxa"/>
            <w:tcBorders>
              <w:top w:val="single" w:sz="6" w:space="0" w:color="000000"/>
              <w:left w:val="nil" w:sz="6" w:space="0" w:color="auto"/>
              <w:bottom w:val="nil" w:sz="6" w:space="0" w:color="auto"/>
              <w:right w:val="nil" w:sz="6" w:space="0" w:color="auto"/>
            </w:tcBorders>
          </w:tcPr>
          <w:p>
            <w:pPr>
              <w:pStyle w:val="TableParagraph"/>
              <w:spacing w:line="240" w:lineRule="auto" w:before="87"/>
              <w:ind w:left="263" w:right="0"/>
              <w:jc w:val="left"/>
              <w:rPr>
                <w:rFonts w:ascii="宋体" w:hAnsi="宋体" w:cs="宋体" w:eastAsia="宋体" w:hint="default"/>
                <w:sz w:val="18"/>
                <w:szCs w:val="18"/>
              </w:rPr>
            </w:pPr>
            <w:r>
              <w:rPr>
                <w:rFonts w:ascii="宋体" w:hAnsi="宋体" w:cs="宋体" w:eastAsia="宋体" w:hint="default"/>
                <w:sz w:val="18"/>
                <w:szCs w:val="18"/>
              </w:rPr>
              <w:t>北京神奇时代网络有限公司</w:t>
            </w:r>
          </w:p>
        </w:tc>
        <w:tc>
          <w:tcPr>
            <w:tcW w:w="164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
              <w:jc w:val="center"/>
              <w:rPr>
                <w:rFonts w:ascii="Times New Roman" w:hAnsi="Times New Roman" w:cs="Times New Roman" w:eastAsia="Times New Roman" w:hint="default"/>
                <w:sz w:val="18"/>
                <w:szCs w:val="18"/>
              </w:rPr>
            </w:pPr>
            <w:r>
              <w:rPr>
                <w:rFonts w:ascii="Times New Roman"/>
                <w:sz w:val="18"/>
              </w:rPr>
              <w:t>1,124,037,462.81</w:t>
            </w:r>
          </w:p>
        </w:tc>
        <w:tc>
          <w:tcPr>
            <w:tcW w:w="1267" w:type="dxa"/>
            <w:tcBorders>
              <w:top w:val="single" w:sz="4" w:space="0" w:color="000000"/>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50" w:right="0"/>
              <w:jc w:val="center"/>
              <w:rPr>
                <w:rFonts w:ascii="Times New Roman" w:hAnsi="Times New Roman" w:cs="Times New Roman" w:eastAsia="Times New Roman" w:hint="default"/>
                <w:sz w:val="18"/>
                <w:szCs w:val="18"/>
              </w:rPr>
            </w:pPr>
            <w:r>
              <w:rPr>
                <w:rFonts w:ascii="Times New Roman"/>
                <w:sz w:val="18"/>
              </w:rPr>
              <w:t>1,124,037,462.81</w:t>
            </w:r>
          </w:p>
        </w:tc>
      </w:tr>
      <w:tr>
        <w:trPr>
          <w:trHeight w:val="295"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1,124,037,462.81</w:t>
            </w:r>
            <w:r>
              <w:rPr>
                <w:rFonts w:ascii="Times New Roman"/>
                <w:sz w:val="18"/>
              </w:rPr>
            </w:r>
          </w:p>
        </w:tc>
        <w:tc>
          <w:tcPr>
            <w:tcW w:w="1267"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1,124,037,462.81</w:t>
            </w:r>
            <w:r>
              <w:rPr>
                <w:rFonts w:ascii="Times New Roman"/>
                <w:sz w:val="18"/>
              </w:rPr>
            </w:r>
          </w:p>
        </w:tc>
      </w:tr>
    </w:tbl>
    <w:p>
      <w:pPr>
        <w:spacing w:line="240" w:lineRule="auto" w:before="13"/>
        <w:rPr>
          <w:rFonts w:ascii="宋体" w:hAnsi="宋体" w:cs="宋体" w:eastAsia="宋体" w:hint="default"/>
          <w:sz w:val="29"/>
          <w:szCs w:val="29"/>
        </w:rPr>
      </w:pPr>
    </w:p>
    <w:p>
      <w:pPr>
        <w:pStyle w:val="BodyText"/>
        <w:spacing w:line="240" w:lineRule="auto" w:before="44"/>
        <w:ind w:left="720" w:right="0"/>
        <w:jc w:val="left"/>
      </w:pPr>
      <w:r>
        <w:rPr/>
        <w:t>（</w:t>
      </w:r>
      <w:r>
        <w:rPr>
          <w:rFonts w:ascii="Times New Roman" w:hAnsi="Times New Roman" w:cs="Times New Roman" w:eastAsia="Times New Roman" w:hint="default"/>
        </w:rPr>
        <w:t>2</w:t>
      </w:r>
      <w:r>
        <w:rPr/>
        <w:t>）本期商誉确认及减值测试情况</w:t>
      </w:r>
    </w:p>
    <w:p>
      <w:pPr>
        <w:spacing w:line="240" w:lineRule="auto" w:before="5"/>
        <w:rPr>
          <w:rFonts w:ascii="宋体" w:hAnsi="宋体" w:cs="宋体" w:eastAsia="宋体" w:hint="default"/>
          <w:sz w:val="20"/>
          <w:szCs w:val="20"/>
        </w:rPr>
      </w:pPr>
    </w:p>
    <w:p>
      <w:pPr>
        <w:pStyle w:val="BodyText"/>
        <w:spacing w:line="345" w:lineRule="auto"/>
        <w:ind w:left="360" w:right="370" w:firstLine="271"/>
        <w:jc w:val="left"/>
      </w:pPr>
      <w:r>
        <w:rPr/>
        <w:t>本公司聘请了开元资产评估有限公司对神奇时代截至</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 </w:t>
      </w:r>
      <w:r>
        <w:rPr/>
        <w:t>日资产组进行评估减值测试，出 具了开元评估报字【</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041</w:t>
      </w:r>
      <w:r>
        <w:rPr>
          <w:rFonts w:ascii="Times New Roman" w:hAnsi="Times New Roman" w:cs="Times New Roman" w:eastAsia="Times New Roman" w:hint="default"/>
          <w:spacing w:val="-6"/>
        </w:rPr>
        <w:t> </w:t>
      </w:r>
      <w:r>
        <w:rPr/>
        <w:t>号资产评估减值测试报告，经测试期末商誉未发生减值。</w:t>
      </w:r>
    </w:p>
    <w:p>
      <w:pPr>
        <w:spacing w:line="240" w:lineRule="auto" w:before="1"/>
        <w:rPr>
          <w:rFonts w:ascii="宋体" w:hAnsi="宋体" w:cs="宋体" w:eastAsia="宋体" w:hint="default"/>
          <w:sz w:val="23"/>
          <w:szCs w:val="23"/>
        </w:rPr>
      </w:pPr>
    </w:p>
    <w:p>
      <w:pPr>
        <w:pStyle w:val="BodyText"/>
        <w:spacing w:line="240" w:lineRule="auto"/>
        <w:ind w:left="720" w:right="0"/>
        <w:jc w:val="left"/>
      </w:pPr>
      <w:r>
        <w:rPr>
          <w:rFonts w:ascii="Times New Roman" w:hAnsi="Times New Roman" w:cs="Times New Roman" w:eastAsia="Times New Roman" w:hint="default"/>
        </w:rPr>
        <w:t>14. </w:t>
      </w:r>
      <w:r>
        <w:rPr>
          <w:rFonts w:ascii="Times New Roman" w:hAnsi="Times New Roman" w:cs="Times New Roman" w:eastAsia="Times New Roman" w:hint="default"/>
          <w:spacing w:val="1"/>
        </w:rPr>
        <w:t> </w:t>
      </w:r>
      <w:r>
        <w:rPr/>
        <w:t>长期待摊费用</w:t>
      </w: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909"/>
        <w:gridCol w:w="1521"/>
        <w:gridCol w:w="1381"/>
        <w:gridCol w:w="1360"/>
        <w:gridCol w:w="1343"/>
        <w:gridCol w:w="1283"/>
      </w:tblGrid>
      <w:tr>
        <w:trPr>
          <w:trHeight w:val="275" w:hRule="exact"/>
        </w:trPr>
        <w:tc>
          <w:tcPr>
            <w:tcW w:w="1909" w:type="dxa"/>
            <w:tcBorders>
              <w:top w:val="nil" w:sz="6" w:space="0" w:color="auto"/>
              <w:left w:val="nil" w:sz="6" w:space="0" w:color="auto"/>
              <w:bottom w:val="single" w:sz="4" w:space="0" w:color="000000"/>
              <w:right w:val="nil" w:sz="6" w:space="0" w:color="auto"/>
            </w:tcBorders>
          </w:tcPr>
          <w:p>
            <w:pPr>
              <w:pStyle w:val="TableParagraph"/>
              <w:spacing w:line="180" w:lineRule="exact"/>
              <w:ind w:left="12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21" w:type="dxa"/>
            <w:tcBorders>
              <w:top w:val="nil" w:sz="6" w:space="0" w:color="auto"/>
              <w:left w:val="nil" w:sz="6" w:space="0" w:color="auto"/>
              <w:bottom w:val="single" w:sz="4" w:space="0" w:color="000000"/>
              <w:right w:val="nil" w:sz="6" w:space="0" w:color="auto"/>
            </w:tcBorders>
          </w:tcPr>
          <w:p>
            <w:pPr>
              <w:pStyle w:val="TableParagraph"/>
              <w:spacing w:line="180" w:lineRule="exact"/>
              <w:ind w:right="307"/>
              <w:jc w:val="right"/>
              <w:rPr>
                <w:rFonts w:ascii="宋体" w:hAnsi="宋体" w:cs="宋体" w:eastAsia="宋体" w:hint="default"/>
                <w:sz w:val="18"/>
                <w:szCs w:val="18"/>
              </w:rPr>
            </w:pPr>
            <w:r>
              <w:rPr>
                <w:rFonts w:ascii="宋体" w:hAnsi="宋体" w:cs="宋体" w:eastAsia="宋体" w:hint="default"/>
                <w:b/>
                <w:bCs/>
                <w:w w:val="95"/>
                <w:sz w:val="18"/>
                <w:szCs w:val="18"/>
              </w:rPr>
              <w:t>期初余额</w:t>
            </w:r>
            <w:r>
              <w:rPr>
                <w:rFonts w:ascii="宋体" w:hAnsi="宋体" w:cs="宋体" w:eastAsia="宋体" w:hint="default"/>
                <w:sz w:val="18"/>
                <w:szCs w:val="18"/>
              </w:rPr>
            </w:r>
          </w:p>
        </w:tc>
        <w:tc>
          <w:tcPr>
            <w:tcW w:w="1381" w:type="dxa"/>
            <w:tcBorders>
              <w:top w:val="nil" w:sz="6" w:space="0" w:color="auto"/>
              <w:left w:val="nil" w:sz="6" w:space="0" w:color="auto"/>
              <w:bottom w:val="single" w:sz="4" w:space="0" w:color="000000"/>
              <w:right w:val="nil" w:sz="6" w:space="0" w:color="auto"/>
            </w:tcBorders>
          </w:tcPr>
          <w:p>
            <w:pPr>
              <w:pStyle w:val="TableParagraph"/>
              <w:spacing w:line="180" w:lineRule="exact"/>
              <w:ind w:left="266" w:right="0"/>
              <w:jc w:val="left"/>
              <w:rPr>
                <w:rFonts w:ascii="宋体" w:hAnsi="宋体" w:cs="宋体" w:eastAsia="宋体" w:hint="default"/>
                <w:sz w:val="18"/>
                <w:szCs w:val="18"/>
              </w:rPr>
            </w:pPr>
            <w:r>
              <w:rPr>
                <w:rFonts w:ascii="宋体" w:hAnsi="宋体" w:cs="宋体" w:eastAsia="宋体" w:hint="default"/>
                <w:b/>
                <w:bCs/>
                <w:sz w:val="18"/>
                <w:szCs w:val="18"/>
              </w:rPr>
              <w:t>本期增加额</w:t>
            </w:r>
            <w:r>
              <w:rPr>
                <w:rFonts w:ascii="宋体" w:hAnsi="宋体" w:cs="宋体" w:eastAsia="宋体" w:hint="default"/>
                <w:sz w:val="18"/>
                <w:szCs w:val="18"/>
              </w:rPr>
            </w:r>
          </w:p>
        </w:tc>
        <w:tc>
          <w:tcPr>
            <w:tcW w:w="1360" w:type="dxa"/>
            <w:tcBorders>
              <w:top w:val="nil" w:sz="6" w:space="0" w:color="auto"/>
              <w:left w:val="nil" w:sz="6" w:space="0" w:color="auto"/>
              <w:bottom w:val="single" w:sz="4" w:space="0" w:color="000000"/>
              <w:right w:val="nil" w:sz="6" w:space="0" w:color="auto"/>
            </w:tcBorders>
          </w:tcPr>
          <w:p>
            <w:pPr>
              <w:pStyle w:val="TableParagraph"/>
              <w:spacing w:line="180" w:lineRule="exact"/>
              <w:ind w:right="243"/>
              <w:jc w:val="right"/>
              <w:rPr>
                <w:rFonts w:ascii="宋体" w:hAnsi="宋体" w:cs="宋体" w:eastAsia="宋体" w:hint="default"/>
                <w:sz w:val="18"/>
                <w:szCs w:val="18"/>
              </w:rPr>
            </w:pPr>
            <w:r>
              <w:rPr>
                <w:rFonts w:ascii="宋体" w:hAnsi="宋体" w:cs="宋体" w:eastAsia="宋体" w:hint="default"/>
                <w:b/>
                <w:bCs/>
                <w:w w:val="95"/>
                <w:sz w:val="18"/>
                <w:szCs w:val="18"/>
              </w:rPr>
              <w:t>本期摊销额</w:t>
            </w:r>
            <w:r>
              <w:rPr>
                <w:rFonts w:ascii="宋体" w:hAnsi="宋体" w:cs="宋体" w:eastAsia="宋体" w:hint="default"/>
                <w:sz w:val="18"/>
                <w:szCs w:val="18"/>
              </w:rPr>
            </w:r>
          </w:p>
        </w:tc>
        <w:tc>
          <w:tcPr>
            <w:tcW w:w="1343" w:type="dxa"/>
            <w:tcBorders>
              <w:top w:val="nil" w:sz="6" w:space="0" w:color="auto"/>
              <w:left w:val="nil" w:sz="6" w:space="0" w:color="auto"/>
              <w:bottom w:val="single" w:sz="4" w:space="0" w:color="000000"/>
              <w:right w:val="nil" w:sz="6" w:space="0" w:color="auto"/>
            </w:tcBorders>
          </w:tcPr>
          <w:p>
            <w:pPr>
              <w:pStyle w:val="TableParagraph"/>
              <w:spacing w:line="180" w:lineRule="exact"/>
              <w:ind w:left="182" w:right="0"/>
              <w:jc w:val="left"/>
              <w:rPr>
                <w:rFonts w:ascii="宋体" w:hAnsi="宋体" w:cs="宋体" w:eastAsia="宋体" w:hint="default"/>
                <w:sz w:val="18"/>
                <w:szCs w:val="18"/>
              </w:rPr>
            </w:pPr>
            <w:r>
              <w:rPr>
                <w:rFonts w:ascii="宋体" w:hAnsi="宋体" w:cs="宋体" w:eastAsia="宋体" w:hint="default"/>
                <w:b/>
                <w:bCs/>
                <w:sz w:val="18"/>
                <w:szCs w:val="18"/>
              </w:rPr>
              <w:t>其他减少额</w:t>
            </w:r>
            <w:r>
              <w:rPr>
                <w:rFonts w:ascii="宋体" w:hAnsi="宋体" w:cs="宋体" w:eastAsia="宋体" w:hint="default"/>
                <w:sz w:val="18"/>
                <w:szCs w:val="18"/>
              </w:rPr>
            </w:r>
          </w:p>
        </w:tc>
        <w:tc>
          <w:tcPr>
            <w:tcW w:w="1283" w:type="dxa"/>
            <w:tcBorders>
              <w:top w:val="nil" w:sz="6" w:space="0" w:color="auto"/>
              <w:left w:val="nil" w:sz="6" w:space="0" w:color="auto"/>
              <w:bottom w:val="single" w:sz="4" w:space="0" w:color="000000"/>
              <w:right w:val="nil" w:sz="6" w:space="0" w:color="auto"/>
            </w:tcBorders>
          </w:tcPr>
          <w:p>
            <w:pPr>
              <w:pStyle w:val="TableParagraph"/>
              <w:spacing w:line="180" w:lineRule="exact"/>
              <w:ind w:left="25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1" w:hRule="exact"/>
        </w:trPr>
        <w:tc>
          <w:tcPr>
            <w:tcW w:w="190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23" w:right="0"/>
              <w:jc w:val="center"/>
              <w:rPr>
                <w:rFonts w:ascii="宋体" w:hAnsi="宋体" w:cs="宋体" w:eastAsia="宋体" w:hint="default"/>
                <w:sz w:val="18"/>
                <w:szCs w:val="18"/>
              </w:rPr>
            </w:pPr>
            <w:r>
              <w:rPr>
                <w:rFonts w:ascii="宋体" w:hAnsi="宋体" w:cs="宋体" w:eastAsia="宋体" w:hint="default"/>
                <w:sz w:val="18"/>
                <w:szCs w:val="18"/>
              </w:rPr>
              <w:t>尚八装修费</w:t>
            </w:r>
          </w:p>
        </w:tc>
        <w:tc>
          <w:tcPr>
            <w:tcW w:w="152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64"/>
              <w:jc w:val="right"/>
              <w:rPr>
                <w:rFonts w:ascii="Times New Roman" w:hAnsi="Times New Roman" w:cs="Times New Roman" w:eastAsia="Times New Roman" w:hint="default"/>
                <w:sz w:val="18"/>
                <w:szCs w:val="18"/>
              </w:rPr>
            </w:pPr>
            <w:r>
              <w:rPr>
                <w:rFonts w:ascii="Times New Roman"/>
                <w:spacing w:val="-1"/>
                <w:sz w:val="18"/>
              </w:rPr>
              <w:t>918,425.30</w:t>
            </w:r>
          </w:p>
        </w:tc>
        <w:tc>
          <w:tcPr>
            <w:tcW w:w="1381" w:type="dxa"/>
            <w:tcBorders>
              <w:top w:val="single" w:sz="4" w:space="0" w:color="000000"/>
              <w:left w:val="nil" w:sz="6" w:space="0" w:color="auto"/>
              <w:bottom w:val="nil" w:sz="6" w:space="0" w:color="auto"/>
              <w:right w:val="nil" w:sz="6" w:space="0" w:color="auto"/>
            </w:tcBorders>
          </w:tcPr>
          <w:p>
            <w:pPr/>
          </w:p>
        </w:tc>
        <w:tc>
          <w:tcPr>
            <w:tcW w:w="136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80"/>
              <w:jc w:val="right"/>
              <w:rPr>
                <w:rFonts w:ascii="Times New Roman" w:hAnsi="Times New Roman" w:cs="Times New Roman" w:eastAsia="Times New Roman" w:hint="default"/>
                <w:sz w:val="18"/>
                <w:szCs w:val="18"/>
              </w:rPr>
            </w:pPr>
            <w:r>
              <w:rPr>
                <w:rFonts w:ascii="Times New Roman"/>
                <w:spacing w:val="-1"/>
                <w:sz w:val="18"/>
              </w:rPr>
              <w:t>787,221.60</w:t>
            </w:r>
          </w:p>
        </w:tc>
        <w:tc>
          <w:tcPr>
            <w:tcW w:w="1343" w:type="dxa"/>
            <w:tcBorders>
              <w:top w:val="single" w:sz="4" w:space="0" w:color="000000"/>
              <w:left w:val="nil" w:sz="6" w:space="0" w:color="auto"/>
              <w:bottom w:val="nil" w:sz="6" w:space="0" w:color="auto"/>
              <w:right w:val="nil" w:sz="6" w:space="0" w:color="auto"/>
            </w:tcBorders>
          </w:tcPr>
          <w:p>
            <w:pPr/>
          </w:p>
        </w:tc>
        <w:tc>
          <w:tcPr>
            <w:tcW w:w="128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320" w:right="0"/>
              <w:jc w:val="left"/>
              <w:rPr>
                <w:rFonts w:ascii="Times New Roman" w:hAnsi="Times New Roman" w:cs="Times New Roman" w:eastAsia="Times New Roman" w:hint="default"/>
                <w:sz w:val="18"/>
                <w:szCs w:val="18"/>
              </w:rPr>
            </w:pPr>
            <w:r>
              <w:rPr>
                <w:rFonts w:ascii="Times New Roman"/>
                <w:sz w:val="18"/>
              </w:rPr>
              <w:t>131,203.70</w:t>
            </w:r>
          </w:p>
        </w:tc>
      </w:tr>
      <w:tr>
        <w:trPr>
          <w:trHeight w:val="295" w:hRule="exact"/>
        </w:trPr>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6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918,425.30</w:t>
            </w:r>
            <w:r>
              <w:rPr>
                <w:rFonts w:ascii="Times New Roman"/>
                <w:spacing w:val="-1"/>
                <w:sz w:val="18"/>
              </w:rPr>
            </w:r>
          </w:p>
        </w:tc>
        <w:tc>
          <w:tcPr>
            <w:tcW w:w="1381"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787,221.60</w:t>
            </w:r>
            <w:r>
              <w:rPr>
                <w:rFonts w:ascii="Times New Roman"/>
                <w:spacing w:val="-1"/>
                <w:sz w:val="18"/>
              </w:rPr>
            </w:r>
          </w:p>
        </w:tc>
        <w:tc>
          <w:tcPr>
            <w:tcW w:w="1343"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2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131,203.70</w:t>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720" w:right="0"/>
        <w:jc w:val="left"/>
      </w:pPr>
      <w:r>
        <w:rPr>
          <w:rFonts w:ascii="Times New Roman" w:hAnsi="Times New Roman" w:cs="Times New Roman" w:eastAsia="Times New Roman" w:hint="default"/>
        </w:rPr>
        <w:t>15. </w:t>
      </w:r>
      <w:r>
        <w:rPr>
          <w:rFonts w:ascii="Times New Roman" w:hAnsi="Times New Roman" w:cs="Times New Roman" w:eastAsia="Times New Roman" w:hint="default"/>
          <w:spacing w:val="1"/>
        </w:rPr>
        <w:t> </w:t>
      </w:r>
      <w:r>
        <w:rPr/>
        <w:t>递延所得税资产</w:t>
      </w:r>
    </w:p>
    <w:p>
      <w:pPr>
        <w:spacing w:after="0" w:line="240" w:lineRule="auto"/>
        <w:jc w:val="left"/>
        <w:sectPr>
          <w:pgSz w:w="11910" w:h="16840"/>
          <w:pgMar w:header="0" w:footer="979" w:top="1380" w:bottom="1160" w:left="1440" w:right="1440"/>
        </w:sectPr>
      </w:pPr>
    </w:p>
    <w:p>
      <w:pPr>
        <w:pStyle w:val="BodyText"/>
        <w:spacing w:line="240" w:lineRule="auto" w:before="19"/>
        <w:ind w:left="720" w:right="0"/>
        <w:jc w:val="left"/>
      </w:pPr>
      <w:r>
        <w:rPr/>
        <w:t>（</w:t>
      </w:r>
      <w:r>
        <w:rPr>
          <w:rFonts w:ascii="Times New Roman" w:hAnsi="Times New Roman" w:cs="Times New Roman" w:eastAsia="Times New Roman" w:hint="default"/>
        </w:rPr>
        <w:t>1</w:t>
      </w:r>
      <w:r>
        <w:rPr/>
        <w:t>）未抵销的递延所得税资产</w:t>
      </w:r>
    </w:p>
    <w:p>
      <w:pPr>
        <w:spacing w:line="240" w:lineRule="auto" w:before="11"/>
        <w:rPr>
          <w:rFonts w:ascii="宋体" w:hAnsi="宋体" w:cs="宋体" w:eastAsia="宋体" w:hint="default"/>
          <w:sz w:val="16"/>
          <w:szCs w:val="16"/>
        </w:rPr>
      </w:pPr>
    </w:p>
    <w:p>
      <w:pPr>
        <w:pStyle w:val="Heading8"/>
        <w:tabs>
          <w:tab w:pos="6898" w:val="left" w:leader="none"/>
        </w:tabs>
        <w:spacing w:line="240" w:lineRule="auto" w:before="44"/>
        <w:ind w:left="3478" w:right="0"/>
        <w:jc w:val="left"/>
        <w:rPr>
          <w:b w:val="0"/>
          <w:bCs w:val="0"/>
        </w:rPr>
      </w:pPr>
      <w:r>
        <w:rPr>
          <w:w w:val="95"/>
        </w:rPr>
        <w:t>期末余额</w:t>
        <w:tab/>
      </w:r>
      <w:r>
        <w:rPr/>
        <w:t>期初余额</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1939"/>
        <w:gridCol w:w="1865"/>
        <w:gridCol w:w="1646"/>
        <w:gridCol w:w="1765"/>
        <w:gridCol w:w="1583"/>
      </w:tblGrid>
      <w:tr>
        <w:trPr>
          <w:trHeight w:val="474" w:hRule="exact"/>
        </w:trPr>
        <w:tc>
          <w:tcPr>
            <w:tcW w:w="1939" w:type="dxa"/>
            <w:tcBorders>
              <w:top w:val="nil" w:sz="6" w:space="0" w:color="auto"/>
              <w:left w:val="nil" w:sz="6" w:space="0" w:color="auto"/>
              <w:bottom w:val="single" w:sz="4" w:space="0" w:color="000000"/>
              <w:right w:val="nil" w:sz="6" w:space="0" w:color="auto"/>
            </w:tcBorders>
          </w:tcPr>
          <w:p>
            <w:pPr>
              <w:pStyle w:val="TableParagraph"/>
              <w:spacing w:line="180" w:lineRule="exact"/>
              <w:ind w:left="1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65"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left="211"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left="209"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1765"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left="172"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583"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left="148"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r>
      <w:tr>
        <w:trPr>
          <w:trHeight w:val="432" w:hRule="exact"/>
        </w:trPr>
        <w:tc>
          <w:tcPr>
            <w:tcW w:w="193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865"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665" w:right="0"/>
              <w:jc w:val="left"/>
              <w:rPr>
                <w:rFonts w:ascii="Times New Roman" w:hAnsi="Times New Roman" w:cs="Times New Roman" w:eastAsia="Times New Roman" w:hint="default"/>
                <w:sz w:val="18"/>
                <w:szCs w:val="18"/>
              </w:rPr>
            </w:pPr>
            <w:r>
              <w:rPr>
                <w:rFonts w:ascii="Times New Roman"/>
                <w:sz w:val="18"/>
              </w:rPr>
              <w:t>151,409.06</w:t>
            </w:r>
          </w:p>
        </w:tc>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590" w:right="0"/>
              <w:jc w:val="left"/>
              <w:rPr>
                <w:rFonts w:ascii="Times New Roman" w:hAnsi="Times New Roman" w:cs="Times New Roman" w:eastAsia="Times New Roman" w:hint="default"/>
                <w:sz w:val="18"/>
                <w:szCs w:val="18"/>
              </w:rPr>
            </w:pPr>
            <w:r>
              <w:rPr>
                <w:rFonts w:ascii="Times New Roman"/>
                <w:sz w:val="18"/>
              </w:rPr>
              <w:t>37,852.27</w:t>
            </w:r>
          </w:p>
        </w:tc>
        <w:tc>
          <w:tcPr>
            <w:tcW w:w="1765"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421" w:right="0"/>
              <w:jc w:val="left"/>
              <w:rPr>
                <w:rFonts w:ascii="Times New Roman" w:hAnsi="Times New Roman" w:cs="Times New Roman" w:eastAsia="Times New Roman" w:hint="default"/>
                <w:sz w:val="18"/>
                <w:szCs w:val="18"/>
              </w:rPr>
            </w:pPr>
            <w:r>
              <w:rPr>
                <w:rFonts w:ascii="Times New Roman"/>
                <w:sz w:val="18"/>
              </w:rPr>
              <w:t>2,705,023.34</w:t>
            </w:r>
          </w:p>
        </w:tc>
        <w:tc>
          <w:tcPr>
            <w:tcW w:w="1583"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392" w:right="0"/>
              <w:jc w:val="left"/>
              <w:rPr>
                <w:rFonts w:ascii="Times New Roman" w:hAnsi="Times New Roman" w:cs="Times New Roman" w:eastAsia="Times New Roman" w:hint="default"/>
                <w:sz w:val="18"/>
                <w:szCs w:val="18"/>
              </w:rPr>
            </w:pPr>
            <w:r>
              <w:rPr>
                <w:rFonts w:ascii="Times New Roman"/>
                <w:sz w:val="18"/>
              </w:rPr>
              <w:t>676,255.84</w:t>
            </w:r>
          </w:p>
        </w:tc>
      </w:tr>
      <w:tr>
        <w:trPr>
          <w:trHeight w:val="400" w:hRule="exact"/>
        </w:trPr>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865"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196,024.17</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49,006.04</w:t>
            </w:r>
          </w:p>
        </w:tc>
      </w:tr>
      <w:tr>
        <w:trPr>
          <w:trHeight w:val="395" w:hRule="exact"/>
        </w:trPr>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66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151,409.06</w:t>
            </w:r>
            <w:r>
              <w:rPr>
                <w:rFonts w:ascii="Times New Roman"/>
                <w:sz w:val="18"/>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9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37,852.27</w:t>
            </w:r>
            <w:r>
              <w:rPr>
                <w:rFonts w:ascii="Times New Roman"/>
                <w:sz w:val="18"/>
              </w:rPr>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2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2,901,047.51</w:t>
            </w:r>
            <w:r>
              <w:rPr>
                <w:rFonts w:ascii="Times New Roman"/>
                <w:sz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9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725,261.88</w:t>
            </w:r>
            <w:r>
              <w:rPr>
                <w:rFonts w:ascii="Times New Roman"/>
                <w:sz w:val="18"/>
              </w:rPr>
            </w:r>
          </w:p>
        </w:tc>
      </w:tr>
    </w:tbl>
    <w:p>
      <w:pPr>
        <w:spacing w:line="240" w:lineRule="auto" w:before="10"/>
        <w:rPr>
          <w:rFonts w:ascii="宋体" w:hAnsi="宋体" w:cs="宋体" w:eastAsia="宋体" w:hint="default"/>
          <w:b/>
          <w:bCs/>
          <w:sz w:val="23"/>
          <w:szCs w:val="23"/>
        </w:rPr>
      </w:pPr>
    </w:p>
    <w:p>
      <w:pPr>
        <w:pStyle w:val="BodyText"/>
        <w:spacing w:line="240" w:lineRule="auto" w:before="44"/>
        <w:ind w:left="720" w:right="0"/>
        <w:jc w:val="left"/>
      </w:pPr>
      <w:r>
        <w:rPr/>
        <w:t>（</w:t>
      </w:r>
      <w:r>
        <w:rPr>
          <w:rFonts w:ascii="Times New Roman" w:hAnsi="Times New Roman" w:cs="Times New Roman" w:eastAsia="Times New Roman" w:hint="default"/>
        </w:rPr>
        <w:t>2</w:t>
      </w:r>
      <w:r>
        <w:rPr/>
        <w:t>）未确认递延所得税资产情况</w:t>
      </w:r>
    </w:p>
    <w:p>
      <w:pPr>
        <w:spacing w:line="240" w:lineRule="auto" w:before="7"/>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794"/>
        <w:gridCol w:w="3128"/>
        <w:gridCol w:w="2876"/>
      </w:tblGrid>
      <w:tr>
        <w:trPr>
          <w:trHeight w:val="275" w:hRule="exact"/>
        </w:trPr>
        <w:tc>
          <w:tcPr>
            <w:tcW w:w="2794" w:type="dxa"/>
            <w:tcBorders>
              <w:top w:val="nil" w:sz="6" w:space="0" w:color="auto"/>
              <w:left w:val="nil" w:sz="6" w:space="0" w:color="auto"/>
              <w:bottom w:val="single" w:sz="4" w:space="0" w:color="000000"/>
              <w:right w:val="nil" w:sz="6" w:space="0" w:color="auto"/>
            </w:tcBorders>
          </w:tcPr>
          <w:p>
            <w:pPr>
              <w:pStyle w:val="TableParagraph"/>
              <w:spacing w:line="180" w:lineRule="exact"/>
              <w:ind w:right="114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28" w:type="dxa"/>
            <w:tcBorders>
              <w:top w:val="nil" w:sz="6" w:space="0" w:color="auto"/>
              <w:left w:val="nil" w:sz="6" w:space="0" w:color="auto"/>
              <w:bottom w:val="single" w:sz="4" w:space="0" w:color="000000"/>
              <w:right w:val="nil" w:sz="6" w:space="0" w:color="auto"/>
            </w:tcBorders>
          </w:tcPr>
          <w:p>
            <w:pPr>
              <w:pStyle w:val="TableParagraph"/>
              <w:spacing w:line="180" w:lineRule="exact"/>
              <w:ind w:left="8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76" w:type="dxa"/>
            <w:tcBorders>
              <w:top w:val="nil" w:sz="6" w:space="0" w:color="auto"/>
              <w:left w:val="nil" w:sz="6" w:space="0" w:color="auto"/>
              <w:bottom w:val="single" w:sz="4" w:space="0" w:color="000000"/>
              <w:right w:val="nil" w:sz="6" w:space="0" w:color="auto"/>
            </w:tcBorders>
          </w:tcPr>
          <w:p>
            <w:pPr>
              <w:pStyle w:val="TableParagraph"/>
              <w:spacing w:line="180" w:lineRule="exact"/>
              <w:ind w:right="5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1" w:hRule="exact"/>
        </w:trPr>
        <w:tc>
          <w:tcPr>
            <w:tcW w:w="279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2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46"/>
              <w:jc w:val="right"/>
              <w:rPr>
                <w:rFonts w:ascii="Times New Roman" w:hAnsi="Times New Roman" w:cs="Times New Roman" w:eastAsia="Times New Roman" w:hint="default"/>
                <w:sz w:val="18"/>
                <w:szCs w:val="18"/>
              </w:rPr>
            </w:pPr>
            <w:r>
              <w:rPr>
                <w:rFonts w:ascii="Times New Roman"/>
                <w:spacing w:val="-1"/>
                <w:sz w:val="18"/>
              </w:rPr>
              <w:t>21,728,221.09</w:t>
            </w:r>
          </w:p>
        </w:tc>
        <w:tc>
          <w:tcPr>
            <w:tcW w:w="287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891"/>
              <w:jc w:val="right"/>
              <w:rPr>
                <w:rFonts w:ascii="Times New Roman" w:hAnsi="Times New Roman" w:cs="Times New Roman" w:eastAsia="Times New Roman" w:hint="default"/>
                <w:sz w:val="18"/>
                <w:szCs w:val="18"/>
              </w:rPr>
            </w:pPr>
            <w:r>
              <w:rPr>
                <w:rFonts w:ascii="Times New Roman"/>
                <w:spacing w:val="-1"/>
                <w:sz w:val="18"/>
              </w:rPr>
              <w:t>12,610,428.92</w:t>
            </w:r>
          </w:p>
        </w:tc>
      </w:tr>
      <w:tr>
        <w:trPr>
          <w:trHeight w:val="40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46"/>
              <w:jc w:val="right"/>
              <w:rPr>
                <w:rFonts w:ascii="Times New Roman" w:hAnsi="Times New Roman" w:cs="Times New Roman" w:eastAsia="Times New Roman" w:hint="default"/>
                <w:sz w:val="18"/>
                <w:szCs w:val="18"/>
              </w:rPr>
            </w:pPr>
            <w:r>
              <w:rPr>
                <w:rFonts w:ascii="Times New Roman"/>
                <w:spacing w:val="-1"/>
                <w:sz w:val="18"/>
              </w:rPr>
              <w:t>17,438,784.48</w:t>
            </w:r>
          </w:p>
        </w:tc>
        <w:tc>
          <w:tcPr>
            <w:tcW w:w="28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91"/>
              <w:jc w:val="right"/>
              <w:rPr>
                <w:rFonts w:ascii="Times New Roman" w:hAnsi="Times New Roman" w:cs="Times New Roman" w:eastAsia="Times New Roman" w:hint="default"/>
                <w:sz w:val="18"/>
                <w:szCs w:val="18"/>
              </w:rPr>
            </w:pPr>
            <w:r>
              <w:rPr>
                <w:rFonts w:ascii="Times New Roman"/>
                <w:spacing w:val="-1"/>
                <w:sz w:val="18"/>
              </w:rPr>
              <w:t>9,829,745.41</w:t>
            </w:r>
          </w:p>
        </w:tc>
      </w:tr>
      <w:tr>
        <w:trPr>
          <w:trHeight w:val="294"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145"/>
              <w:jc w:val="right"/>
              <w:rPr>
                <w:rFonts w:ascii="宋体" w:hAnsi="宋体" w:cs="宋体" w:eastAsia="宋体" w:hint="default"/>
                <w:sz w:val="18"/>
                <w:szCs w:val="18"/>
              </w:rPr>
            </w:pPr>
            <w:r>
              <w:rPr>
                <w:rFonts w:ascii="宋体" w:hAnsi="宋体" w:cs="宋体" w:eastAsia="宋体" w:hint="default"/>
                <w:sz w:val="18"/>
                <w:szCs w:val="18"/>
              </w:rPr>
              <w:t>合计</w:t>
            </w:r>
          </w:p>
        </w:tc>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4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39,167,005.57</w:t>
            </w:r>
            <w:r>
              <w:rPr>
                <w:rFonts w:ascii="Times New Roman"/>
                <w:spacing w:val="-1"/>
                <w:sz w:val="18"/>
              </w:rPr>
            </w:r>
          </w:p>
        </w:tc>
        <w:tc>
          <w:tcPr>
            <w:tcW w:w="287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22,440,174.33</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720" w:right="0"/>
        <w:jc w:val="left"/>
      </w:pPr>
      <w:r>
        <w:rPr/>
        <w:t>（</w:t>
      </w:r>
      <w:r>
        <w:rPr>
          <w:rFonts w:ascii="Times New Roman" w:hAnsi="Times New Roman" w:cs="Times New Roman" w:eastAsia="Times New Roman" w:hint="default"/>
        </w:rPr>
        <w:t>3</w:t>
      </w:r>
      <w:r>
        <w:rPr/>
        <w:t>）未确认递延所得税资产的可抵扣亏损将于以下年度到期</w:t>
      </w: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185"/>
        <w:gridCol w:w="2699"/>
        <w:gridCol w:w="2185"/>
        <w:gridCol w:w="1727"/>
      </w:tblGrid>
      <w:tr>
        <w:trPr>
          <w:trHeight w:val="272" w:hRule="exact"/>
        </w:trPr>
        <w:tc>
          <w:tcPr>
            <w:tcW w:w="2185" w:type="dxa"/>
            <w:tcBorders>
              <w:top w:val="nil" w:sz="6" w:space="0" w:color="auto"/>
              <w:left w:val="nil" w:sz="6" w:space="0" w:color="auto"/>
              <w:bottom w:val="single" w:sz="4" w:space="0" w:color="000000"/>
              <w:right w:val="nil" w:sz="6" w:space="0" w:color="auto"/>
            </w:tcBorders>
          </w:tcPr>
          <w:p>
            <w:pPr>
              <w:pStyle w:val="TableParagraph"/>
              <w:spacing w:line="180" w:lineRule="exact"/>
              <w:ind w:left="12" w:right="0"/>
              <w:jc w:val="center"/>
              <w:rPr>
                <w:rFonts w:ascii="宋体" w:hAnsi="宋体" w:cs="宋体" w:eastAsia="宋体" w:hint="default"/>
                <w:sz w:val="18"/>
                <w:szCs w:val="18"/>
              </w:rPr>
            </w:pPr>
            <w:r>
              <w:rPr>
                <w:rFonts w:ascii="宋体" w:hAnsi="宋体" w:cs="宋体" w:eastAsia="宋体" w:hint="default"/>
                <w:b/>
                <w:bCs/>
                <w:sz w:val="18"/>
                <w:szCs w:val="18"/>
              </w:rPr>
              <w:t>年份</w:t>
            </w:r>
            <w:r>
              <w:rPr>
                <w:rFonts w:ascii="宋体" w:hAnsi="宋体" w:cs="宋体" w:eastAsia="宋体" w:hint="default"/>
                <w:sz w:val="18"/>
                <w:szCs w:val="18"/>
              </w:rPr>
            </w:r>
          </w:p>
        </w:tc>
        <w:tc>
          <w:tcPr>
            <w:tcW w:w="2699" w:type="dxa"/>
            <w:tcBorders>
              <w:top w:val="nil" w:sz="6" w:space="0" w:color="auto"/>
              <w:left w:val="nil" w:sz="6" w:space="0" w:color="auto"/>
              <w:bottom w:val="single" w:sz="4" w:space="0" w:color="000000"/>
              <w:right w:val="nil" w:sz="6" w:space="0" w:color="auto"/>
            </w:tcBorders>
          </w:tcPr>
          <w:p>
            <w:pPr>
              <w:pStyle w:val="TableParagraph"/>
              <w:spacing w:line="180" w:lineRule="exact"/>
              <w:ind w:right="167"/>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85" w:type="dxa"/>
            <w:tcBorders>
              <w:top w:val="nil" w:sz="6" w:space="0" w:color="auto"/>
              <w:left w:val="nil" w:sz="6" w:space="0" w:color="auto"/>
              <w:bottom w:val="single" w:sz="4" w:space="0" w:color="000000"/>
              <w:right w:val="nil" w:sz="6" w:space="0" w:color="auto"/>
            </w:tcBorders>
          </w:tcPr>
          <w:p>
            <w:pPr>
              <w:pStyle w:val="TableParagraph"/>
              <w:spacing w:line="180" w:lineRule="exact"/>
              <w:ind w:left="71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27" w:type="dxa"/>
            <w:tcBorders>
              <w:top w:val="nil" w:sz="6" w:space="0" w:color="auto"/>
              <w:left w:val="nil" w:sz="6" w:space="0" w:color="auto"/>
              <w:bottom w:val="single" w:sz="4" w:space="0" w:color="000000"/>
              <w:right w:val="nil" w:sz="6" w:space="0" w:color="auto"/>
            </w:tcBorders>
          </w:tcPr>
          <w:p>
            <w:pPr>
              <w:pStyle w:val="TableParagraph"/>
              <w:spacing w:line="180" w:lineRule="exact"/>
              <w:ind w:left="138"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37" w:hRule="exact"/>
        </w:trPr>
        <w:tc>
          <w:tcPr>
            <w:tcW w:w="2185"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13" w:right="0"/>
              <w:jc w:val="center"/>
              <w:rPr>
                <w:rFonts w:ascii="Times New Roman" w:hAnsi="Times New Roman" w:cs="Times New Roman" w:eastAsia="Times New Roman" w:hint="default"/>
                <w:sz w:val="18"/>
                <w:szCs w:val="18"/>
              </w:rPr>
            </w:pPr>
            <w:r>
              <w:rPr>
                <w:rFonts w:ascii="Times New Roman"/>
                <w:sz w:val="18"/>
              </w:rPr>
              <w:t>2015</w:t>
            </w:r>
          </w:p>
        </w:tc>
        <w:tc>
          <w:tcPr>
            <w:tcW w:w="2699" w:type="dxa"/>
            <w:tcBorders>
              <w:top w:val="single" w:sz="4" w:space="0" w:color="000000"/>
              <w:left w:val="nil" w:sz="6" w:space="0" w:color="auto"/>
              <w:bottom w:val="nil" w:sz="6" w:space="0" w:color="auto"/>
              <w:right w:val="nil" w:sz="6" w:space="0" w:color="auto"/>
            </w:tcBorders>
          </w:tcPr>
          <w:p>
            <w:pPr/>
          </w:p>
        </w:tc>
        <w:tc>
          <w:tcPr>
            <w:tcW w:w="2185"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387"/>
              <w:jc w:val="right"/>
              <w:rPr>
                <w:rFonts w:ascii="Times New Roman" w:hAnsi="Times New Roman" w:cs="Times New Roman" w:eastAsia="Times New Roman" w:hint="default"/>
                <w:sz w:val="18"/>
                <w:szCs w:val="18"/>
              </w:rPr>
            </w:pPr>
            <w:r>
              <w:rPr>
                <w:rFonts w:ascii="Times New Roman"/>
                <w:spacing w:val="-1"/>
                <w:sz w:val="18"/>
              </w:rPr>
              <w:t>891,513.93</w:t>
            </w:r>
          </w:p>
        </w:tc>
        <w:tc>
          <w:tcPr>
            <w:tcW w:w="1727" w:type="dxa"/>
            <w:tcBorders>
              <w:top w:val="single" w:sz="4" w:space="0" w:color="000000"/>
              <w:left w:val="nil" w:sz="6" w:space="0" w:color="auto"/>
              <w:bottom w:val="nil" w:sz="6" w:space="0" w:color="auto"/>
              <w:right w:val="nil" w:sz="6" w:space="0" w:color="auto"/>
            </w:tcBorders>
          </w:tcPr>
          <w:p>
            <w:pPr/>
          </w:p>
        </w:tc>
      </w:tr>
      <w:tr>
        <w:trPr>
          <w:trHeight w:val="400" w:hRule="exact"/>
        </w:trPr>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3" w:right="0"/>
              <w:jc w:val="center"/>
              <w:rPr>
                <w:rFonts w:ascii="Times New Roman" w:hAnsi="Times New Roman" w:cs="Times New Roman" w:eastAsia="Times New Roman" w:hint="default"/>
                <w:sz w:val="18"/>
                <w:szCs w:val="18"/>
              </w:rPr>
            </w:pPr>
            <w:r>
              <w:rPr>
                <w:rFonts w:ascii="Times New Roman"/>
                <w:sz w:val="18"/>
              </w:rPr>
              <w:t>2016</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11"/>
              <w:jc w:val="right"/>
              <w:rPr>
                <w:rFonts w:ascii="Times New Roman" w:hAnsi="Times New Roman" w:cs="Times New Roman" w:eastAsia="Times New Roman" w:hint="default"/>
                <w:sz w:val="18"/>
                <w:szCs w:val="18"/>
              </w:rPr>
            </w:pPr>
            <w:r>
              <w:rPr>
                <w:rFonts w:ascii="Times New Roman"/>
                <w:spacing w:val="-1"/>
                <w:sz w:val="18"/>
              </w:rPr>
              <w:t>1,704,705.10</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88"/>
              <w:jc w:val="right"/>
              <w:rPr>
                <w:rFonts w:ascii="Times New Roman" w:hAnsi="Times New Roman" w:cs="Times New Roman" w:eastAsia="Times New Roman" w:hint="default"/>
                <w:sz w:val="18"/>
                <w:szCs w:val="18"/>
              </w:rPr>
            </w:pPr>
            <w:r>
              <w:rPr>
                <w:rFonts w:ascii="Times New Roman"/>
                <w:spacing w:val="-1"/>
                <w:sz w:val="18"/>
              </w:rPr>
              <w:t>1,704,705.10</w:t>
            </w:r>
          </w:p>
        </w:tc>
        <w:tc>
          <w:tcPr>
            <w:tcW w:w="1727" w:type="dxa"/>
            <w:tcBorders>
              <w:top w:val="nil" w:sz="6" w:space="0" w:color="auto"/>
              <w:left w:val="nil" w:sz="6" w:space="0" w:color="auto"/>
              <w:bottom w:val="nil" w:sz="6" w:space="0" w:color="auto"/>
              <w:right w:val="nil" w:sz="6" w:space="0" w:color="auto"/>
            </w:tcBorders>
          </w:tcPr>
          <w:p>
            <w:pPr/>
          </w:p>
        </w:tc>
      </w:tr>
      <w:tr>
        <w:trPr>
          <w:trHeight w:val="401" w:hRule="exact"/>
        </w:trPr>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3" w:right="0"/>
              <w:jc w:val="center"/>
              <w:rPr>
                <w:rFonts w:ascii="Times New Roman" w:hAnsi="Times New Roman" w:cs="Times New Roman" w:eastAsia="Times New Roman" w:hint="default"/>
                <w:sz w:val="18"/>
                <w:szCs w:val="18"/>
              </w:rPr>
            </w:pPr>
            <w:r>
              <w:rPr>
                <w:rFonts w:ascii="Times New Roman"/>
                <w:sz w:val="18"/>
              </w:rPr>
              <w:t>2017</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10"/>
              <w:jc w:val="right"/>
              <w:rPr>
                <w:rFonts w:ascii="Times New Roman" w:hAnsi="Times New Roman" w:cs="Times New Roman" w:eastAsia="Times New Roman" w:hint="default"/>
                <w:sz w:val="18"/>
                <w:szCs w:val="18"/>
              </w:rPr>
            </w:pPr>
            <w:r>
              <w:rPr>
                <w:rFonts w:ascii="Times New Roman"/>
                <w:spacing w:val="-1"/>
                <w:sz w:val="18"/>
              </w:rPr>
              <w:t>254,216.75</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87"/>
              <w:jc w:val="right"/>
              <w:rPr>
                <w:rFonts w:ascii="Times New Roman" w:hAnsi="Times New Roman" w:cs="Times New Roman" w:eastAsia="Times New Roman" w:hint="default"/>
                <w:sz w:val="18"/>
                <w:szCs w:val="18"/>
              </w:rPr>
            </w:pPr>
            <w:r>
              <w:rPr>
                <w:rFonts w:ascii="Times New Roman"/>
                <w:spacing w:val="-1"/>
                <w:sz w:val="18"/>
              </w:rPr>
              <w:t>254,216.75</w:t>
            </w:r>
          </w:p>
        </w:tc>
        <w:tc>
          <w:tcPr>
            <w:tcW w:w="1727" w:type="dxa"/>
            <w:tcBorders>
              <w:top w:val="nil" w:sz="6" w:space="0" w:color="auto"/>
              <w:left w:val="nil" w:sz="6" w:space="0" w:color="auto"/>
              <w:bottom w:val="nil" w:sz="6" w:space="0" w:color="auto"/>
              <w:right w:val="nil" w:sz="6" w:space="0" w:color="auto"/>
            </w:tcBorders>
          </w:tcPr>
          <w:p>
            <w:pPr/>
          </w:p>
        </w:tc>
      </w:tr>
      <w:tr>
        <w:trPr>
          <w:trHeight w:val="400" w:hRule="exact"/>
        </w:trPr>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3" w:right="0"/>
              <w:jc w:val="center"/>
              <w:rPr>
                <w:rFonts w:ascii="Times New Roman" w:hAnsi="Times New Roman" w:cs="Times New Roman" w:eastAsia="Times New Roman" w:hint="default"/>
                <w:sz w:val="18"/>
                <w:szCs w:val="18"/>
              </w:rPr>
            </w:pPr>
            <w:r>
              <w:rPr>
                <w:rFonts w:ascii="Times New Roman"/>
                <w:sz w:val="18"/>
              </w:rPr>
              <w:t>2018</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11"/>
              <w:jc w:val="right"/>
              <w:rPr>
                <w:rFonts w:ascii="Times New Roman" w:hAnsi="Times New Roman" w:cs="Times New Roman" w:eastAsia="Times New Roman" w:hint="default"/>
                <w:sz w:val="18"/>
                <w:szCs w:val="18"/>
              </w:rPr>
            </w:pPr>
            <w:r>
              <w:rPr>
                <w:rFonts w:ascii="Times New Roman"/>
                <w:spacing w:val="-1"/>
                <w:sz w:val="18"/>
              </w:rPr>
              <w:t>3,396,566.92</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88"/>
              <w:jc w:val="right"/>
              <w:rPr>
                <w:rFonts w:ascii="Times New Roman" w:hAnsi="Times New Roman" w:cs="Times New Roman" w:eastAsia="Times New Roman" w:hint="default"/>
                <w:sz w:val="18"/>
                <w:szCs w:val="18"/>
              </w:rPr>
            </w:pPr>
            <w:r>
              <w:rPr>
                <w:rFonts w:ascii="Times New Roman"/>
                <w:spacing w:val="-1"/>
                <w:sz w:val="18"/>
              </w:rPr>
              <w:t>3,396,566.92</w:t>
            </w:r>
          </w:p>
        </w:tc>
        <w:tc>
          <w:tcPr>
            <w:tcW w:w="1727" w:type="dxa"/>
            <w:tcBorders>
              <w:top w:val="nil" w:sz="6" w:space="0" w:color="auto"/>
              <w:left w:val="nil" w:sz="6" w:space="0" w:color="auto"/>
              <w:bottom w:val="nil" w:sz="6" w:space="0" w:color="auto"/>
              <w:right w:val="nil" w:sz="6" w:space="0" w:color="auto"/>
            </w:tcBorders>
          </w:tcPr>
          <w:p>
            <w:pPr/>
          </w:p>
        </w:tc>
      </w:tr>
      <w:tr>
        <w:trPr>
          <w:trHeight w:val="400" w:hRule="exact"/>
        </w:trPr>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3" w:right="0"/>
              <w:jc w:val="center"/>
              <w:rPr>
                <w:rFonts w:ascii="Times New Roman" w:hAnsi="Times New Roman" w:cs="Times New Roman" w:eastAsia="Times New Roman" w:hint="default"/>
                <w:sz w:val="18"/>
                <w:szCs w:val="18"/>
              </w:rPr>
            </w:pPr>
            <w:r>
              <w:rPr>
                <w:rFonts w:ascii="Times New Roman"/>
                <w:sz w:val="18"/>
              </w:rPr>
              <w:t>2019</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11"/>
              <w:jc w:val="right"/>
              <w:rPr>
                <w:rFonts w:ascii="Times New Roman" w:hAnsi="Times New Roman" w:cs="Times New Roman" w:eastAsia="Times New Roman" w:hint="default"/>
                <w:sz w:val="18"/>
                <w:szCs w:val="18"/>
              </w:rPr>
            </w:pPr>
            <w:r>
              <w:rPr>
                <w:rFonts w:ascii="Times New Roman"/>
                <w:spacing w:val="-1"/>
                <w:sz w:val="18"/>
              </w:rPr>
              <w:t>6,251,779.64</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88"/>
              <w:jc w:val="right"/>
              <w:rPr>
                <w:rFonts w:ascii="Times New Roman" w:hAnsi="Times New Roman" w:cs="Times New Roman" w:eastAsia="Times New Roman" w:hint="default"/>
                <w:sz w:val="18"/>
                <w:szCs w:val="18"/>
              </w:rPr>
            </w:pPr>
            <w:r>
              <w:rPr>
                <w:rFonts w:ascii="Times New Roman"/>
                <w:spacing w:val="-1"/>
                <w:sz w:val="18"/>
              </w:rPr>
              <w:t>3,582,742.71</w:t>
            </w:r>
          </w:p>
        </w:tc>
        <w:tc>
          <w:tcPr>
            <w:tcW w:w="1727" w:type="dxa"/>
            <w:tcBorders>
              <w:top w:val="nil" w:sz="6" w:space="0" w:color="auto"/>
              <w:left w:val="nil" w:sz="6" w:space="0" w:color="auto"/>
              <w:bottom w:val="nil" w:sz="6" w:space="0" w:color="auto"/>
              <w:right w:val="nil" w:sz="6" w:space="0" w:color="auto"/>
            </w:tcBorders>
          </w:tcPr>
          <w:p>
            <w:pPr/>
          </w:p>
        </w:tc>
      </w:tr>
      <w:tr>
        <w:trPr>
          <w:trHeight w:val="396" w:hRule="exact"/>
        </w:trPr>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3" w:right="0"/>
              <w:jc w:val="center"/>
              <w:rPr>
                <w:rFonts w:ascii="Times New Roman" w:hAnsi="Times New Roman" w:cs="Times New Roman" w:eastAsia="Times New Roman" w:hint="default"/>
                <w:sz w:val="18"/>
                <w:szCs w:val="18"/>
              </w:rPr>
            </w:pPr>
            <w:r>
              <w:rPr>
                <w:rFonts w:ascii="Times New Roman"/>
                <w:sz w:val="18"/>
              </w:rPr>
              <w:t>2020</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11"/>
              <w:jc w:val="right"/>
              <w:rPr>
                <w:rFonts w:ascii="Times New Roman" w:hAnsi="Times New Roman" w:cs="Times New Roman" w:eastAsia="Times New Roman" w:hint="default"/>
                <w:sz w:val="18"/>
                <w:szCs w:val="18"/>
              </w:rPr>
            </w:pPr>
            <w:r>
              <w:rPr>
                <w:rFonts w:ascii="Times New Roman"/>
                <w:spacing w:val="-1"/>
                <w:sz w:val="18"/>
              </w:rPr>
              <w:t>5,831,516.07</w:t>
            </w:r>
          </w:p>
        </w:tc>
        <w:tc>
          <w:tcPr>
            <w:tcW w:w="2185"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r>
      <w:tr>
        <w:trPr>
          <w:trHeight w:val="295" w:hRule="exact"/>
        </w:trPr>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1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17,438,784.48</w:t>
            </w:r>
            <w:r>
              <w:rPr>
                <w:rFonts w:ascii="Times New Roman"/>
                <w:spacing w:val="-1"/>
                <w:sz w:val="18"/>
              </w:rPr>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8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9,829,745.41</w:t>
            </w:r>
            <w:r>
              <w:rPr>
                <w:rFonts w:ascii="Times New Roman"/>
                <w:spacing w:val="-1"/>
                <w:sz w:val="18"/>
              </w:rPr>
            </w:r>
          </w:p>
        </w:tc>
        <w:tc>
          <w:tcPr>
            <w:tcW w:w="1727"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9"/>
          <w:szCs w:val="29"/>
        </w:rPr>
      </w:pPr>
    </w:p>
    <w:p>
      <w:pPr>
        <w:pStyle w:val="BodyText"/>
        <w:spacing w:line="240" w:lineRule="auto" w:before="44"/>
        <w:ind w:left="720" w:right="0"/>
        <w:jc w:val="left"/>
      </w:pPr>
      <w:r>
        <w:rPr>
          <w:rFonts w:ascii="Times New Roman" w:hAnsi="Times New Roman" w:cs="Times New Roman" w:eastAsia="Times New Roman" w:hint="default"/>
        </w:rPr>
        <w:t>16. </w:t>
      </w:r>
      <w:r>
        <w:rPr>
          <w:rFonts w:ascii="Times New Roman" w:hAnsi="Times New Roman" w:cs="Times New Roman" w:eastAsia="Times New Roman" w:hint="default"/>
          <w:spacing w:val="1"/>
        </w:rPr>
        <w:t> </w:t>
      </w:r>
      <w:r>
        <w:rPr/>
        <w:t>其他非流动资产</w:t>
      </w:r>
    </w:p>
    <w:p>
      <w:pPr>
        <w:spacing w:line="240" w:lineRule="auto" w:before="9"/>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253"/>
        <w:gridCol w:w="2631"/>
        <w:gridCol w:w="2913"/>
      </w:tblGrid>
      <w:tr>
        <w:trPr>
          <w:trHeight w:val="275" w:hRule="exact"/>
        </w:trPr>
        <w:tc>
          <w:tcPr>
            <w:tcW w:w="3253" w:type="dxa"/>
            <w:tcBorders>
              <w:top w:val="nil" w:sz="6" w:space="0" w:color="auto"/>
              <w:left w:val="nil" w:sz="6" w:space="0" w:color="auto"/>
              <w:bottom w:val="single" w:sz="4" w:space="0" w:color="000000"/>
              <w:right w:val="nil" w:sz="6" w:space="0" w:color="auto"/>
            </w:tcBorders>
          </w:tcPr>
          <w:p>
            <w:pPr>
              <w:pStyle w:val="TableParagraph"/>
              <w:spacing w:line="180" w:lineRule="exact"/>
              <w:ind w:right="31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31" w:type="dxa"/>
            <w:tcBorders>
              <w:top w:val="nil" w:sz="6" w:space="0" w:color="auto"/>
              <w:left w:val="nil" w:sz="6" w:space="0" w:color="auto"/>
              <w:bottom w:val="single" w:sz="4" w:space="0" w:color="000000"/>
              <w:right w:val="nil" w:sz="6" w:space="0" w:color="auto"/>
            </w:tcBorders>
          </w:tcPr>
          <w:p>
            <w:pPr>
              <w:pStyle w:val="TableParagraph"/>
              <w:spacing w:line="180" w:lineRule="exact"/>
              <w:ind w:right="34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13" w:type="dxa"/>
            <w:tcBorders>
              <w:top w:val="nil" w:sz="6" w:space="0" w:color="auto"/>
              <w:left w:val="nil" w:sz="6" w:space="0" w:color="auto"/>
              <w:bottom w:val="single" w:sz="4" w:space="0" w:color="000000"/>
              <w:right w:val="nil" w:sz="6" w:space="0" w:color="auto"/>
            </w:tcBorders>
          </w:tcPr>
          <w:p>
            <w:pPr>
              <w:pStyle w:val="TableParagraph"/>
              <w:spacing w:line="180" w:lineRule="exact"/>
              <w:ind w:right="25"/>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0" w:hRule="exact"/>
        </w:trPr>
        <w:tc>
          <w:tcPr>
            <w:tcW w:w="325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湖南天舟教育科技研究院</w:t>
            </w:r>
          </w:p>
        </w:tc>
        <w:tc>
          <w:tcPr>
            <w:tcW w:w="263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45"/>
              <w:jc w:val="center"/>
              <w:rPr>
                <w:rFonts w:ascii="Times New Roman" w:hAnsi="Times New Roman" w:cs="Times New Roman" w:eastAsia="Times New Roman" w:hint="default"/>
                <w:sz w:val="18"/>
                <w:szCs w:val="18"/>
              </w:rPr>
            </w:pPr>
            <w:r>
              <w:rPr>
                <w:rFonts w:ascii="Times New Roman"/>
                <w:sz w:val="18"/>
              </w:rPr>
              <w:t>1,000,000.00</w:t>
            </w:r>
          </w:p>
        </w:tc>
        <w:tc>
          <w:tcPr>
            <w:tcW w:w="291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3"/>
              <w:jc w:val="center"/>
              <w:rPr>
                <w:rFonts w:ascii="Times New Roman" w:hAnsi="Times New Roman" w:cs="Times New Roman" w:eastAsia="Times New Roman" w:hint="default"/>
                <w:sz w:val="18"/>
                <w:szCs w:val="18"/>
              </w:rPr>
            </w:pPr>
            <w:r>
              <w:rPr>
                <w:rFonts w:ascii="Times New Roman"/>
                <w:sz w:val="18"/>
              </w:rPr>
              <w:t>1,000,000.00</w:t>
            </w:r>
          </w:p>
        </w:tc>
      </w:tr>
      <w:tr>
        <w:trPr>
          <w:trHeight w:val="400" w:hRule="exact"/>
        </w:trPr>
        <w:tc>
          <w:tcPr>
            <w:tcW w:w="325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上海银河数娱网络科技有限公司</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3"/>
              <w:jc w:val="center"/>
              <w:rPr>
                <w:rFonts w:ascii="Times New Roman" w:hAnsi="Times New Roman" w:cs="Times New Roman" w:eastAsia="Times New Roman" w:hint="default"/>
                <w:sz w:val="18"/>
                <w:szCs w:val="18"/>
              </w:rPr>
            </w:pPr>
            <w:r>
              <w:rPr>
                <w:rFonts w:ascii="Times New Roman"/>
                <w:sz w:val="18"/>
              </w:rPr>
              <w:t>14,000,000.00</w:t>
            </w:r>
          </w:p>
        </w:tc>
        <w:tc>
          <w:tcPr>
            <w:tcW w:w="2913" w:type="dxa"/>
            <w:tcBorders>
              <w:top w:val="nil" w:sz="6" w:space="0" w:color="auto"/>
              <w:left w:val="nil" w:sz="6" w:space="0" w:color="auto"/>
              <w:bottom w:val="nil" w:sz="6" w:space="0" w:color="auto"/>
              <w:right w:val="nil" w:sz="6" w:space="0" w:color="auto"/>
            </w:tcBorders>
          </w:tcPr>
          <w:p>
            <w:pPr/>
          </w:p>
        </w:tc>
      </w:tr>
      <w:tr>
        <w:trPr>
          <w:trHeight w:val="401" w:hRule="exact"/>
        </w:trPr>
        <w:tc>
          <w:tcPr>
            <w:tcW w:w="325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杭州派娱科技有限公司</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3"/>
              <w:jc w:val="center"/>
              <w:rPr>
                <w:rFonts w:ascii="Times New Roman" w:hAnsi="Times New Roman" w:cs="Times New Roman" w:eastAsia="Times New Roman" w:hint="default"/>
                <w:sz w:val="18"/>
                <w:szCs w:val="18"/>
              </w:rPr>
            </w:pPr>
            <w:r>
              <w:rPr>
                <w:rFonts w:ascii="Times New Roman"/>
                <w:sz w:val="18"/>
              </w:rPr>
              <w:t>10,000,000.00</w:t>
            </w:r>
          </w:p>
        </w:tc>
        <w:tc>
          <w:tcPr>
            <w:tcW w:w="2913" w:type="dxa"/>
            <w:tcBorders>
              <w:top w:val="nil" w:sz="6" w:space="0" w:color="auto"/>
              <w:left w:val="nil" w:sz="6" w:space="0" w:color="auto"/>
              <w:bottom w:val="nil" w:sz="6" w:space="0" w:color="auto"/>
              <w:right w:val="nil" w:sz="6" w:space="0" w:color="auto"/>
            </w:tcBorders>
          </w:tcPr>
          <w:p>
            <w:pPr/>
          </w:p>
        </w:tc>
      </w:tr>
      <w:tr>
        <w:trPr>
          <w:trHeight w:val="295" w:hRule="exact"/>
        </w:trPr>
        <w:tc>
          <w:tcPr>
            <w:tcW w:w="32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23"/>
              <w:jc w:val="center"/>
              <w:rPr>
                <w:rFonts w:ascii="宋体" w:hAnsi="宋体" w:cs="宋体" w:eastAsia="宋体" w:hint="default"/>
                <w:sz w:val="18"/>
                <w:szCs w:val="18"/>
              </w:rPr>
            </w:pPr>
            <w:r>
              <w:rPr>
                <w:rFonts w:ascii="宋体" w:hAnsi="宋体" w:cs="宋体" w:eastAsia="宋体" w:hint="default"/>
                <w:sz w:val="18"/>
                <w:szCs w:val="18"/>
              </w:rPr>
              <w:t>合计</w:t>
            </w: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3"/>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25,000,000.00</w:t>
            </w:r>
            <w:r>
              <w:rPr>
                <w:rFonts w:ascii="Times New Roman"/>
                <w:sz w:val="18"/>
              </w:rPr>
            </w:r>
          </w:p>
        </w:tc>
        <w:tc>
          <w:tcPr>
            <w:tcW w:w="291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1,000,000.00</w:t>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348" w:lineRule="auto" w:before="44"/>
        <w:ind w:left="360" w:right="349" w:firstLine="359"/>
        <w:jc w:val="left"/>
      </w:pPr>
      <w:r>
        <w:rPr/>
        <w:t>注</w:t>
      </w:r>
      <w:r>
        <w:rPr>
          <w:spacing w:val="18"/>
        </w:rPr>
        <w:t> </w:t>
      </w:r>
      <w:r>
        <w:rPr>
          <w:rFonts w:ascii="Times New Roman" w:hAnsi="Times New Roman" w:cs="Times New Roman" w:eastAsia="Times New Roman" w:hint="default"/>
        </w:rPr>
        <w:t>1</w:t>
      </w:r>
      <w:r>
        <w:rPr/>
        <w:t>：湖南天舟教育科技研究院属于本公司下属从事教育科学研究、教育技术研究及推广的民办非企 业法人单位。</w:t>
      </w:r>
    </w:p>
    <w:p>
      <w:pPr>
        <w:spacing w:line="240" w:lineRule="auto" w:before="3"/>
        <w:rPr>
          <w:rFonts w:ascii="宋体" w:hAnsi="宋体" w:cs="宋体" w:eastAsia="宋体" w:hint="default"/>
          <w:sz w:val="15"/>
          <w:szCs w:val="15"/>
        </w:rPr>
      </w:pPr>
    </w:p>
    <w:p>
      <w:pPr>
        <w:pStyle w:val="BodyText"/>
        <w:spacing w:line="348" w:lineRule="auto"/>
        <w:ind w:left="360" w:right="348" w:firstLine="359"/>
        <w:jc w:val="left"/>
      </w:pPr>
      <w:r>
        <w:rPr/>
        <w:t>注</w:t>
      </w:r>
      <w:r>
        <w:rPr>
          <w:spacing w:val="-54"/>
        </w:rPr>
        <w:t> </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7"/>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月，天舟文化公司与上海银河数娱网络科技有限公司（简称</w:t>
      </w:r>
      <w:r>
        <w:rPr>
          <w:rFonts w:ascii="Times New Roman" w:hAnsi="Times New Roman" w:cs="Times New Roman" w:eastAsia="Times New Roman" w:hint="default"/>
        </w:rPr>
        <w:t>“</w:t>
      </w:r>
      <w:r>
        <w:rPr/>
        <w:t>银河数娱</w:t>
      </w:r>
      <w:r>
        <w:rPr>
          <w:rFonts w:ascii="Times New Roman" w:hAnsi="Times New Roman" w:cs="Times New Roman" w:eastAsia="Times New Roman" w:hint="default"/>
        </w:rPr>
        <w:t>”</w:t>
      </w:r>
      <w:r>
        <w:rPr/>
        <w:t>）及其原股东 </w:t>
      </w:r>
      <w:r>
        <w:rPr>
          <w:spacing w:val="-4"/>
        </w:rPr>
        <w:t>签订《股权投资协议》，公司向银河数娱预付投资款</w:t>
      </w:r>
      <w:r>
        <w:rPr>
          <w:spacing w:val="-43"/>
        </w:rPr>
        <w:t> </w:t>
      </w:r>
      <w:r>
        <w:rPr>
          <w:rFonts w:ascii="Times New Roman" w:hAnsi="Times New Roman" w:cs="Times New Roman" w:eastAsia="Times New Roman" w:hint="default"/>
        </w:rPr>
        <w:t>1400</w:t>
      </w:r>
      <w:r>
        <w:rPr>
          <w:rFonts w:ascii="Times New Roman" w:hAnsi="Times New Roman" w:cs="Times New Roman" w:eastAsia="Times New Roman" w:hint="default"/>
          <w:spacing w:val="3"/>
        </w:rPr>
        <w:t> </w:t>
      </w:r>
      <w:r>
        <w:rPr/>
        <w:t>万。</w:t>
      </w:r>
    </w:p>
    <w:p>
      <w:pPr>
        <w:spacing w:after="0" w:line="348" w:lineRule="auto"/>
        <w:jc w:val="left"/>
        <w:sectPr>
          <w:pgSz w:w="11910" w:h="16840"/>
          <w:pgMar w:header="0" w:footer="979" w:top="1480" w:bottom="1160" w:left="1440" w:right="1440"/>
        </w:sectPr>
      </w:pPr>
    </w:p>
    <w:p>
      <w:pPr>
        <w:pStyle w:val="BodyText"/>
        <w:spacing w:line="240" w:lineRule="auto" w:before="19"/>
        <w:ind w:left="620" w:right="0"/>
        <w:jc w:val="left"/>
      </w:pPr>
      <w:r>
        <w:rPr/>
        <w:t>注</w:t>
      </w:r>
      <w:r>
        <w:rPr>
          <w:spacing w:val="-49"/>
        </w:rPr>
        <w:t> </w:t>
      </w:r>
      <w:r>
        <w:rPr>
          <w:rFonts w:ascii="Times New Roman" w:hAnsi="Times New Roman" w:cs="Times New Roman" w:eastAsia="Times New Roman" w:hint="default"/>
        </w:rPr>
        <w:t>3</w:t>
      </w:r>
      <w:r>
        <w:rPr/>
        <w:t>：公司向杭州派娱科技有限公司预付投资款情况详见附注</w:t>
      </w:r>
      <w:r>
        <w:rPr>
          <w:rFonts w:ascii="Times New Roman" w:hAnsi="Times New Roman" w:cs="Times New Roman" w:eastAsia="Times New Roman" w:hint="default"/>
        </w:rPr>
        <w:t>“</w:t>
      </w:r>
      <w:r>
        <w:rPr/>
        <w:t>十二、承诺及或有事项</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6"/>
          <w:szCs w:val="26"/>
        </w:rPr>
      </w:pPr>
    </w:p>
    <w:tbl>
      <w:tblPr>
        <w:tblW w:w="0" w:type="auto"/>
        <w:jc w:val="left"/>
        <w:tblInd w:w="152" w:type="dxa"/>
        <w:tblLayout w:type="fixed"/>
        <w:tblCellMar>
          <w:top w:w="0" w:type="dxa"/>
          <w:left w:w="0" w:type="dxa"/>
          <w:bottom w:w="0" w:type="dxa"/>
          <w:right w:w="0" w:type="dxa"/>
        </w:tblCellMar>
        <w:tblLook w:val="01E0"/>
      </w:tblPr>
      <w:tblGrid>
        <w:gridCol w:w="2176"/>
        <w:gridCol w:w="3503"/>
        <w:gridCol w:w="3119"/>
      </w:tblGrid>
      <w:tr>
        <w:trPr>
          <w:trHeight w:val="97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应付账款</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）按账龄列示</w:t>
            </w:r>
          </w:p>
        </w:tc>
        <w:tc>
          <w:tcPr>
            <w:tcW w:w="6622" w:type="dxa"/>
            <w:gridSpan w:val="2"/>
            <w:tcBorders>
              <w:top w:val="nil" w:sz="6" w:space="0" w:color="auto"/>
              <w:left w:val="nil" w:sz="6" w:space="0" w:color="auto"/>
              <w:bottom w:val="nil" w:sz="6" w:space="0" w:color="auto"/>
              <w:right w:val="nil" w:sz="6" w:space="0" w:color="auto"/>
            </w:tcBorders>
          </w:tcPr>
          <w:p>
            <w:pPr/>
          </w:p>
        </w:tc>
      </w:tr>
      <w:tr>
        <w:trPr>
          <w:trHeight w:val="835" w:hRule="exact"/>
        </w:trPr>
        <w:tc>
          <w:tcPr>
            <w:tcW w:w="2176"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99"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503"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right="44"/>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tabs>
                <w:tab w:pos="1835" w:val="left" w:leader="none"/>
              </w:tabs>
              <w:spacing w:line="240" w:lineRule="auto"/>
              <w:ind w:left="731" w:right="0"/>
              <w:jc w:val="left"/>
              <w:rPr>
                <w:rFonts w:ascii="宋体" w:hAnsi="宋体" w:cs="宋体" w:eastAsia="宋体" w:hint="default"/>
                <w:sz w:val="18"/>
                <w:szCs w:val="18"/>
              </w:rPr>
            </w:pPr>
            <w:r>
              <w:rPr>
                <w:rFonts w:ascii="宋体" w:hAnsi="宋体" w:cs="宋体" w:eastAsia="宋体" w:hint="default"/>
                <w:b/>
                <w:bCs/>
                <w:sz w:val="18"/>
                <w:szCs w:val="18"/>
              </w:rPr>
              <w:t>金额</w:t>
              <w:tab/>
              <w:t>占总额比例（％）</w:t>
            </w:r>
            <w:r>
              <w:rPr>
                <w:rFonts w:ascii="宋体" w:hAnsi="宋体" w:cs="宋体" w:eastAsia="宋体" w:hint="default"/>
                <w:sz w:val="18"/>
                <w:szCs w:val="18"/>
              </w:rPr>
            </w:r>
          </w:p>
        </w:tc>
        <w:tc>
          <w:tcPr>
            <w:tcW w:w="3119"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right="147"/>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tabs>
                <w:tab w:pos="1596" w:val="left" w:leader="none"/>
              </w:tabs>
              <w:spacing w:line="240" w:lineRule="auto"/>
              <w:ind w:left="490" w:right="0"/>
              <w:jc w:val="left"/>
              <w:rPr>
                <w:rFonts w:ascii="宋体" w:hAnsi="宋体" w:cs="宋体" w:eastAsia="宋体" w:hint="default"/>
                <w:sz w:val="18"/>
                <w:szCs w:val="18"/>
              </w:rPr>
            </w:pPr>
            <w:r>
              <w:rPr>
                <w:rFonts w:ascii="宋体" w:hAnsi="宋体" w:cs="宋体" w:eastAsia="宋体" w:hint="default"/>
                <w:b/>
                <w:bCs/>
                <w:sz w:val="18"/>
                <w:szCs w:val="18"/>
              </w:rPr>
              <w:t>金额</w:t>
              <w:tab/>
              <w:t>占总额比例（％）</w:t>
            </w:r>
            <w:r>
              <w:rPr>
                <w:rFonts w:ascii="宋体" w:hAnsi="宋体" w:cs="宋体" w:eastAsia="宋体" w:hint="default"/>
                <w:sz w:val="18"/>
                <w:szCs w:val="18"/>
              </w:rPr>
            </w:r>
          </w:p>
        </w:tc>
      </w:tr>
      <w:tr>
        <w:trPr>
          <w:trHeight w:val="431" w:hRule="exact"/>
        </w:trPr>
        <w:tc>
          <w:tcPr>
            <w:tcW w:w="217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03" w:type="dxa"/>
            <w:tcBorders>
              <w:top w:val="single" w:sz="4" w:space="0" w:color="000000"/>
              <w:left w:val="nil" w:sz="6" w:space="0" w:color="auto"/>
              <w:bottom w:val="nil" w:sz="6" w:space="0" w:color="auto"/>
              <w:right w:val="nil" w:sz="6" w:space="0" w:color="auto"/>
            </w:tcBorders>
          </w:tcPr>
          <w:p>
            <w:pPr>
              <w:pStyle w:val="TableParagraph"/>
              <w:tabs>
                <w:tab w:pos="2384" w:val="left" w:leader="none"/>
              </w:tabs>
              <w:spacing w:line="240" w:lineRule="auto" w:before="117"/>
              <w:ind w:left="373" w:right="0"/>
              <w:jc w:val="left"/>
              <w:rPr>
                <w:rFonts w:ascii="Times New Roman" w:hAnsi="Times New Roman" w:cs="Times New Roman" w:eastAsia="Times New Roman" w:hint="default"/>
                <w:sz w:val="18"/>
                <w:szCs w:val="18"/>
              </w:rPr>
            </w:pPr>
            <w:r>
              <w:rPr>
                <w:rFonts w:ascii="Times New Roman"/>
                <w:spacing w:val="-1"/>
                <w:sz w:val="18"/>
              </w:rPr>
              <w:t>106,290,556.23</w:t>
              <w:tab/>
              <w:t>98.20</w:t>
            </w:r>
          </w:p>
        </w:tc>
        <w:tc>
          <w:tcPr>
            <w:tcW w:w="3119" w:type="dxa"/>
            <w:tcBorders>
              <w:top w:val="single" w:sz="4" w:space="0" w:color="000000"/>
              <w:left w:val="nil" w:sz="6" w:space="0" w:color="auto"/>
              <w:bottom w:val="nil" w:sz="6" w:space="0" w:color="auto"/>
              <w:right w:val="nil" w:sz="6" w:space="0" w:color="auto"/>
            </w:tcBorders>
          </w:tcPr>
          <w:p>
            <w:pPr>
              <w:pStyle w:val="TableParagraph"/>
              <w:tabs>
                <w:tab w:pos="1877" w:val="left" w:leader="none"/>
              </w:tabs>
              <w:spacing w:line="240" w:lineRule="auto" w:before="117"/>
              <w:ind w:right="609"/>
              <w:jc w:val="right"/>
              <w:rPr>
                <w:rFonts w:ascii="Times New Roman" w:hAnsi="Times New Roman" w:cs="Times New Roman" w:eastAsia="Times New Roman" w:hint="default"/>
                <w:sz w:val="18"/>
                <w:szCs w:val="18"/>
              </w:rPr>
            </w:pPr>
            <w:r>
              <w:rPr>
                <w:rFonts w:ascii="Times New Roman"/>
                <w:spacing w:val="-1"/>
                <w:sz w:val="18"/>
              </w:rPr>
              <w:t>94,044,536.18</w:t>
              <w:tab/>
            </w:r>
            <w:r>
              <w:rPr>
                <w:rFonts w:ascii="Times New Roman"/>
                <w:sz w:val="18"/>
              </w:rPr>
              <w:t>98.17</w:t>
            </w:r>
          </w:p>
        </w:tc>
      </w:tr>
      <w:tr>
        <w:trPr>
          <w:trHeight w:val="401"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03" w:type="dxa"/>
            <w:tcBorders>
              <w:top w:val="nil" w:sz="6" w:space="0" w:color="auto"/>
              <w:left w:val="nil" w:sz="6" w:space="0" w:color="auto"/>
              <w:bottom w:val="nil" w:sz="6" w:space="0" w:color="auto"/>
              <w:right w:val="nil" w:sz="6" w:space="0" w:color="auto"/>
            </w:tcBorders>
          </w:tcPr>
          <w:p>
            <w:pPr>
              <w:pStyle w:val="TableParagraph"/>
              <w:tabs>
                <w:tab w:pos="1742" w:val="left" w:leader="none"/>
              </w:tabs>
              <w:spacing w:line="240" w:lineRule="auto" w:before="92"/>
              <w:ind w:right="755"/>
              <w:jc w:val="right"/>
              <w:rPr>
                <w:rFonts w:ascii="Times New Roman" w:hAnsi="Times New Roman" w:cs="Times New Roman" w:eastAsia="Times New Roman" w:hint="default"/>
                <w:sz w:val="18"/>
                <w:szCs w:val="18"/>
              </w:rPr>
            </w:pPr>
            <w:r>
              <w:rPr>
                <w:rFonts w:ascii="Times New Roman"/>
                <w:spacing w:val="-1"/>
                <w:sz w:val="18"/>
              </w:rPr>
              <w:t>857,544.56</w:t>
              <w:tab/>
            </w:r>
            <w:r>
              <w:rPr>
                <w:rFonts w:ascii="Times New Roman"/>
                <w:sz w:val="18"/>
              </w:rPr>
              <w:t>0.79</w:t>
            </w:r>
          </w:p>
        </w:tc>
        <w:tc>
          <w:tcPr>
            <w:tcW w:w="3119" w:type="dxa"/>
            <w:tcBorders>
              <w:top w:val="nil" w:sz="6" w:space="0" w:color="auto"/>
              <w:left w:val="nil" w:sz="6" w:space="0" w:color="auto"/>
              <w:bottom w:val="nil" w:sz="6" w:space="0" w:color="auto"/>
              <w:right w:val="nil" w:sz="6" w:space="0" w:color="auto"/>
            </w:tcBorders>
          </w:tcPr>
          <w:p>
            <w:pPr>
              <w:pStyle w:val="TableParagraph"/>
              <w:tabs>
                <w:tab w:pos="1826" w:val="left" w:leader="none"/>
              </w:tabs>
              <w:spacing w:line="240" w:lineRule="auto" w:before="92"/>
              <w:ind w:right="654"/>
              <w:jc w:val="right"/>
              <w:rPr>
                <w:rFonts w:ascii="Times New Roman" w:hAnsi="Times New Roman" w:cs="Times New Roman" w:eastAsia="Times New Roman" w:hint="default"/>
                <w:sz w:val="18"/>
                <w:szCs w:val="18"/>
              </w:rPr>
            </w:pPr>
            <w:r>
              <w:rPr>
                <w:rFonts w:ascii="Times New Roman"/>
                <w:spacing w:val="-1"/>
                <w:sz w:val="18"/>
              </w:rPr>
              <w:t>1,005,811.32</w:t>
              <w:tab/>
              <w:t>1.05</w:t>
            </w:r>
          </w:p>
        </w:tc>
      </w:tr>
      <w:tr>
        <w:trPr>
          <w:trHeight w:val="40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03" w:type="dxa"/>
            <w:tcBorders>
              <w:top w:val="nil" w:sz="6" w:space="0" w:color="auto"/>
              <w:left w:val="nil" w:sz="6" w:space="0" w:color="auto"/>
              <w:bottom w:val="nil" w:sz="6" w:space="0" w:color="auto"/>
              <w:right w:val="nil" w:sz="6" w:space="0" w:color="auto"/>
            </w:tcBorders>
          </w:tcPr>
          <w:p>
            <w:pPr>
              <w:pStyle w:val="TableParagraph"/>
              <w:tabs>
                <w:tab w:pos="1742" w:val="left" w:leader="none"/>
              </w:tabs>
              <w:spacing w:line="240" w:lineRule="auto" w:before="92"/>
              <w:ind w:right="755"/>
              <w:jc w:val="right"/>
              <w:rPr>
                <w:rFonts w:ascii="Times New Roman" w:hAnsi="Times New Roman" w:cs="Times New Roman" w:eastAsia="Times New Roman" w:hint="default"/>
                <w:sz w:val="18"/>
                <w:szCs w:val="18"/>
              </w:rPr>
            </w:pPr>
            <w:r>
              <w:rPr>
                <w:rFonts w:ascii="Times New Roman"/>
                <w:spacing w:val="-1"/>
                <w:sz w:val="18"/>
              </w:rPr>
              <w:t>525,384.74</w:t>
              <w:tab/>
            </w:r>
            <w:r>
              <w:rPr>
                <w:rFonts w:ascii="Times New Roman"/>
                <w:sz w:val="18"/>
              </w:rPr>
              <w:t>0.49</w:t>
            </w:r>
          </w:p>
        </w:tc>
        <w:tc>
          <w:tcPr>
            <w:tcW w:w="3119" w:type="dxa"/>
            <w:tcBorders>
              <w:top w:val="nil" w:sz="6" w:space="0" w:color="auto"/>
              <w:left w:val="nil" w:sz="6" w:space="0" w:color="auto"/>
              <w:bottom w:val="nil" w:sz="6" w:space="0" w:color="auto"/>
              <w:right w:val="nil" w:sz="6" w:space="0" w:color="auto"/>
            </w:tcBorders>
          </w:tcPr>
          <w:p>
            <w:pPr>
              <w:pStyle w:val="TableParagraph"/>
              <w:tabs>
                <w:tab w:pos="1699" w:val="left" w:leader="none"/>
              </w:tabs>
              <w:spacing w:line="240" w:lineRule="auto" w:before="92"/>
              <w:ind w:right="654"/>
              <w:jc w:val="right"/>
              <w:rPr>
                <w:rFonts w:ascii="Times New Roman" w:hAnsi="Times New Roman" w:cs="Times New Roman" w:eastAsia="Times New Roman" w:hint="default"/>
                <w:sz w:val="18"/>
                <w:szCs w:val="18"/>
              </w:rPr>
            </w:pPr>
            <w:r>
              <w:rPr>
                <w:rFonts w:ascii="Times New Roman"/>
                <w:spacing w:val="-1"/>
                <w:sz w:val="18"/>
              </w:rPr>
              <w:t>518,226.63</w:t>
              <w:tab/>
              <w:t>0.54</w:t>
            </w:r>
          </w:p>
        </w:tc>
      </w:tr>
      <w:tr>
        <w:trPr>
          <w:trHeight w:val="40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503" w:type="dxa"/>
            <w:tcBorders>
              <w:top w:val="nil" w:sz="6" w:space="0" w:color="auto"/>
              <w:left w:val="nil" w:sz="6" w:space="0" w:color="auto"/>
              <w:bottom w:val="nil" w:sz="6" w:space="0" w:color="auto"/>
              <w:right w:val="nil" w:sz="6" w:space="0" w:color="auto"/>
            </w:tcBorders>
          </w:tcPr>
          <w:p>
            <w:pPr>
              <w:pStyle w:val="TableParagraph"/>
              <w:tabs>
                <w:tab w:pos="1742" w:val="left" w:leader="none"/>
              </w:tabs>
              <w:spacing w:line="240" w:lineRule="auto" w:before="91"/>
              <w:ind w:right="755"/>
              <w:jc w:val="right"/>
              <w:rPr>
                <w:rFonts w:ascii="Times New Roman" w:hAnsi="Times New Roman" w:cs="Times New Roman" w:eastAsia="Times New Roman" w:hint="default"/>
                <w:sz w:val="18"/>
                <w:szCs w:val="18"/>
              </w:rPr>
            </w:pPr>
            <w:r>
              <w:rPr>
                <w:rFonts w:ascii="Times New Roman"/>
                <w:spacing w:val="-1"/>
                <w:sz w:val="18"/>
              </w:rPr>
              <w:t>563,023.33</w:t>
              <w:tab/>
            </w:r>
            <w:r>
              <w:rPr>
                <w:rFonts w:ascii="Times New Roman"/>
                <w:sz w:val="18"/>
              </w:rPr>
              <w:t>0.52</w:t>
            </w:r>
          </w:p>
        </w:tc>
        <w:tc>
          <w:tcPr>
            <w:tcW w:w="3119" w:type="dxa"/>
            <w:tcBorders>
              <w:top w:val="nil" w:sz="6" w:space="0" w:color="auto"/>
              <w:left w:val="nil" w:sz="6" w:space="0" w:color="auto"/>
              <w:bottom w:val="nil" w:sz="6" w:space="0" w:color="auto"/>
              <w:right w:val="nil" w:sz="6" w:space="0" w:color="auto"/>
            </w:tcBorders>
          </w:tcPr>
          <w:p>
            <w:pPr>
              <w:pStyle w:val="TableParagraph"/>
              <w:tabs>
                <w:tab w:pos="1699" w:val="left" w:leader="none"/>
              </w:tabs>
              <w:spacing w:line="240" w:lineRule="auto" w:before="91"/>
              <w:ind w:right="654"/>
              <w:jc w:val="right"/>
              <w:rPr>
                <w:rFonts w:ascii="Times New Roman" w:hAnsi="Times New Roman" w:cs="Times New Roman" w:eastAsia="Times New Roman" w:hint="default"/>
                <w:sz w:val="18"/>
                <w:szCs w:val="18"/>
              </w:rPr>
            </w:pPr>
            <w:r>
              <w:rPr>
                <w:rFonts w:ascii="Times New Roman"/>
                <w:spacing w:val="-1"/>
                <w:sz w:val="18"/>
              </w:rPr>
              <w:t>226,837.51</w:t>
              <w:tab/>
              <w:t>0.24</w:t>
            </w:r>
          </w:p>
        </w:tc>
      </w:tr>
      <w:tr>
        <w:trPr>
          <w:trHeight w:val="395"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6"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503" w:type="dxa"/>
            <w:tcBorders>
              <w:top w:val="nil" w:sz="6" w:space="0" w:color="auto"/>
              <w:left w:val="nil" w:sz="6" w:space="0" w:color="auto"/>
              <w:bottom w:val="nil" w:sz="6" w:space="0" w:color="auto"/>
              <w:right w:val="nil" w:sz="6" w:space="0" w:color="auto"/>
            </w:tcBorders>
          </w:tcPr>
          <w:p>
            <w:pPr>
              <w:pStyle w:val="TableParagraph"/>
              <w:tabs>
                <w:tab w:pos="2406" w:val="left" w:leader="none"/>
              </w:tabs>
              <w:spacing w:line="240" w:lineRule="auto" w:before="92"/>
              <w:ind w:left="28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pacing w:val="-1"/>
                <w:sz w:val="18"/>
                <w:u w:val="thick" w:color="000000"/>
              </w:rPr>
              <w:t>108,236,508.86</w:t>
            </w:r>
            <w:r>
              <w:rPr>
                <w:rFonts w:ascii="Times New Roman"/>
                <w:spacing w:val="-1"/>
                <w:sz w:val="18"/>
              </w:rPr>
              <w:tab/>
            </w:r>
            <w:r>
              <w:rPr>
                <w:rFonts w:ascii="Times New Roman"/>
                <w:spacing w:val="1"/>
                <w:sz w:val="18"/>
                <w:u w:val="thick" w:color="000000"/>
              </w:rPr>
              <w:t>100</w:t>
            </w:r>
            <w:r>
              <w:rPr>
                <w:rFonts w:ascii="Times New Roman"/>
                <w:spacing w:val="1"/>
                <w:sz w:val="18"/>
              </w:rPr>
            </w:r>
            <w:r>
              <w:rPr>
                <w:rFonts w:ascii="Times New Roman"/>
                <w:sz w:val="18"/>
              </w:rPr>
            </w:r>
          </w:p>
        </w:tc>
        <w:tc>
          <w:tcPr>
            <w:tcW w:w="3119" w:type="dxa"/>
            <w:tcBorders>
              <w:top w:val="nil" w:sz="6" w:space="0" w:color="auto"/>
              <w:left w:val="nil" w:sz="6" w:space="0" w:color="auto"/>
              <w:bottom w:val="nil" w:sz="6" w:space="0" w:color="auto"/>
              <w:right w:val="nil" w:sz="6" w:space="0" w:color="auto"/>
            </w:tcBorders>
          </w:tcPr>
          <w:p>
            <w:pPr>
              <w:pStyle w:val="TableParagraph"/>
              <w:tabs>
                <w:tab w:pos="1939" w:val="left" w:leader="none"/>
              </w:tabs>
              <w:spacing w:line="240" w:lineRule="auto" w:before="92"/>
              <w:ind w:right="67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95,795,411.64</w:t>
            </w:r>
            <w:r>
              <w:rPr>
                <w:rFonts w:ascii="Times New Roman"/>
                <w:spacing w:val="-1"/>
                <w:sz w:val="18"/>
              </w:rPr>
              <w:tab/>
            </w:r>
            <w:r>
              <w:rPr>
                <w:rFonts w:ascii="Times New Roman"/>
                <w:spacing w:val="1"/>
                <w:sz w:val="18"/>
                <w:u w:val="thick" w:color="000000"/>
              </w:rPr>
              <w:t>100</w:t>
            </w:r>
            <w:r>
              <w:rPr>
                <w:rFonts w:ascii="Times New Roman"/>
                <w:spacing w:val="1"/>
                <w:sz w:val="18"/>
              </w:rPr>
            </w:r>
            <w:r>
              <w:rPr>
                <w:rFonts w:ascii="Times New Roman"/>
                <w:sz w:val="18"/>
              </w:rPr>
            </w:r>
          </w:p>
        </w:tc>
      </w:tr>
    </w:tbl>
    <w:p>
      <w:pPr>
        <w:spacing w:line="240" w:lineRule="auto" w:before="4"/>
        <w:rPr>
          <w:rFonts w:ascii="宋体" w:hAnsi="宋体" w:cs="宋体" w:eastAsia="宋体" w:hint="default"/>
          <w:sz w:val="22"/>
          <w:szCs w:val="22"/>
        </w:rPr>
      </w:pPr>
    </w:p>
    <w:p>
      <w:pPr>
        <w:pStyle w:val="BodyText"/>
        <w:spacing w:line="240" w:lineRule="auto" w:before="44"/>
        <w:ind w:left="620" w:right="0"/>
        <w:jc w:val="left"/>
      </w:pPr>
      <w:r>
        <w:rPr/>
        <w:t>（</w:t>
      </w:r>
      <w:r>
        <w:rPr>
          <w:rFonts w:ascii="Times New Roman" w:hAnsi="Times New Roman" w:cs="Times New Roman" w:eastAsia="Times New Roman" w:hint="default"/>
        </w:rPr>
        <w:t>2</w:t>
      </w:r>
      <w:r>
        <w:rPr/>
        <w:t>）期末无账龄超过</w:t>
      </w:r>
      <w:r>
        <w:rPr>
          <w:rFonts w:ascii="Times New Roman" w:hAnsi="Times New Roman" w:cs="Times New Roman" w:eastAsia="Times New Roman" w:hint="default"/>
        </w:rPr>
        <w:t>1</w:t>
      </w:r>
      <w:r>
        <w:rPr/>
        <w:t>年的重要应付账款。</w:t>
      </w:r>
    </w:p>
    <w:p>
      <w:pPr>
        <w:spacing w:line="240" w:lineRule="auto" w:before="13"/>
        <w:rPr>
          <w:rFonts w:ascii="宋体" w:hAnsi="宋体" w:cs="宋体" w:eastAsia="宋体" w:hint="default"/>
          <w:sz w:val="16"/>
          <w:szCs w:val="16"/>
        </w:rPr>
      </w:pPr>
    </w:p>
    <w:tbl>
      <w:tblPr>
        <w:tblW w:w="0" w:type="auto"/>
        <w:jc w:val="left"/>
        <w:tblInd w:w="152" w:type="dxa"/>
        <w:tblLayout w:type="fixed"/>
        <w:tblCellMar>
          <w:top w:w="0" w:type="dxa"/>
          <w:left w:w="0" w:type="dxa"/>
          <w:bottom w:w="0" w:type="dxa"/>
          <w:right w:w="0" w:type="dxa"/>
        </w:tblCellMar>
        <w:tblLook w:val="01E0"/>
      </w:tblPr>
      <w:tblGrid>
        <w:gridCol w:w="1962"/>
        <w:gridCol w:w="1196"/>
        <w:gridCol w:w="776"/>
        <w:gridCol w:w="1345"/>
        <w:gridCol w:w="1381"/>
        <w:gridCol w:w="778"/>
        <w:gridCol w:w="1360"/>
      </w:tblGrid>
      <w:tr>
        <w:trPr>
          <w:trHeight w:val="968"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预收款项</w:t>
            </w: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）按账龄列示</w:t>
            </w:r>
          </w:p>
        </w:tc>
        <w:tc>
          <w:tcPr>
            <w:tcW w:w="6835" w:type="dxa"/>
            <w:gridSpan w:val="6"/>
            <w:tcBorders>
              <w:top w:val="nil" w:sz="6" w:space="0" w:color="auto"/>
              <w:left w:val="nil" w:sz="6" w:space="0" w:color="auto"/>
              <w:bottom w:val="nil" w:sz="6" w:space="0" w:color="auto"/>
              <w:right w:val="nil" w:sz="6" w:space="0" w:color="auto"/>
            </w:tcBorders>
          </w:tcPr>
          <w:p>
            <w:pPr/>
          </w:p>
        </w:tc>
      </w:tr>
      <w:tr>
        <w:trPr>
          <w:trHeight w:val="862" w:hRule="exact"/>
        </w:trPr>
        <w:tc>
          <w:tcPr>
            <w:tcW w:w="1962"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69"/>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19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76" w:type="dxa"/>
            <w:tcBorders>
              <w:top w:val="nil" w:sz="6" w:space="0" w:color="auto"/>
              <w:left w:val="nil" w:sz="6" w:space="0" w:color="auto"/>
              <w:bottom w:val="single" w:sz="8" w:space="0" w:color="000000"/>
              <w:right w:val="nil" w:sz="6" w:space="0" w:color="auto"/>
            </w:tcBorders>
          </w:tcPr>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34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379"/>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8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29"/>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778" w:type="dxa"/>
            <w:tcBorders>
              <w:top w:val="nil" w:sz="6" w:space="0" w:color="auto"/>
              <w:left w:val="nil" w:sz="6" w:space="0" w:color="auto"/>
              <w:bottom w:val="single" w:sz="8" w:space="0" w:color="000000"/>
              <w:right w:val="nil" w:sz="6" w:space="0" w:color="auto"/>
            </w:tcBorders>
          </w:tcPr>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60"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392"/>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36" w:hRule="exact"/>
        </w:trPr>
        <w:tc>
          <w:tcPr>
            <w:tcW w:w="1962"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6"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4,099,223.17</w:t>
            </w:r>
          </w:p>
        </w:tc>
        <w:tc>
          <w:tcPr>
            <w:tcW w:w="776" w:type="dxa"/>
            <w:tcBorders>
              <w:top w:val="single" w:sz="8" w:space="0" w:color="000000"/>
              <w:left w:val="nil" w:sz="6" w:space="0" w:color="auto"/>
              <w:bottom w:val="nil" w:sz="6" w:space="0" w:color="auto"/>
              <w:right w:val="nil" w:sz="6" w:space="0" w:color="auto"/>
            </w:tcBorders>
          </w:tcPr>
          <w:p>
            <w:pPr/>
          </w:p>
        </w:tc>
        <w:tc>
          <w:tcPr>
            <w:tcW w:w="1345"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290"/>
              <w:jc w:val="center"/>
              <w:rPr>
                <w:rFonts w:ascii="Times New Roman" w:hAnsi="Times New Roman" w:cs="Times New Roman" w:eastAsia="Times New Roman" w:hint="default"/>
                <w:sz w:val="18"/>
                <w:szCs w:val="18"/>
              </w:rPr>
            </w:pPr>
            <w:r>
              <w:rPr>
                <w:rFonts w:ascii="Times New Roman"/>
                <w:sz w:val="18"/>
              </w:rPr>
              <w:t>65.46</w:t>
            </w:r>
          </w:p>
        </w:tc>
        <w:tc>
          <w:tcPr>
            <w:tcW w:w="1381"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2,956,678.71</w:t>
            </w:r>
          </w:p>
        </w:tc>
        <w:tc>
          <w:tcPr>
            <w:tcW w:w="778" w:type="dxa"/>
            <w:tcBorders>
              <w:top w:val="single" w:sz="8" w:space="0" w:color="000000"/>
              <w:left w:val="nil" w:sz="6" w:space="0" w:color="auto"/>
              <w:bottom w:val="nil" w:sz="6" w:space="0" w:color="auto"/>
              <w:right w:val="nil" w:sz="6" w:space="0" w:color="auto"/>
            </w:tcBorders>
          </w:tcPr>
          <w:p>
            <w:pPr/>
          </w:p>
        </w:tc>
        <w:tc>
          <w:tcPr>
            <w:tcW w:w="1360"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391"/>
              <w:jc w:val="center"/>
              <w:rPr>
                <w:rFonts w:ascii="Times New Roman" w:hAnsi="Times New Roman" w:cs="Times New Roman" w:eastAsia="Times New Roman" w:hint="default"/>
                <w:sz w:val="18"/>
                <w:szCs w:val="18"/>
              </w:rPr>
            </w:pPr>
            <w:r>
              <w:rPr>
                <w:rFonts w:ascii="Times New Roman"/>
                <w:sz w:val="18"/>
              </w:rPr>
              <w:t>53.56</w:t>
            </w:r>
          </w:p>
        </w:tc>
      </w:tr>
      <w:tr>
        <w:trPr>
          <w:trHeight w:val="401"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518,686.51</w:t>
            </w:r>
          </w:p>
        </w:tc>
        <w:tc>
          <w:tcPr>
            <w:tcW w:w="776"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7"/>
              <w:jc w:val="center"/>
              <w:rPr>
                <w:rFonts w:ascii="Times New Roman" w:hAnsi="Times New Roman" w:cs="Times New Roman" w:eastAsia="Times New Roman" w:hint="default"/>
                <w:sz w:val="18"/>
                <w:szCs w:val="18"/>
              </w:rPr>
            </w:pPr>
            <w:r>
              <w:rPr>
                <w:rFonts w:ascii="Times New Roman"/>
                <w:sz w:val="18"/>
              </w:rPr>
              <w:t>8.28</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1,948,840.68</w:t>
            </w:r>
          </w:p>
        </w:tc>
        <w:tc>
          <w:tcPr>
            <w:tcW w:w="778"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91"/>
              <w:jc w:val="center"/>
              <w:rPr>
                <w:rFonts w:ascii="Times New Roman" w:hAnsi="Times New Roman" w:cs="Times New Roman" w:eastAsia="Times New Roman" w:hint="default"/>
                <w:sz w:val="18"/>
                <w:szCs w:val="18"/>
              </w:rPr>
            </w:pPr>
            <w:r>
              <w:rPr>
                <w:rFonts w:ascii="Times New Roman"/>
                <w:sz w:val="18"/>
              </w:rPr>
              <w:t>35.30</w:t>
            </w:r>
          </w:p>
        </w:tc>
      </w:tr>
      <w:tr>
        <w:trPr>
          <w:trHeight w:val="400"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1,128,183.53</w:t>
            </w:r>
          </w:p>
        </w:tc>
        <w:tc>
          <w:tcPr>
            <w:tcW w:w="776"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0"/>
              <w:jc w:val="center"/>
              <w:rPr>
                <w:rFonts w:ascii="Times New Roman" w:hAnsi="Times New Roman" w:cs="Times New Roman" w:eastAsia="Times New Roman" w:hint="default"/>
                <w:sz w:val="18"/>
                <w:szCs w:val="18"/>
              </w:rPr>
            </w:pPr>
            <w:r>
              <w:rPr>
                <w:rFonts w:ascii="Times New Roman"/>
                <w:sz w:val="18"/>
              </w:rPr>
              <w:t>18.02</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528,226.67</w:t>
            </w:r>
          </w:p>
        </w:tc>
        <w:tc>
          <w:tcPr>
            <w:tcW w:w="778"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91"/>
              <w:jc w:val="center"/>
              <w:rPr>
                <w:rFonts w:ascii="Times New Roman" w:hAnsi="Times New Roman" w:cs="Times New Roman" w:eastAsia="Times New Roman" w:hint="default"/>
                <w:sz w:val="18"/>
                <w:szCs w:val="18"/>
              </w:rPr>
            </w:pPr>
            <w:r>
              <w:rPr>
                <w:rFonts w:ascii="Times New Roman"/>
                <w:sz w:val="18"/>
              </w:rPr>
              <w:t>9.57</w:t>
            </w:r>
          </w:p>
        </w:tc>
      </w:tr>
      <w:tr>
        <w:trPr>
          <w:trHeight w:val="400"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516,022.26</w:t>
            </w:r>
          </w:p>
        </w:tc>
        <w:tc>
          <w:tcPr>
            <w:tcW w:w="776"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7"/>
              <w:jc w:val="center"/>
              <w:rPr>
                <w:rFonts w:ascii="Times New Roman" w:hAnsi="Times New Roman" w:cs="Times New Roman" w:eastAsia="Times New Roman" w:hint="default"/>
                <w:sz w:val="18"/>
                <w:szCs w:val="18"/>
              </w:rPr>
            </w:pPr>
            <w:r>
              <w:rPr>
                <w:rFonts w:ascii="Times New Roman"/>
                <w:sz w:val="18"/>
              </w:rPr>
              <w:t>8.24</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86,720.27</w:t>
            </w:r>
          </w:p>
        </w:tc>
        <w:tc>
          <w:tcPr>
            <w:tcW w:w="778"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91"/>
              <w:jc w:val="center"/>
              <w:rPr>
                <w:rFonts w:ascii="Times New Roman" w:hAnsi="Times New Roman" w:cs="Times New Roman" w:eastAsia="Times New Roman" w:hint="default"/>
                <w:sz w:val="18"/>
                <w:szCs w:val="18"/>
              </w:rPr>
            </w:pPr>
            <w:r>
              <w:rPr>
                <w:rFonts w:ascii="Times New Roman"/>
                <w:sz w:val="18"/>
              </w:rPr>
              <w:t>1.57</w:t>
            </w:r>
          </w:p>
        </w:tc>
      </w:tr>
      <w:tr>
        <w:trPr>
          <w:trHeight w:val="395"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2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pacing w:val="-1"/>
                <w:sz w:val="18"/>
                <w:u w:val="thick" w:color="000000"/>
              </w:rPr>
              <w:t>6,262,115.47</w:t>
            </w:r>
            <w:r>
              <w:rPr>
                <w:rFonts w:ascii="Times New Roman"/>
                <w:spacing w:val="-1"/>
                <w:sz w:val="18"/>
              </w:rPr>
            </w:r>
          </w:p>
        </w:tc>
        <w:tc>
          <w:tcPr>
            <w:tcW w:w="776"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6"/>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5,520,466.33</w:t>
            </w:r>
            <w:r>
              <w:rPr>
                <w:rFonts w:ascii="Times New Roman"/>
                <w:spacing w:val="-1"/>
                <w:sz w:val="18"/>
              </w:rPr>
            </w:r>
          </w:p>
        </w:tc>
        <w:tc>
          <w:tcPr>
            <w:tcW w:w="778"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89"/>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r>
    </w:tbl>
    <w:p>
      <w:pPr>
        <w:spacing w:line="240" w:lineRule="auto" w:before="4"/>
        <w:rPr>
          <w:rFonts w:ascii="宋体" w:hAnsi="宋体" w:cs="宋体" w:eastAsia="宋体" w:hint="default"/>
          <w:sz w:val="22"/>
          <w:szCs w:val="22"/>
        </w:rPr>
      </w:pPr>
    </w:p>
    <w:p>
      <w:pPr>
        <w:pStyle w:val="BodyText"/>
        <w:spacing w:line="240" w:lineRule="auto" w:before="44"/>
        <w:ind w:left="620" w:right="0"/>
        <w:jc w:val="left"/>
      </w:pPr>
      <w:r>
        <w:rPr/>
        <w:t>（</w:t>
      </w:r>
      <w:r>
        <w:rPr>
          <w:rFonts w:ascii="Times New Roman" w:hAnsi="Times New Roman" w:cs="Times New Roman" w:eastAsia="Times New Roman" w:hint="default"/>
        </w:rPr>
        <w:t>2</w:t>
      </w:r>
      <w:r>
        <w:rPr/>
        <w:t>）期末无账龄超过</w:t>
      </w:r>
      <w:r>
        <w:rPr>
          <w:rFonts w:ascii="Times New Roman" w:hAnsi="Times New Roman" w:cs="Times New Roman" w:eastAsia="Times New Roman" w:hint="default"/>
        </w:rPr>
        <w:t>1</w:t>
      </w:r>
      <w:r>
        <w:rPr/>
        <w:t>年未结转的重要预收款项。</w:t>
      </w:r>
    </w:p>
    <w:p>
      <w:pPr>
        <w:spacing w:line="240" w:lineRule="auto" w:before="0"/>
        <w:rPr>
          <w:rFonts w:ascii="宋体" w:hAnsi="宋体" w:cs="宋体" w:eastAsia="宋体" w:hint="default"/>
          <w:sz w:val="18"/>
          <w:szCs w:val="18"/>
        </w:rPr>
      </w:pPr>
    </w:p>
    <w:p>
      <w:pPr>
        <w:pStyle w:val="BodyText"/>
        <w:spacing w:line="240" w:lineRule="auto" w:before="154"/>
        <w:ind w:left="620" w:right="0"/>
        <w:jc w:val="left"/>
      </w:pPr>
      <w:r>
        <w:rPr>
          <w:rFonts w:ascii="Times New Roman" w:hAnsi="Times New Roman" w:cs="Times New Roman" w:eastAsia="Times New Roman" w:hint="default"/>
        </w:rPr>
        <w:t>19. </w:t>
      </w:r>
      <w:r>
        <w:rPr>
          <w:rFonts w:ascii="Times New Roman" w:hAnsi="Times New Roman" w:cs="Times New Roman" w:eastAsia="Times New Roman" w:hint="default"/>
          <w:spacing w:val="1"/>
        </w:rPr>
        <w:t> </w:t>
      </w:r>
      <w:r>
        <w:rPr/>
        <w:t>应付职工薪酬</w:t>
      </w:r>
    </w:p>
    <w:p>
      <w:pPr>
        <w:spacing w:line="240" w:lineRule="auto" w:before="8"/>
        <w:rPr>
          <w:rFonts w:ascii="宋体" w:hAnsi="宋体" w:cs="宋体" w:eastAsia="宋体" w:hint="default"/>
          <w:sz w:val="20"/>
          <w:szCs w:val="20"/>
        </w:rPr>
      </w:pPr>
    </w:p>
    <w:p>
      <w:pPr>
        <w:pStyle w:val="BodyText"/>
        <w:spacing w:line="240" w:lineRule="auto"/>
        <w:ind w:left="620" w:right="0"/>
        <w:jc w:val="left"/>
      </w:pPr>
      <w:r>
        <w:rPr/>
        <w:t>（</w:t>
      </w:r>
      <w:r>
        <w:rPr>
          <w:rFonts w:ascii="Times New Roman" w:hAnsi="Times New Roman" w:cs="Times New Roman" w:eastAsia="Times New Roman" w:hint="default"/>
        </w:rPr>
        <w:t>1</w:t>
      </w:r>
      <w:r>
        <w:rPr/>
        <w:t>）分类列示</w:t>
      </w:r>
    </w:p>
    <w:p>
      <w:pPr>
        <w:spacing w:line="240" w:lineRule="auto" w:before="6"/>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019"/>
        <w:gridCol w:w="1461"/>
        <w:gridCol w:w="1343"/>
        <w:gridCol w:w="1388"/>
        <w:gridCol w:w="1371"/>
      </w:tblGrid>
      <w:tr>
        <w:trPr>
          <w:trHeight w:val="275" w:hRule="exact"/>
        </w:trPr>
        <w:tc>
          <w:tcPr>
            <w:tcW w:w="3019" w:type="dxa"/>
            <w:tcBorders>
              <w:top w:val="nil" w:sz="6" w:space="0" w:color="auto"/>
              <w:left w:val="nil" w:sz="6" w:space="0" w:color="auto"/>
              <w:bottom w:val="single" w:sz="4" w:space="0" w:color="000000"/>
              <w:right w:val="nil" w:sz="6" w:space="0" w:color="auto"/>
            </w:tcBorders>
          </w:tcPr>
          <w:p>
            <w:pPr>
              <w:pStyle w:val="TableParagraph"/>
              <w:tabs>
                <w:tab w:pos="448" w:val="left" w:leader="none"/>
              </w:tabs>
              <w:spacing w:line="180" w:lineRule="exact"/>
              <w:ind w:left="28"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461" w:type="dxa"/>
            <w:tcBorders>
              <w:top w:val="nil" w:sz="6" w:space="0" w:color="auto"/>
              <w:left w:val="nil" w:sz="6" w:space="0" w:color="auto"/>
              <w:bottom w:val="single" w:sz="4" w:space="0" w:color="000000"/>
              <w:right w:val="nil" w:sz="6" w:space="0" w:color="auto"/>
            </w:tcBorders>
          </w:tcPr>
          <w:p>
            <w:pPr>
              <w:pStyle w:val="TableParagraph"/>
              <w:spacing w:line="180" w:lineRule="exact"/>
              <w:ind w:left="37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43" w:type="dxa"/>
            <w:tcBorders>
              <w:top w:val="nil" w:sz="6" w:space="0" w:color="auto"/>
              <w:left w:val="nil" w:sz="6" w:space="0" w:color="auto"/>
              <w:bottom w:val="single" w:sz="4" w:space="0" w:color="000000"/>
              <w:right w:val="nil" w:sz="6" w:space="0" w:color="auto"/>
            </w:tcBorders>
          </w:tcPr>
          <w:p>
            <w:pPr>
              <w:pStyle w:val="TableParagraph"/>
              <w:spacing w:line="180" w:lineRule="exact"/>
              <w:ind w:left="58" w:right="0"/>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388" w:type="dxa"/>
            <w:tcBorders>
              <w:top w:val="nil" w:sz="6" w:space="0" w:color="auto"/>
              <w:left w:val="nil" w:sz="6" w:space="0" w:color="auto"/>
              <w:bottom w:val="single" w:sz="4" w:space="0" w:color="000000"/>
              <w:right w:val="nil" w:sz="6" w:space="0" w:color="auto"/>
            </w:tcBorders>
          </w:tcPr>
          <w:p>
            <w:pPr>
              <w:pStyle w:val="TableParagraph"/>
              <w:spacing w:line="180" w:lineRule="exact"/>
              <w:ind w:left="340" w:right="0"/>
              <w:jc w:val="left"/>
              <w:rPr>
                <w:rFonts w:ascii="宋体" w:hAnsi="宋体" w:cs="宋体" w:eastAsia="宋体" w:hint="default"/>
                <w:sz w:val="18"/>
                <w:szCs w:val="18"/>
              </w:rPr>
            </w:pPr>
            <w:r>
              <w:rPr>
                <w:rFonts w:ascii="宋体" w:hAnsi="宋体" w:cs="宋体" w:eastAsia="宋体" w:hint="default"/>
                <w:b/>
                <w:bCs/>
                <w:sz w:val="18"/>
                <w:szCs w:val="18"/>
              </w:rPr>
              <w:t>本期支付</w:t>
            </w:r>
            <w:r>
              <w:rPr>
                <w:rFonts w:ascii="宋体" w:hAnsi="宋体" w:cs="宋体" w:eastAsia="宋体" w:hint="default"/>
                <w:sz w:val="18"/>
                <w:szCs w:val="18"/>
              </w:rPr>
            </w:r>
          </w:p>
        </w:tc>
        <w:tc>
          <w:tcPr>
            <w:tcW w:w="1371" w:type="dxa"/>
            <w:tcBorders>
              <w:top w:val="nil" w:sz="6" w:space="0" w:color="auto"/>
              <w:left w:val="nil" w:sz="6" w:space="0" w:color="auto"/>
              <w:bottom w:val="single" w:sz="4" w:space="0" w:color="000000"/>
              <w:right w:val="nil" w:sz="6" w:space="0" w:color="auto"/>
            </w:tcBorders>
          </w:tcPr>
          <w:p>
            <w:pPr>
              <w:pStyle w:val="TableParagraph"/>
              <w:spacing w:line="180" w:lineRule="exact"/>
              <w:ind w:left="29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0" w:hRule="exact"/>
        </w:trPr>
        <w:tc>
          <w:tcPr>
            <w:tcW w:w="301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46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91"/>
              <w:jc w:val="right"/>
              <w:rPr>
                <w:rFonts w:ascii="Times New Roman" w:hAnsi="Times New Roman" w:cs="Times New Roman" w:eastAsia="Times New Roman" w:hint="default"/>
                <w:sz w:val="18"/>
                <w:szCs w:val="18"/>
              </w:rPr>
            </w:pPr>
            <w:r>
              <w:rPr>
                <w:rFonts w:ascii="Times New Roman"/>
                <w:spacing w:val="-1"/>
                <w:sz w:val="18"/>
              </w:rPr>
              <w:t>4,953,516.67</w:t>
            </w:r>
          </w:p>
        </w:tc>
        <w:tc>
          <w:tcPr>
            <w:tcW w:w="134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77" w:right="0"/>
              <w:jc w:val="center"/>
              <w:rPr>
                <w:rFonts w:ascii="Times New Roman" w:hAnsi="Times New Roman" w:cs="Times New Roman" w:eastAsia="Times New Roman" w:hint="default"/>
                <w:sz w:val="18"/>
                <w:szCs w:val="18"/>
              </w:rPr>
            </w:pPr>
            <w:r>
              <w:rPr>
                <w:rFonts w:ascii="Times New Roman"/>
                <w:sz w:val="18"/>
              </w:rPr>
              <w:t>67,097,702.89</w:t>
            </w:r>
          </w:p>
        </w:tc>
        <w:tc>
          <w:tcPr>
            <w:tcW w:w="138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36"/>
              <w:jc w:val="right"/>
              <w:rPr>
                <w:rFonts w:ascii="Times New Roman" w:hAnsi="Times New Roman" w:cs="Times New Roman" w:eastAsia="Times New Roman" w:hint="default"/>
                <w:sz w:val="18"/>
                <w:szCs w:val="18"/>
              </w:rPr>
            </w:pPr>
            <w:r>
              <w:rPr>
                <w:rFonts w:ascii="Times New Roman"/>
                <w:spacing w:val="-1"/>
                <w:sz w:val="18"/>
              </w:rPr>
              <w:t>67,564,525.34</w:t>
            </w:r>
          </w:p>
        </w:tc>
        <w:tc>
          <w:tcPr>
            <w:tcW w:w="137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84"/>
              <w:jc w:val="right"/>
              <w:rPr>
                <w:rFonts w:ascii="Times New Roman" w:hAnsi="Times New Roman" w:cs="Times New Roman" w:eastAsia="Times New Roman" w:hint="default"/>
                <w:sz w:val="18"/>
                <w:szCs w:val="18"/>
              </w:rPr>
            </w:pPr>
            <w:r>
              <w:rPr>
                <w:rFonts w:ascii="Times New Roman"/>
                <w:spacing w:val="-1"/>
                <w:sz w:val="18"/>
              </w:rPr>
              <w:t>4,486,694.22</w:t>
            </w:r>
          </w:p>
        </w:tc>
      </w:tr>
      <w:tr>
        <w:trPr>
          <w:trHeight w:val="400" w:hRule="exact"/>
        </w:trPr>
        <w:tc>
          <w:tcPr>
            <w:tcW w:w="301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z w:val="18"/>
                <w:szCs w:val="18"/>
              </w:rPr>
              <w:t>离职后福利中的设定提存计划负债</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1"/>
              <w:jc w:val="right"/>
              <w:rPr>
                <w:rFonts w:ascii="Times New Roman" w:hAnsi="Times New Roman" w:cs="Times New Roman" w:eastAsia="Times New Roman" w:hint="default"/>
                <w:sz w:val="18"/>
                <w:szCs w:val="18"/>
              </w:rPr>
            </w:pPr>
            <w:r>
              <w:rPr>
                <w:rFonts w:ascii="Times New Roman"/>
                <w:spacing w:val="-1"/>
                <w:sz w:val="18"/>
              </w:rPr>
              <w:t>178,320.66</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67" w:right="0"/>
              <w:jc w:val="center"/>
              <w:rPr>
                <w:rFonts w:ascii="Times New Roman" w:hAnsi="Times New Roman" w:cs="Times New Roman" w:eastAsia="Times New Roman" w:hint="default"/>
                <w:sz w:val="18"/>
                <w:szCs w:val="18"/>
              </w:rPr>
            </w:pPr>
            <w:r>
              <w:rPr>
                <w:rFonts w:ascii="Times New Roman"/>
                <w:sz w:val="18"/>
              </w:rPr>
              <w:t>3,728,468.32</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35"/>
              <w:jc w:val="right"/>
              <w:rPr>
                <w:rFonts w:ascii="Times New Roman" w:hAnsi="Times New Roman" w:cs="Times New Roman" w:eastAsia="Times New Roman" w:hint="default"/>
                <w:sz w:val="18"/>
                <w:szCs w:val="18"/>
              </w:rPr>
            </w:pPr>
            <w:r>
              <w:rPr>
                <w:rFonts w:ascii="Times New Roman"/>
                <w:spacing w:val="-1"/>
                <w:sz w:val="18"/>
              </w:rPr>
              <w:t>3,731,440.03</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4"/>
              <w:jc w:val="right"/>
              <w:rPr>
                <w:rFonts w:ascii="Times New Roman" w:hAnsi="Times New Roman" w:cs="Times New Roman" w:eastAsia="Times New Roman" w:hint="default"/>
                <w:sz w:val="18"/>
                <w:szCs w:val="18"/>
              </w:rPr>
            </w:pPr>
            <w:r>
              <w:rPr>
                <w:rFonts w:ascii="Times New Roman"/>
                <w:spacing w:val="-1"/>
                <w:sz w:val="18"/>
              </w:rPr>
              <w:t>175,348.95</w:t>
            </w:r>
          </w:p>
        </w:tc>
      </w:tr>
      <w:tr>
        <w:trPr>
          <w:trHeight w:val="295" w:hRule="exact"/>
        </w:trPr>
        <w:tc>
          <w:tcPr>
            <w:tcW w:w="3019"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50"/>
              <w:ind w:left="2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5,131,837.33</w:t>
            </w:r>
            <w:r>
              <w:rPr>
                <w:rFonts w:ascii="Times New Roman"/>
                <w:spacing w:val="-1"/>
                <w:sz w:val="18"/>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7"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70,826,171.21</w:t>
            </w:r>
            <w:r>
              <w:rPr>
                <w:rFonts w:ascii="Times New Roman"/>
                <w:sz w:val="18"/>
              </w:rPr>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71,295,965.37</w:t>
            </w:r>
            <w:r>
              <w:rPr>
                <w:rFonts w:ascii="Times New Roman"/>
                <w:spacing w:val="-1"/>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4,662,043.17</w:t>
            </w:r>
            <w:r>
              <w:rPr>
                <w:rFonts w:ascii="Times New Roman"/>
                <w:spacing w:val="-1"/>
                <w:sz w:val="18"/>
              </w:rPr>
            </w:r>
          </w:p>
        </w:tc>
      </w:tr>
    </w:tbl>
    <w:p>
      <w:pPr>
        <w:spacing w:line="240" w:lineRule="auto" w:before="13"/>
        <w:rPr>
          <w:rFonts w:ascii="宋体" w:hAnsi="宋体" w:cs="宋体" w:eastAsia="宋体" w:hint="default"/>
          <w:sz w:val="29"/>
          <w:szCs w:val="29"/>
        </w:rPr>
      </w:pPr>
    </w:p>
    <w:p>
      <w:pPr>
        <w:pStyle w:val="BodyText"/>
        <w:spacing w:line="240" w:lineRule="auto" w:before="44"/>
        <w:ind w:left="620" w:right="0"/>
        <w:jc w:val="left"/>
      </w:pPr>
      <w:r>
        <w:rPr/>
        <w:pict>
          <v:group style="position:absolute;margin-left:82.224007pt;margin-top:44.151733pt;width:430.3pt;height:.5pt;mso-position-horizontal-relative:page;mso-position-vertical-relative:paragraph;z-index:-1037512" coordorigin="1644,883" coordsize="8606,10">
            <v:group style="position:absolute;left:1649;top:888;width:3066;height:2" coordorigin="1649,888" coordsize="3066,2">
              <v:shape style="position:absolute;left:1649;top:888;width:3066;height:2" coordorigin="1649,888" coordsize="3066,0" path="m1649,888l4714,888e" filled="false" stroked="true" strokeweight=".47998pt" strokecolor="#000000">
                <v:path arrowok="t"/>
              </v:shape>
            </v:group>
            <v:group style="position:absolute;left:4700;top:888;width:10;height:2" coordorigin="4700,888" coordsize="10,2">
              <v:shape style="position:absolute;left:4700;top:888;width:10;height:2" coordorigin="4700,888" coordsize="10,0" path="m4700,888l4710,888e" filled="false" stroked="true" strokeweight=".47998pt" strokecolor="#000000">
                <v:path arrowok="t"/>
              </v:shape>
            </v:group>
            <v:group style="position:absolute;left:4710;top:888;width:1426;height:2" coordorigin="4710,888" coordsize="1426,2">
              <v:shape style="position:absolute;left:4710;top:888;width:1426;height:2" coordorigin="4710,888" coordsize="1426,0" path="m4710,888l6135,888e" filled="false" stroked="true" strokeweight=".47998pt" strokecolor="#000000">
                <v:path arrowok="t"/>
              </v:shape>
            </v:group>
            <v:group style="position:absolute;left:6121;top:888;width:10;height:2" coordorigin="6121,888" coordsize="10,2">
              <v:shape style="position:absolute;left:6121;top:888;width:10;height:2" coordorigin="6121,888" coordsize="10,0" path="m6121,888l6131,888e" filled="false" stroked="true" strokeweight=".47998pt" strokecolor="#000000">
                <v:path arrowok="t"/>
              </v:shape>
            </v:group>
            <v:group style="position:absolute;left:6131;top:888;width:1427;height:2" coordorigin="6131,888" coordsize="1427,2">
              <v:shape style="position:absolute;left:6131;top:888;width:1427;height:2" coordorigin="6131,888" coordsize="1427,0" path="m6131,888l7557,888e" filled="false" stroked="true" strokeweight=".47998pt" strokecolor="#000000">
                <v:path arrowok="t"/>
              </v:shape>
            </v:group>
            <v:group style="position:absolute;left:7542;top:888;width:10;height:2" coordorigin="7542,888" coordsize="10,2">
              <v:shape style="position:absolute;left:7542;top:888;width:10;height:2" coordorigin="7542,888" coordsize="10,0" path="m7542,888l7552,888e" filled="false" stroked="true" strokeweight=".47998pt" strokecolor="#000000">
                <v:path arrowok="t"/>
              </v:shape>
            </v:group>
            <v:group style="position:absolute;left:7552;top:888;width:1270;height:2" coordorigin="7552,888" coordsize="1270,2">
              <v:shape style="position:absolute;left:7552;top:888;width:1270;height:2" coordorigin="7552,888" coordsize="1270,0" path="m7552,888l8821,888e" filled="false" stroked="true" strokeweight=".47998pt" strokecolor="#000000">
                <v:path arrowok="t"/>
              </v:shape>
            </v:group>
            <v:group style="position:absolute;left:8807;top:888;width:10;height:2" coordorigin="8807,888" coordsize="10,2">
              <v:shape style="position:absolute;left:8807;top:888;width:10;height:2" coordorigin="8807,888" coordsize="10,0" path="m8807,888l8817,888e" filled="false" stroked="true" strokeweight=".47998pt" strokecolor="#000000">
                <v:path arrowok="t"/>
              </v:shape>
            </v:group>
            <v:group style="position:absolute;left:8817;top:888;width:1429;height:2" coordorigin="8817,888" coordsize="1429,2">
              <v:shape style="position:absolute;left:8817;top:888;width:1429;height:2" coordorigin="8817,888" coordsize="1429,0" path="m8817,888l10245,888e" filled="false" stroked="true" strokeweight=".47998pt" strokecolor="#000000">
                <v:path arrowok="t"/>
              </v:shape>
            </v:group>
            <w10:wrap type="none"/>
          </v:group>
        </w:pict>
      </w:r>
      <w:r>
        <w:rPr/>
        <w:t>（</w:t>
      </w:r>
      <w:r>
        <w:rPr>
          <w:rFonts w:ascii="Times New Roman" w:hAnsi="Times New Roman" w:cs="Times New Roman" w:eastAsia="Times New Roman" w:hint="default"/>
        </w:rPr>
        <w:t>2</w:t>
      </w:r>
      <w:r>
        <w:rPr/>
        <w:t>）短期薪酬</w:t>
      </w:r>
    </w:p>
    <w:p>
      <w:pPr>
        <w:spacing w:line="240" w:lineRule="auto" w:before="6"/>
        <w:rPr>
          <w:rFonts w:ascii="宋体" w:hAnsi="宋体" w:cs="宋体" w:eastAsia="宋体" w:hint="default"/>
          <w:sz w:val="24"/>
          <w:szCs w:val="24"/>
        </w:rPr>
      </w:pPr>
    </w:p>
    <w:tbl>
      <w:tblPr>
        <w:tblW w:w="0" w:type="auto"/>
        <w:jc w:val="left"/>
        <w:tblInd w:w="1147" w:type="dxa"/>
        <w:tblLayout w:type="fixed"/>
        <w:tblCellMar>
          <w:top w:w="0" w:type="dxa"/>
          <w:left w:w="0" w:type="dxa"/>
          <w:bottom w:w="0" w:type="dxa"/>
          <w:right w:w="0" w:type="dxa"/>
        </w:tblCellMar>
        <w:tblLook w:val="01E0"/>
      </w:tblPr>
      <w:tblGrid>
        <w:gridCol w:w="1588"/>
        <w:gridCol w:w="1859"/>
        <w:gridCol w:w="1383"/>
        <w:gridCol w:w="1343"/>
        <w:gridCol w:w="1385"/>
      </w:tblGrid>
      <w:tr>
        <w:trPr>
          <w:trHeight w:val="275" w:hRule="exact"/>
        </w:trPr>
        <w:tc>
          <w:tcPr>
            <w:tcW w:w="1588"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180" w:lineRule="exact"/>
              <w:ind w:left="200"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859" w:type="dxa"/>
            <w:tcBorders>
              <w:top w:val="nil" w:sz="6" w:space="0" w:color="auto"/>
              <w:left w:val="nil" w:sz="6" w:space="0" w:color="auto"/>
              <w:bottom w:val="nil" w:sz="6" w:space="0" w:color="auto"/>
              <w:right w:val="nil" w:sz="6" w:space="0" w:color="auto"/>
            </w:tcBorders>
          </w:tcPr>
          <w:p>
            <w:pPr>
              <w:pStyle w:val="TableParagraph"/>
              <w:spacing w:line="180" w:lineRule="exact"/>
              <w:ind w:left="78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83" w:type="dxa"/>
            <w:tcBorders>
              <w:top w:val="nil" w:sz="6" w:space="0" w:color="auto"/>
              <w:left w:val="nil" w:sz="6" w:space="0" w:color="auto"/>
              <w:bottom w:val="nil" w:sz="6" w:space="0" w:color="auto"/>
              <w:right w:val="nil" w:sz="6" w:space="0" w:color="auto"/>
            </w:tcBorders>
          </w:tcPr>
          <w:p>
            <w:pPr>
              <w:pStyle w:val="TableParagraph"/>
              <w:spacing w:line="180" w:lineRule="exact"/>
              <w:ind w:left="349"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343" w:type="dxa"/>
            <w:tcBorders>
              <w:top w:val="nil" w:sz="6" w:space="0" w:color="auto"/>
              <w:left w:val="nil" w:sz="6" w:space="0" w:color="auto"/>
              <w:bottom w:val="nil" w:sz="6" w:space="0" w:color="auto"/>
              <w:right w:val="nil" w:sz="6" w:space="0" w:color="auto"/>
            </w:tcBorders>
          </w:tcPr>
          <w:p>
            <w:pPr>
              <w:pStyle w:val="TableParagraph"/>
              <w:spacing w:line="180" w:lineRule="exact"/>
              <w:ind w:left="310" w:right="0"/>
              <w:jc w:val="left"/>
              <w:rPr>
                <w:rFonts w:ascii="宋体" w:hAnsi="宋体" w:cs="宋体" w:eastAsia="宋体" w:hint="default"/>
                <w:sz w:val="18"/>
                <w:szCs w:val="18"/>
              </w:rPr>
            </w:pPr>
            <w:r>
              <w:rPr>
                <w:rFonts w:ascii="宋体" w:hAnsi="宋体" w:cs="宋体" w:eastAsia="宋体" w:hint="default"/>
                <w:b/>
                <w:bCs/>
                <w:sz w:val="18"/>
                <w:szCs w:val="18"/>
              </w:rPr>
              <w:t>本期支付</w:t>
            </w:r>
            <w:r>
              <w:rPr>
                <w:rFonts w:ascii="宋体" w:hAnsi="宋体" w:cs="宋体" w:eastAsia="宋体" w:hint="default"/>
                <w:sz w:val="18"/>
                <w:szCs w:val="18"/>
              </w:rPr>
            </w:r>
          </w:p>
        </w:tc>
        <w:tc>
          <w:tcPr>
            <w:tcW w:w="1385" w:type="dxa"/>
            <w:tcBorders>
              <w:top w:val="nil" w:sz="6" w:space="0" w:color="auto"/>
              <w:left w:val="nil" w:sz="6" w:space="0" w:color="auto"/>
              <w:bottom w:val="nil" w:sz="6" w:space="0" w:color="auto"/>
              <w:right w:val="nil" w:sz="6" w:space="0" w:color="auto"/>
            </w:tcBorders>
          </w:tcPr>
          <w:p>
            <w:pPr>
              <w:pStyle w:val="TableParagraph"/>
              <w:spacing w:line="180" w:lineRule="exact"/>
              <w:ind w:left="31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pgSz w:w="11910" w:h="16840"/>
          <w:pgMar w:header="0" w:footer="979" w:top="1480" w:bottom="1160" w:left="1540" w:right="1300"/>
        </w:sectPr>
      </w:pPr>
    </w:p>
    <w:p>
      <w:pPr>
        <w:spacing w:line="240" w:lineRule="auto" w:before="7"/>
        <w:rPr>
          <w:rFonts w:ascii="宋体" w:hAnsi="宋体" w:cs="宋体" w:eastAsia="宋体" w:hint="default"/>
          <w:sz w:val="5"/>
          <w:szCs w:val="5"/>
        </w:rPr>
      </w:pPr>
    </w:p>
    <w:tbl>
      <w:tblPr>
        <w:tblW w:w="0" w:type="auto"/>
        <w:jc w:val="left"/>
        <w:tblInd w:w="223" w:type="dxa"/>
        <w:tblLayout w:type="fixed"/>
        <w:tblCellMar>
          <w:top w:w="0" w:type="dxa"/>
          <w:left w:w="0" w:type="dxa"/>
          <w:bottom w:w="0" w:type="dxa"/>
          <w:right w:w="0" w:type="dxa"/>
        </w:tblCellMar>
        <w:tblLook w:val="01E0"/>
      </w:tblPr>
      <w:tblGrid>
        <w:gridCol w:w="2839"/>
        <w:gridCol w:w="1639"/>
        <w:gridCol w:w="1343"/>
        <w:gridCol w:w="1418"/>
        <w:gridCol w:w="1342"/>
      </w:tblGrid>
      <w:tr>
        <w:trPr>
          <w:trHeight w:val="275" w:hRule="exact"/>
        </w:trPr>
        <w:tc>
          <w:tcPr>
            <w:tcW w:w="2839" w:type="dxa"/>
            <w:tcBorders>
              <w:top w:val="nil" w:sz="6" w:space="0" w:color="auto"/>
              <w:left w:val="nil" w:sz="6" w:space="0" w:color="auto"/>
              <w:bottom w:val="single" w:sz="4" w:space="0" w:color="000000"/>
              <w:right w:val="nil" w:sz="6" w:space="0" w:color="auto"/>
            </w:tcBorders>
          </w:tcPr>
          <w:p>
            <w:pPr>
              <w:pStyle w:val="TableParagraph"/>
              <w:tabs>
                <w:tab w:pos="628" w:val="left" w:leader="none"/>
              </w:tabs>
              <w:spacing w:line="180" w:lineRule="exact"/>
              <w:ind w:left="208"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639" w:type="dxa"/>
            <w:tcBorders>
              <w:top w:val="nil" w:sz="6" w:space="0" w:color="auto"/>
              <w:left w:val="nil" w:sz="6" w:space="0" w:color="auto"/>
              <w:bottom w:val="single" w:sz="4" w:space="0" w:color="000000"/>
              <w:right w:val="nil" w:sz="6" w:space="0" w:color="auto"/>
            </w:tcBorders>
          </w:tcPr>
          <w:p>
            <w:pPr>
              <w:pStyle w:val="TableParagraph"/>
              <w:spacing w:line="180" w:lineRule="exact"/>
              <w:ind w:left="55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43" w:type="dxa"/>
            <w:tcBorders>
              <w:top w:val="nil" w:sz="6" w:space="0" w:color="auto"/>
              <w:left w:val="nil" w:sz="6" w:space="0" w:color="auto"/>
              <w:bottom w:val="single" w:sz="4" w:space="0" w:color="000000"/>
              <w:right w:val="nil" w:sz="6" w:space="0" w:color="auto"/>
            </w:tcBorders>
          </w:tcPr>
          <w:p>
            <w:pPr>
              <w:pStyle w:val="TableParagraph"/>
              <w:spacing w:line="180" w:lineRule="exact"/>
              <w:ind w:left="341"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18" w:type="dxa"/>
            <w:tcBorders>
              <w:top w:val="nil" w:sz="6" w:space="0" w:color="auto"/>
              <w:left w:val="nil" w:sz="6" w:space="0" w:color="auto"/>
              <w:bottom w:val="single" w:sz="4" w:space="0" w:color="000000"/>
              <w:right w:val="nil" w:sz="6" w:space="0" w:color="auto"/>
            </w:tcBorders>
          </w:tcPr>
          <w:p>
            <w:pPr>
              <w:pStyle w:val="TableParagraph"/>
              <w:spacing w:line="180" w:lineRule="exact"/>
              <w:ind w:left="342" w:right="0"/>
              <w:jc w:val="left"/>
              <w:rPr>
                <w:rFonts w:ascii="宋体" w:hAnsi="宋体" w:cs="宋体" w:eastAsia="宋体" w:hint="default"/>
                <w:sz w:val="18"/>
                <w:szCs w:val="18"/>
              </w:rPr>
            </w:pPr>
            <w:r>
              <w:rPr>
                <w:rFonts w:ascii="宋体" w:hAnsi="宋体" w:cs="宋体" w:eastAsia="宋体" w:hint="default"/>
                <w:b/>
                <w:bCs/>
                <w:sz w:val="18"/>
                <w:szCs w:val="18"/>
              </w:rPr>
              <w:t>本期支付</w:t>
            </w:r>
            <w:r>
              <w:rPr>
                <w:rFonts w:ascii="宋体" w:hAnsi="宋体" w:cs="宋体" w:eastAsia="宋体" w:hint="default"/>
                <w:sz w:val="18"/>
                <w:szCs w:val="18"/>
              </w:rPr>
            </w:r>
          </w:p>
        </w:tc>
        <w:tc>
          <w:tcPr>
            <w:tcW w:w="1342" w:type="dxa"/>
            <w:tcBorders>
              <w:top w:val="nil" w:sz="6" w:space="0" w:color="auto"/>
              <w:left w:val="nil" w:sz="6" w:space="0" w:color="auto"/>
              <w:bottom w:val="single" w:sz="4" w:space="0" w:color="000000"/>
              <w:right w:val="nil" w:sz="6" w:space="0" w:color="auto"/>
            </w:tcBorders>
          </w:tcPr>
          <w:p>
            <w:pPr>
              <w:pStyle w:val="TableParagraph"/>
              <w:spacing w:line="180" w:lineRule="exact"/>
              <w:ind w:left="26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1" w:hRule="exact"/>
        </w:trPr>
        <w:tc>
          <w:tcPr>
            <w:tcW w:w="283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63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91"/>
              <w:jc w:val="right"/>
              <w:rPr>
                <w:rFonts w:ascii="Times New Roman" w:hAnsi="Times New Roman" w:cs="Times New Roman" w:eastAsia="Times New Roman" w:hint="default"/>
                <w:sz w:val="18"/>
                <w:szCs w:val="18"/>
              </w:rPr>
            </w:pPr>
            <w:r>
              <w:rPr>
                <w:rFonts w:ascii="Times New Roman"/>
                <w:spacing w:val="-1"/>
                <w:sz w:val="18"/>
              </w:rPr>
              <w:t>4,494,796.79</w:t>
            </w:r>
          </w:p>
        </w:tc>
        <w:tc>
          <w:tcPr>
            <w:tcW w:w="134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14"/>
              <w:jc w:val="right"/>
              <w:rPr>
                <w:rFonts w:ascii="Times New Roman" w:hAnsi="Times New Roman" w:cs="Times New Roman" w:eastAsia="Times New Roman" w:hint="default"/>
                <w:sz w:val="18"/>
                <w:szCs w:val="18"/>
              </w:rPr>
            </w:pPr>
            <w:r>
              <w:rPr>
                <w:rFonts w:ascii="Times New Roman"/>
                <w:spacing w:val="-1"/>
                <w:sz w:val="18"/>
              </w:rPr>
              <w:t>54,023,786.40</w:t>
            </w: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04"/>
              <w:jc w:val="right"/>
              <w:rPr>
                <w:rFonts w:ascii="Times New Roman" w:hAnsi="Times New Roman" w:cs="Times New Roman" w:eastAsia="Times New Roman" w:hint="default"/>
                <w:sz w:val="18"/>
                <w:szCs w:val="18"/>
              </w:rPr>
            </w:pPr>
            <w:r>
              <w:rPr>
                <w:rFonts w:ascii="Times New Roman"/>
                <w:spacing w:val="-1"/>
                <w:sz w:val="18"/>
              </w:rPr>
              <w:t>54,423,462.50</w:t>
            </w: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87"/>
              <w:jc w:val="right"/>
              <w:rPr>
                <w:rFonts w:ascii="Times New Roman" w:hAnsi="Times New Roman" w:cs="Times New Roman" w:eastAsia="Times New Roman" w:hint="default"/>
                <w:sz w:val="18"/>
                <w:szCs w:val="18"/>
              </w:rPr>
            </w:pPr>
            <w:r>
              <w:rPr>
                <w:rFonts w:ascii="Times New Roman"/>
                <w:spacing w:val="-1"/>
                <w:sz w:val="18"/>
              </w:rPr>
              <w:t>4,095,120.69</w:t>
            </w:r>
          </w:p>
        </w:tc>
      </w:tr>
      <w:tr>
        <w:trPr>
          <w:trHeight w:val="400"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1"/>
              <w:jc w:val="right"/>
              <w:rPr>
                <w:rFonts w:ascii="Times New Roman" w:hAnsi="Times New Roman" w:cs="Times New Roman" w:eastAsia="Times New Roman" w:hint="default"/>
                <w:sz w:val="18"/>
                <w:szCs w:val="18"/>
              </w:rPr>
            </w:pPr>
            <w:r>
              <w:rPr>
                <w:rFonts w:ascii="Times New Roman"/>
                <w:spacing w:val="-1"/>
                <w:sz w:val="18"/>
              </w:rPr>
              <w:t>119,079.43</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3"/>
              <w:jc w:val="right"/>
              <w:rPr>
                <w:rFonts w:ascii="Times New Roman" w:hAnsi="Times New Roman" w:cs="Times New Roman" w:eastAsia="Times New Roman" w:hint="default"/>
                <w:sz w:val="18"/>
                <w:szCs w:val="18"/>
              </w:rPr>
            </w:pPr>
            <w:r>
              <w:rPr>
                <w:rFonts w:ascii="Times New Roman"/>
                <w:spacing w:val="-1"/>
                <w:sz w:val="18"/>
              </w:rPr>
              <w:t>5,406,968.16</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4"/>
              <w:jc w:val="right"/>
              <w:rPr>
                <w:rFonts w:ascii="Times New Roman" w:hAnsi="Times New Roman" w:cs="Times New Roman" w:eastAsia="Times New Roman" w:hint="default"/>
                <w:sz w:val="18"/>
                <w:szCs w:val="18"/>
              </w:rPr>
            </w:pPr>
            <w:r>
              <w:rPr>
                <w:rFonts w:ascii="Times New Roman"/>
                <w:spacing w:val="-1"/>
                <w:sz w:val="18"/>
              </w:rPr>
              <w:t>5,526,047.59</w:t>
            </w:r>
          </w:p>
        </w:tc>
        <w:tc>
          <w:tcPr>
            <w:tcW w:w="1342" w:type="dxa"/>
            <w:tcBorders>
              <w:top w:val="nil" w:sz="6" w:space="0" w:color="auto"/>
              <w:left w:val="nil" w:sz="6" w:space="0" w:color="auto"/>
              <w:bottom w:val="nil" w:sz="6" w:space="0" w:color="auto"/>
              <w:right w:val="nil" w:sz="6" w:space="0" w:color="auto"/>
            </w:tcBorders>
          </w:tcPr>
          <w:p>
            <w:pPr/>
          </w:p>
        </w:tc>
      </w:tr>
      <w:tr>
        <w:trPr>
          <w:trHeight w:val="400"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125,098.50</w:t>
            </w:r>
            <w:r>
              <w:rPr>
                <w:rFonts w:ascii="Times New Roman"/>
                <w:spacing w:val="-1"/>
                <w:sz w:val="18"/>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2,291,951.19</w:t>
            </w:r>
            <w:r>
              <w:rPr>
                <w:rFonts w:ascii="Times New Roman"/>
                <w:spacing w:val="-1"/>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2,294,923.98</w:t>
            </w:r>
            <w:r>
              <w:rPr>
                <w:rFonts w:ascii="Times New Roman"/>
                <w:sz w:val="18"/>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122,125.71</w:t>
            </w:r>
            <w:r>
              <w:rPr>
                <w:rFonts w:ascii="Times New Roman"/>
                <w:spacing w:val="-1"/>
                <w:sz w:val="18"/>
              </w:rPr>
            </w:r>
          </w:p>
        </w:tc>
      </w:tr>
      <w:tr>
        <w:trPr>
          <w:trHeight w:val="401"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医疗保险费</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0"/>
              <w:jc w:val="right"/>
              <w:rPr>
                <w:rFonts w:ascii="Times New Roman" w:hAnsi="Times New Roman" w:cs="Times New Roman" w:eastAsia="Times New Roman" w:hint="default"/>
                <w:sz w:val="18"/>
                <w:szCs w:val="18"/>
              </w:rPr>
            </w:pPr>
            <w:r>
              <w:rPr>
                <w:rFonts w:ascii="Times New Roman"/>
                <w:spacing w:val="-1"/>
                <w:sz w:val="18"/>
              </w:rPr>
              <w:t>110,706.20</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3"/>
              <w:jc w:val="right"/>
              <w:rPr>
                <w:rFonts w:ascii="Times New Roman" w:hAnsi="Times New Roman" w:cs="Times New Roman" w:eastAsia="Times New Roman" w:hint="default"/>
                <w:sz w:val="18"/>
                <w:szCs w:val="18"/>
              </w:rPr>
            </w:pPr>
            <w:r>
              <w:rPr>
                <w:rFonts w:ascii="Times New Roman"/>
                <w:spacing w:val="-1"/>
                <w:sz w:val="18"/>
              </w:rPr>
              <w:t>2,002,891.12</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4"/>
              <w:jc w:val="right"/>
              <w:rPr>
                <w:rFonts w:ascii="Times New Roman" w:hAnsi="Times New Roman" w:cs="Times New Roman" w:eastAsia="Times New Roman" w:hint="default"/>
                <w:sz w:val="18"/>
                <w:szCs w:val="18"/>
              </w:rPr>
            </w:pPr>
            <w:r>
              <w:rPr>
                <w:rFonts w:ascii="Times New Roman"/>
                <w:spacing w:val="-1"/>
                <w:sz w:val="18"/>
              </w:rPr>
              <w:t>2,005,520.72</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7"/>
              <w:jc w:val="right"/>
              <w:rPr>
                <w:rFonts w:ascii="Times New Roman" w:hAnsi="Times New Roman" w:cs="Times New Roman" w:eastAsia="Times New Roman" w:hint="default"/>
                <w:sz w:val="18"/>
                <w:szCs w:val="18"/>
              </w:rPr>
            </w:pPr>
            <w:r>
              <w:rPr>
                <w:rFonts w:ascii="Times New Roman"/>
                <w:spacing w:val="-1"/>
                <w:sz w:val="18"/>
              </w:rPr>
              <w:t>108,076.60</w:t>
            </w:r>
          </w:p>
        </w:tc>
      </w:tr>
      <w:tr>
        <w:trPr>
          <w:trHeight w:val="400"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工伤保险费</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1"/>
              <w:jc w:val="right"/>
              <w:rPr>
                <w:rFonts w:ascii="Times New Roman" w:hAnsi="Times New Roman" w:cs="Times New Roman" w:eastAsia="Times New Roman" w:hint="default"/>
                <w:sz w:val="18"/>
                <w:szCs w:val="18"/>
              </w:rPr>
            </w:pPr>
            <w:r>
              <w:rPr>
                <w:rFonts w:ascii="Times New Roman"/>
                <w:w w:val="95"/>
                <w:sz w:val="18"/>
              </w:rPr>
              <w:t>5,535.31</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3"/>
              <w:jc w:val="right"/>
              <w:rPr>
                <w:rFonts w:ascii="Times New Roman" w:hAnsi="Times New Roman" w:cs="Times New Roman" w:eastAsia="Times New Roman" w:hint="default"/>
                <w:sz w:val="18"/>
                <w:szCs w:val="18"/>
              </w:rPr>
            </w:pPr>
            <w:r>
              <w:rPr>
                <w:rFonts w:ascii="Times New Roman"/>
                <w:spacing w:val="-1"/>
                <w:sz w:val="18"/>
              </w:rPr>
              <w:t>124,945.69</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4"/>
              <w:jc w:val="right"/>
              <w:rPr>
                <w:rFonts w:ascii="Times New Roman" w:hAnsi="Times New Roman" w:cs="Times New Roman" w:eastAsia="Times New Roman" w:hint="default"/>
                <w:sz w:val="18"/>
                <w:szCs w:val="18"/>
              </w:rPr>
            </w:pPr>
            <w:r>
              <w:rPr>
                <w:rFonts w:ascii="Times New Roman"/>
                <w:spacing w:val="-1"/>
                <w:sz w:val="18"/>
              </w:rPr>
              <w:t>125,077.17</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7"/>
              <w:jc w:val="right"/>
              <w:rPr>
                <w:rFonts w:ascii="Times New Roman" w:hAnsi="Times New Roman" w:cs="Times New Roman" w:eastAsia="Times New Roman" w:hint="default"/>
                <w:sz w:val="18"/>
                <w:szCs w:val="18"/>
              </w:rPr>
            </w:pPr>
            <w:r>
              <w:rPr>
                <w:rFonts w:ascii="Times New Roman"/>
                <w:w w:val="95"/>
                <w:sz w:val="18"/>
              </w:rPr>
              <w:t>5,403.83</w:t>
            </w:r>
          </w:p>
        </w:tc>
      </w:tr>
      <w:tr>
        <w:trPr>
          <w:trHeight w:val="400"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生育保险费</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1"/>
              <w:jc w:val="right"/>
              <w:rPr>
                <w:rFonts w:ascii="Times New Roman" w:hAnsi="Times New Roman" w:cs="Times New Roman" w:eastAsia="Times New Roman" w:hint="default"/>
                <w:sz w:val="18"/>
                <w:szCs w:val="18"/>
              </w:rPr>
            </w:pPr>
            <w:r>
              <w:rPr>
                <w:rFonts w:ascii="Times New Roman"/>
                <w:w w:val="95"/>
                <w:sz w:val="18"/>
              </w:rPr>
              <w:t>8,856.99</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3"/>
              <w:jc w:val="right"/>
              <w:rPr>
                <w:rFonts w:ascii="Times New Roman" w:hAnsi="Times New Roman" w:cs="Times New Roman" w:eastAsia="Times New Roman" w:hint="default"/>
                <w:sz w:val="18"/>
                <w:szCs w:val="18"/>
              </w:rPr>
            </w:pPr>
            <w:r>
              <w:rPr>
                <w:rFonts w:ascii="Times New Roman"/>
                <w:spacing w:val="-1"/>
                <w:sz w:val="18"/>
              </w:rPr>
              <w:t>164,114.38</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4"/>
              <w:jc w:val="right"/>
              <w:rPr>
                <w:rFonts w:ascii="Times New Roman" w:hAnsi="Times New Roman" w:cs="Times New Roman" w:eastAsia="Times New Roman" w:hint="default"/>
                <w:sz w:val="18"/>
                <w:szCs w:val="18"/>
              </w:rPr>
            </w:pPr>
            <w:r>
              <w:rPr>
                <w:rFonts w:ascii="Times New Roman"/>
                <w:spacing w:val="-1"/>
                <w:sz w:val="18"/>
              </w:rPr>
              <w:t>164,326.09</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7"/>
              <w:jc w:val="right"/>
              <w:rPr>
                <w:rFonts w:ascii="Times New Roman" w:hAnsi="Times New Roman" w:cs="Times New Roman" w:eastAsia="Times New Roman" w:hint="default"/>
                <w:sz w:val="18"/>
                <w:szCs w:val="18"/>
              </w:rPr>
            </w:pPr>
            <w:r>
              <w:rPr>
                <w:rFonts w:ascii="Times New Roman"/>
                <w:w w:val="95"/>
                <w:sz w:val="18"/>
              </w:rPr>
              <w:t>8,645.28</w:t>
            </w:r>
          </w:p>
        </w:tc>
      </w:tr>
      <w:tr>
        <w:trPr>
          <w:trHeight w:val="401"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639"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3"/>
              <w:jc w:val="right"/>
              <w:rPr>
                <w:rFonts w:ascii="Times New Roman" w:hAnsi="Times New Roman" w:cs="Times New Roman" w:eastAsia="Times New Roman" w:hint="default"/>
                <w:sz w:val="18"/>
                <w:szCs w:val="18"/>
              </w:rPr>
            </w:pPr>
            <w:r>
              <w:rPr>
                <w:rFonts w:ascii="Times New Roman"/>
                <w:spacing w:val="-1"/>
                <w:sz w:val="18"/>
              </w:rPr>
              <w:t>3,654,044.99</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4"/>
              <w:jc w:val="right"/>
              <w:rPr>
                <w:rFonts w:ascii="Times New Roman" w:hAnsi="Times New Roman" w:cs="Times New Roman" w:eastAsia="Times New Roman" w:hint="default"/>
                <w:sz w:val="18"/>
                <w:szCs w:val="18"/>
              </w:rPr>
            </w:pPr>
            <w:r>
              <w:rPr>
                <w:rFonts w:ascii="Times New Roman"/>
                <w:spacing w:val="-1"/>
                <w:sz w:val="18"/>
              </w:rPr>
              <w:t>3,654,044.99</w:t>
            </w:r>
          </w:p>
        </w:tc>
        <w:tc>
          <w:tcPr>
            <w:tcW w:w="1342" w:type="dxa"/>
            <w:tcBorders>
              <w:top w:val="nil" w:sz="6" w:space="0" w:color="auto"/>
              <w:left w:val="nil" w:sz="6" w:space="0" w:color="auto"/>
              <w:bottom w:val="nil" w:sz="6" w:space="0" w:color="auto"/>
              <w:right w:val="nil" w:sz="6" w:space="0" w:color="auto"/>
            </w:tcBorders>
          </w:tcPr>
          <w:p>
            <w:pPr/>
          </w:p>
        </w:tc>
      </w:tr>
      <w:tr>
        <w:trPr>
          <w:trHeight w:val="400"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1"/>
              <w:jc w:val="right"/>
              <w:rPr>
                <w:rFonts w:ascii="Times New Roman" w:hAnsi="Times New Roman" w:cs="Times New Roman" w:eastAsia="Times New Roman" w:hint="default"/>
                <w:sz w:val="18"/>
                <w:szCs w:val="18"/>
              </w:rPr>
            </w:pPr>
            <w:r>
              <w:rPr>
                <w:rFonts w:ascii="Times New Roman"/>
                <w:spacing w:val="-1"/>
                <w:sz w:val="18"/>
              </w:rPr>
              <w:t>214,541.95</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3"/>
              <w:jc w:val="right"/>
              <w:rPr>
                <w:rFonts w:ascii="Times New Roman" w:hAnsi="Times New Roman" w:cs="Times New Roman" w:eastAsia="Times New Roman" w:hint="default"/>
                <w:sz w:val="18"/>
                <w:szCs w:val="18"/>
              </w:rPr>
            </w:pPr>
            <w:r>
              <w:rPr>
                <w:rFonts w:ascii="Times New Roman"/>
                <w:spacing w:val="-1"/>
                <w:sz w:val="18"/>
              </w:rPr>
              <w:t>603,632.35</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4"/>
              <w:jc w:val="right"/>
              <w:rPr>
                <w:rFonts w:ascii="Times New Roman" w:hAnsi="Times New Roman" w:cs="Times New Roman" w:eastAsia="Times New Roman" w:hint="default"/>
                <w:sz w:val="18"/>
                <w:szCs w:val="18"/>
              </w:rPr>
            </w:pPr>
            <w:r>
              <w:rPr>
                <w:rFonts w:ascii="Times New Roman"/>
                <w:spacing w:val="-1"/>
                <w:sz w:val="18"/>
              </w:rPr>
              <w:t>548,726.48</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7"/>
              <w:jc w:val="right"/>
              <w:rPr>
                <w:rFonts w:ascii="Times New Roman" w:hAnsi="Times New Roman" w:cs="Times New Roman" w:eastAsia="Times New Roman" w:hint="default"/>
                <w:sz w:val="18"/>
                <w:szCs w:val="18"/>
              </w:rPr>
            </w:pPr>
            <w:r>
              <w:rPr>
                <w:rFonts w:ascii="Times New Roman"/>
                <w:spacing w:val="-1"/>
                <w:sz w:val="18"/>
              </w:rPr>
              <w:t>269,447.82</w:t>
            </w:r>
          </w:p>
        </w:tc>
      </w:tr>
      <w:tr>
        <w:trPr>
          <w:trHeight w:val="395"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z w:val="18"/>
                <w:szCs w:val="18"/>
              </w:rPr>
              <w:t>六、短期带薪缺勤</w:t>
            </w:r>
          </w:p>
        </w:tc>
        <w:tc>
          <w:tcPr>
            <w:tcW w:w="1639"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r>
      <w:tr>
        <w:trPr>
          <w:trHeight w:val="401"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p>
        </w:tc>
        <w:tc>
          <w:tcPr>
            <w:tcW w:w="1639"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r>
      <w:tr>
        <w:trPr>
          <w:trHeight w:val="405"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八、其他短期薪酬</w:t>
            </w:r>
          </w:p>
        </w:tc>
        <w:tc>
          <w:tcPr>
            <w:tcW w:w="1639"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2"/>
              <w:jc w:val="right"/>
              <w:rPr>
                <w:rFonts w:ascii="Times New Roman" w:hAnsi="Times New Roman" w:cs="Times New Roman" w:eastAsia="Times New Roman" w:hint="default"/>
                <w:sz w:val="18"/>
                <w:szCs w:val="18"/>
              </w:rPr>
            </w:pPr>
            <w:r>
              <w:rPr>
                <w:rFonts w:ascii="Times New Roman"/>
                <w:spacing w:val="-2"/>
                <w:sz w:val="18"/>
              </w:rPr>
              <w:t>1117319.8</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03"/>
              <w:jc w:val="right"/>
              <w:rPr>
                <w:rFonts w:ascii="Times New Roman" w:hAnsi="Times New Roman" w:cs="Times New Roman" w:eastAsia="Times New Roman" w:hint="default"/>
                <w:sz w:val="18"/>
                <w:szCs w:val="18"/>
              </w:rPr>
            </w:pPr>
            <w:r>
              <w:rPr>
                <w:rFonts w:ascii="Times New Roman"/>
                <w:spacing w:val="-2"/>
                <w:sz w:val="18"/>
              </w:rPr>
              <w:t>1117319.8</w:t>
            </w:r>
          </w:p>
        </w:tc>
        <w:tc>
          <w:tcPr>
            <w:tcW w:w="1342" w:type="dxa"/>
            <w:tcBorders>
              <w:top w:val="nil" w:sz="6" w:space="0" w:color="auto"/>
              <w:left w:val="nil" w:sz="6" w:space="0" w:color="auto"/>
              <w:bottom w:val="nil" w:sz="6" w:space="0" w:color="auto"/>
              <w:right w:val="nil" w:sz="6" w:space="0" w:color="auto"/>
            </w:tcBorders>
          </w:tcPr>
          <w:p>
            <w:pPr/>
          </w:p>
        </w:tc>
      </w:tr>
      <w:tr>
        <w:trPr>
          <w:trHeight w:val="294" w:hRule="exact"/>
        </w:trPr>
        <w:tc>
          <w:tcPr>
            <w:tcW w:w="2839" w:type="dxa"/>
            <w:tcBorders>
              <w:top w:val="nil" w:sz="6" w:space="0" w:color="auto"/>
              <w:left w:val="nil" w:sz="6" w:space="0" w:color="auto"/>
              <w:bottom w:val="nil" w:sz="6" w:space="0" w:color="auto"/>
              <w:right w:val="nil" w:sz="6" w:space="0" w:color="auto"/>
            </w:tcBorders>
          </w:tcPr>
          <w:p>
            <w:pPr>
              <w:pStyle w:val="TableParagraph"/>
              <w:tabs>
                <w:tab w:pos="628" w:val="left" w:leader="none"/>
              </w:tabs>
              <w:spacing w:line="240" w:lineRule="auto" w:before="48"/>
              <w:ind w:left="20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4,953,516.67</w:t>
            </w:r>
            <w:r>
              <w:rPr>
                <w:rFonts w:ascii="Times New Roman"/>
                <w:spacing w:val="-1"/>
                <w:sz w:val="18"/>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67,097,702.89</w:t>
            </w:r>
            <w:r>
              <w:rPr>
                <w:rFonts w:ascii="Times New Roman"/>
                <w:spacing w:val="-1"/>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67,564,525.34</w:t>
            </w:r>
            <w:r>
              <w:rPr>
                <w:rFonts w:ascii="Times New Roman"/>
                <w:sz w:val="18"/>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4,486,694.22</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720" w:right="0"/>
        <w:jc w:val="left"/>
      </w:pPr>
      <w:r>
        <w:rPr/>
        <w:t>（</w:t>
      </w:r>
      <w:r>
        <w:rPr>
          <w:rFonts w:ascii="Times New Roman" w:hAnsi="Times New Roman" w:cs="Times New Roman" w:eastAsia="Times New Roman" w:hint="default"/>
        </w:rPr>
        <w:t>3</w:t>
      </w:r>
      <w:r>
        <w:rPr/>
        <w:t>）离职后福利中的设定提存计划负债</w:t>
      </w: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733"/>
        <w:gridCol w:w="1763"/>
        <w:gridCol w:w="1759"/>
        <w:gridCol w:w="1827"/>
        <w:gridCol w:w="1715"/>
      </w:tblGrid>
      <w:tr>
        <w:trPr>
          <w:trHeight w:val="272" w:hRule="exact"/>
        </w:trPr>
        <w:tc>
          <w:tcPr>
            <w:tcW w:w="1733"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63" w:type="dxa"/>
            <w:tcBorders>
              <w:top w:val="nil" w:sz="6" w:space="0" w:color="auto"/>
              <w:left w:val="nil" w:sz="6" w:space="0" w:color="auto"/>
              <w:bottom w:val="single" w:sz="4" w:space="0" w:color="000000"/>
              <w:right w:val="nil" w:sz="6" w:space="0" w:color="auto"/>
            </w:tcBorders>
          </w:tcPr>
          <w:p>
            <w:pPr>
              <w:pStyle w:val="TableParagraph"/>
              <w:spacing w:line="180" w:lineRule="exact"/>
              <w:ind w:left="54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59" w:type="dxa"/>
            <w:tcBorders>
              <w:top w:val="nil" w:sz="6" w:space="0" w:color="auto"/>
              <w:left w:val="nil" w:sz="6" w:space="0" w:color="auto"/>
              <w:bottom w:val="single" w:sz="4" w:space="0" w:color="000000"/>
              <w:right w:val="nil" w:sz="6" w:space="0" w:color="auto"/>
            </w:tcBorders>
          </w:tcPr>
          <w:p>
            <w:pPr>
              <w:pStyle w:val="TableParagraph"/>
              <w:spacing w:line="180" w:lineRule="exact"/>
              <w:ind w:left="44" w:right="0"/>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827" w:type="dxa"/>
            <w:tcBorders>
              <w:top w:val="nil" w:sz="6" w:space="0" w:color="auto"/>
              <w:left w:val="nil" w:sz="6" w:space="0" w:color="auto"/>
              <w:bottom w:val="single" w:sz="4" w:space="0" w:color="000000"/>
              <w:right w:val="nil" w:sz="6" w:space="0" w:color="auto"/>
            </w:tcBorders>
          </w:tcPr>
          <w:p>
            <w:pPr>
              <w:pStyle w:val="TableParagraph"/>
              <w:spacing w:line="180" w:lineRule="exact"/>
              <w:ind w:left="54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15" w:type="dxa"/>
            <w:tcBorders>
              <w:top w:val="nil" w:sz="6" w:space="0" w:color="auto"/>
              <w:left w:val="nil" w:sz="6" w:space="0" w:color="auto"/>
              <w:bottom w:val="single" w:sz="4" w:space="0" w:color="000000"/>
              <w:right w:val="nil" w:sz="6" w:space="0" w:color="auto"/>
            </w:tcBorders>
          </w:tcPr>
          <w:p>
            <w:pPr>
              <w:pStyle w:val="TableParagraph"/>
              <w:spacing w:line="180" w:lineRule="exact"/>
              <w:ind w:left="47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1" w:hRule="exact"/>
        </w:trPr>
        <w:tc>
          <w:tcPr>
            <w:tcW w:w="173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76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404"/>
              <w:jc w:val="right"/>
              <w:rPr>
                <w:rFonts w:ascii="Times New Roman" w:hAnsi="Times New Roman" w:cs="Times New Roman" w:eastAsia="Times New Roman" w:hint="default"/>
                <w:sz w:val="18"/>
                <w:szCs w:val="18"/>
              </w:rPr>
            </w:pPr>
            <w:r>
              <w:rPr>
                <w:rFonts w:ascii="Times New Roman"/>
                <w:spacing w:val="-1"/>
                <w:sz w:val="18"/>
              </w:rPr>
              <w:t>169,829.20</w:t>
            </w:r>
          </w:p>
        </w:tc>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3,531,681.90</w:t>
            </w:r>
          </w:p>
        </w:tc>
        <w:tc>
          <w:tcPr>
            <w:tcW w:w="182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472"/>
              <w:jc w:val="right"/>
              <w:rPr>
                <w:rFonts w:ascii="Times New Roman" w:hAnsi="Times New Roman" w:cs="Times New Roman" w:eastAsia="Times New Roman" w:hint="default"/>
                <w:sz w:val="18"/>
                <w:szCs w:val="18"/>
              </w:rPr>
            </w:pPr>
            <w:r>
              <w:rPr>
                <w:rFonts w:ascii="Times New Roman"/>
                <w:spacing w:val="-1"/>
                <w:sz w:val="18"/>
              </w:rPr>
              <w:t>3,534,512.10</w:t>
            </w:r>
          </w:p>
        </w:tc>
        <w:tc>
          <w:tcPr>
            <w:tcW w:w="171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427"/>
              <w:jc w:val="right"/>
              <w:rPr>
                <w:rFonts w:ascii="Times New Roman" w:hAnsi="Times New Roman" w:cs="Times New Roman" w:eastAsia="Times New Roman" w:hint="default"/>
                <w:sz w:val="18"/>
                <w:szCs w:val="18"/>
              </w:rPr>
            </w:pPr>
            <w:r>
              <w:rPr>
                <w:rFonts w:ascii="Times New Roman"/>
                <w:spacing w:val="-1"/>
                <w:sz w:val="18"/>
              </w:rPr>
              <w:t>166,999.00</w:t>
            </w:r>
          </w:p>
        </w:tc>
      </w:tr>
      <w:tr>
        <w:trPr>
          <w:trHeight w:val="401"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失业保险</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04"/>
              <w:jc w:val="right"/>
              <w:rPr>
                <w:rFonts w:ascii="Times New Roman" w:hAnsi="Times New Roman" w:cs="Times New Roman" w:eastAsia="Times New Roman" w:hint="default"/>
                <w:sz w:val="18"/>
                <w:szCs w:val="18"/>
              </w:rPr>
            </w:pPr>
            <w:r>
              <w:rPr>
                <w:rFonts w:ascii="Times New Roman"/>
                <w:w w:val="95"/>
                <w:sz w:val="18"/>
              </w:rPr>
              <w:t>8,491.46</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33" w:right="0"/>
              <w:jc w:val="center"/>
              <w:rPr>
                <w:rFonts w:ascii="Times New Roman" w:hAnsi="Times New Roman" w:cs="Times New Roman" w:eastAsia="Times New Roman" w:hint="default"/>
                <w:sz w:val="18"/>
                <w:szCs w:val="18"/>
              </w:rPr>
            </w:pPr>
            <w:r>
              <w:rPr>
                <w:rFonts w:ascii="Times New Roman"/>
                <w:sz w:val="18"/>
              </w:rPr>
              <w:t>196,786.42</w:t>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72"/>
              <w:jc w:val="right"/>
              <w:rPr>
                <w:rFonts w:ascii="Times New Roman" w:hAnsi="Times New Roman" w:cs="Times New Roman" w:eastAsia="Times New Roman" w:hint="default"/>
                <w:sz w:val="18"/>
                <w:szCs w:val="18"/>
              </w:rPr>
            </w:pPr>
            <w:r>
              <w:rPr>
                <w:rFonts w:ascii="Times New Roman"/>
                <w:spacing w:val="-1"/>
                <w:sz w:val="18"/>
              </w:rPr>
              <w:t>196,927.93</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7"/>
              <w:jc w:val="right"/>
              <w:rPr>
                <w:rFonts w:ascii="Times New Roman" w:hAnsi="Times New Roman" w:cs="Times New Roman" w:eastAsia="Times New Roman" w:hint="default"/>
                <w:sz w:val="18"/>
                <w:szCs w:val="18"/>
              </w:rPr>
            </w:pPr>
            <w:r>
              <w:rPr>
                <w:rFonts w:ascii="Times New Roman"/>
                <w:w w:val="95"/>
                <w:sz w:val="18"/>
              </w:rPr>
              <w:t>8,349.95</w:t>
            </w:r>
          </w:p>
        </w:tc>
      </w:tr>
      <w:tr>
        <w:trPr>
          <w:trHeight w:val="295"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04"/>
              <w:jc w:val="right"/>
              <w:rPr>
                <w:rFonts w:ascii="Times New Roman" w:hAnsi="Times New Roman" w:cs="Times New Roman" w:eastAsia="Times New Roman" w:hint="default"/>
                <w:sz w:val="18"/>
                <w:szCs w:val="18"/>
              </w:rPr>
            </w:pPr>
            <w:r>
              <w:rPr>
                <w:rFonts w:ascii="Times New Roman"/>
                <w:sz w:val="18"/>
              </w:rPr>
            </w:r>
            <w:r>
              <w:rPr>
                <w:rFonts w:ascii="Times New Roman"/>
                <w:w w:val="95"/>
                <w:sz w:val="18"/>
                <w:u w:val="thick" w:color="000000"/>
              </w:rPr>
              <w:t>178,320.66</w:t>
            </w:r>
            <w:r>
              <w:rPr>
                <w:rFonts w:ascii="Times New Roman"/>
                <w:w w:val="95"/>
                <w:sz w:val="18"/>
              </w:rPr>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3,728,468.32</w:t>
            </w:r>
            <w:r>
              <w:rPr>
                <w:rFonts w:ascii="Times New Roman"/>
                <w:sz w:val="18"/>
              </w:rPr>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7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3,731,440.03</w:t>
            </w:r>
            <w:r>
              <w:rPr>
                <w:rFonts w:ascii="Times New Roman"/>
                <w:spacing w:val="-1"/>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175,348.95</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720" w:right="0"/>
        <w:jc w:val="left"/>
      </w:pPr>
      <w:r>
        <w:rPr>
          <w:rFonts w:ascii="Times New Roman" w:hAnsi="Times New Roman" w:cs="Times New Roman" w:eastAsia="Times New Roman" w:hint="default"/>
        </w:rPr>
        <w:t>20. </w:t>
      </w:r>
      <w:r>
        <w:rPr>
          <w:rFonts w:ascii="Times New Roman" w:hAnsi="Times New Roman" w:cs="Times New Roman" w:eastAsia="Times New Roman" w:hint="default"/>
          <w:spacing w:val="1"/>
        </w:rPr>
        <w:t> </w:t>
      </w:r>
      <w:r>
        <w:rPr/>
        <w:t>应交税费</w:t>
      </w:r>
    </w:p>
    <w:p>
      <w:pPr>
        <w:spacing w:line="240" w:lineRule="auto" w:before="8"/>
        <w:rPr>
          <w:rFonts w:ascii="宋体" w:hAnsi="宋体" w:cs="宋体" w:eastAsia="宋体" w:hint="default"/>
          <w:sz w:val="24"/>
          <w:szCs w:val="24"/>
        </w:rPr>
      </w:pPr>
    </w:p>
    <w:tbl>
      <w:tblPr>
        <w:tblW w:w="0" w:type="auto"/>
        <w:jc w:val="left"/>
        <w:tblInd w:w="252" w:type="dxa"/>
        <w:tblLayout w:type="fixed"/>
        <w:tblCellMar>
          <w:top w:w="0" w:type="dxa"/>
          <w:left w:w="0" w:type="dxa"/>
          <w:bottom w:w="0" w:type="dxa"/>
          <w:right w:w="0" w:type="dxa"/>
        </w:tblCellMar>
        <w:tblLook w:val="01E0"/>
      </w:tblPr>
      <w:tblGrid>
        <w:gridCol w:w="3102"/>
        <w:gridCol w:w="2545"/>
        <w:gridCol w:w="2877"/>
      </w:tblGrid>
      <w:tr>
        <w:trPr>
          <w:trHeight w:val="275" w:hRule="exact"/>
        </w:trPr>
        <w:tc>
          <w:tcPr>
            <w:tcW w:w="3102" w:type="dxa"/>
            <w:tcBorders>
              <w:top w:val="nil" w:sz="6" w:space="0" w:color="auto"/>
              <w:left w:val="nil" w:sz="6" w:space="0" w:color="auto"/>
              <w:bottom w:val="single" w:sz="4" w:space="0" w:color="000000"/>
              <w:right w:val="nil" w:sz="6" w:space="0" w:color="auto"/>
            </w:tcBorders>
          </w:tcPr>
          <w:p>
            <w:pPr>
              <w:pStyle w:val="TableParagraph"/>
              <w:spacing w:line="180" w:lineRule="exact"/>
              <w:ind w:right="261"/>
              <w:jc w:val="center"/>
              <w:rPr>
                <w:rFonts w:ascii="宋体" w:hAnsi="宋体" w:cs="宋体" w:eastAsia="宋体" w:hint="default"/>
                <w:sz w:val="18"/>
                <w:szCs w:val="18"/>
              </w:rPr>
            </w:pPr>
            <w:r>
              <w:rPr>
                <w:rFonts w:ascii="宋体" w:hAnsi="宋体" w:cs="宋体" w:eastAsia="宋体" w:hint="default"/>
                <w:b/>
                <w:bCs/>
                <w:sz w:val="18"/>
                <w:szCs w:val="18"/>
              </w:rPr>
              <w:t>税费项目</w:t>
            </w:r>
            <w:r>
              <w:rPr>
                <w:rFonts w:ascii="宋体" w:hAnsi="宋体" w:cs="宋体" w:eastAsia="宋体" w:hint="default"/>
                <w:sz w:val="18"/>
                <w:szCs w:val="18"/>
              </w:rPr>
            </w:r>
          </w:p>
        </w:tc>
        <w:tc>
          <w:tcPr>
            <w:tcW w:w="2545" w:type="dxa"/>
            <w:tcBorders>
              <w:top w:val="nil" w:sz="6" w:space="0" w:color="auto"/>
              <w:left w:val="nil" w:sz="6" w:space="0" w:color="auto"/>
              <w:bottom w:val="single" w:sz="4" w:space="0" w:color="000000"/>
              <w:right w:val="nil" w:sz="6" w:space="0" w:color="auto"/>
            </w:tcBorders>
          </w:tcPr>
          <w:p>
            <w:pPr>
              <w:pStyle w:val="TableParagraph"/>
              <w:spacing w:line="180" w:lineRule="exact"/>
              <w:ind w:left="79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77"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1" w:hRule="exact"/>
        </w:trPr>
        <w:tc>
          <w:tcPr>
            <w:tcW w:w="310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企业所得税</w:t>
            </w:r>
          </w:p>
        </w:tc>
        <w:tc>
          <w:tcPr>
            <w:tcW w:w="254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01"/>
              <w:jc w:val="right"/>
              <w:rPr>
                <w:rFonts w:ascii="Times New Roman" w:hAnsi="Times New Roman" w:cs="Times New Roman" w:eastAsia="Times New Roman" w:hint="default"/>
                <w:sz w:val="18"/>
                <w:szCs w:val="18"/>
              </w:rPr>
            </w:pPr>
            <w:r>
              <w:rPr>
                <w:rFonts w:ascii="Times New Roman"/>
                <w:spacing w:val="-1"/>
                <w:sz w:val="18"/>
              </w:rPr>
              <w:t>15,343,601.31</w:t>
            </w:r>
          </w:p>
        </w:tc>
        <w:tc>
          <w:tcPr>
            <w:tcW w:w="287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36"/>
              <w:jc w:val="right"/>
              <w:rPr>
                <w:rFonts w:ascii="Times New Roman" w:hAnsi="Times New Roman" w:cs="Times New Roman" w:eastAsia="Times New Roman" w:hint="default"/>
                <w:sz w:val="18"/>
                <w:szCs w:val="18"/>
              </w:rPr>
            </w:pPr>
            <w:r>
              <w:rPr>
                <w:rFonts w:ascii="Times New Roman"/>
                <w:spacing w:val="-1"/>
                <w:sz w:val="18"/>
              </w:rPr>
              <w:t>8,000,383.87</w:t>
            </w:r>
          </w:p>
        </w:tc>
      </w:tr>
      <w:tr>
        <w:trPr>
          <w:trHeight w:val="400"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增值税</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04"/>
              <w:jc w:val="right"/>
              <w:rPr>
                <w:rFonts w:ascii="Times New Roman" w:hAnsi="Times New Roman" w:cs="Times New Roman" w:eastAsia="Times New Roman" w:hint="default"/>
                <w:sz w:val="18"/>
                <w:szCs w:val="18"/>
              </w:rPr>
            </w:pPr>
            <w:r>
              <w:rPr>
                <w:rFonts w:ascii="Times New Roman"/>
                <w:spacing w:val="-1"/>
                <w:sz w:val="18"/>
              </w:rPr>
              <w:t>1,712,368.16</w:t>
            </w:r>
          </w:p>
        </w:tc>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6"/>
              <w:jc w:val="right"/>
              <w:rPr>
                <w:rFonts w:ascii="Times New Roman" w:hAnsi="Times New Roman" w:cs="Times New Roman" w:eastAsia="Times New Roman" w:hint="default"/>
                <w:sz w:val="18"/>
                <w:szCs w:val="18"/>
              </w:rPr>
            </w:pPr>
            <w:r>
              <w:rPr>
                <w:rFonts w:ascii="Times New Roman"/>
                <w:spacing w:val="-1"/>
                <w:sz w:val="18"/>
              </w:rPr>
              <w:t>1,401,464.27</w:t>
            </w:r>
          </w:p>
        </w:tc>
      </w:tr>
      <w:tr>
        <w:trPr>
          <w:trHeight w:val="378"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营业税</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01"/>
              <w:jc w:val="right"/>
              <w:rPr>
                <w:rFonts w:ascii="Times New Roman" w:hAnsi="Times New Roman" w:cs="Times New Roman" w:eastAsia="Times New Roman" w:hint="default"/>
                <w:sz w:val="18"/>
                <w:szCs w:val="18"/>
              </w:rPr>
            </w:pPr>
            <w:r>
              <w:rPr>
                <w:rFonts w:ascii="Times New Roman"/>
                <w:spacing w:val="-1"/>
                <w:sz w:val="18"/>
              </w:rPr>
              <w:t>16,685.15</w:t>
            </w:r>
          </w:p>
        </w:tc>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36"/>
              <w:jc w:val="right"/>
              <w:rPr>
                <w:rFonts w:ascii="Times New Roman" w:hAnsi="Times New Roman" w:cs="Times New Roman" w:eastAsia="Times New Roman" w:hint="default"/>
                <w:sz w:val="18"/>
                <w:szCs w:val="18"/>
              </w:rPr>
            </w:pPr>
            <w:r>
              <w:rPr>
                <w:rFonts w:ascii="Times New Roman"/>
                <w:spacing w:val="-1"/>
                <w:sz w:val="18"/>
              </w:rPr>
              <w:t>16,685.15</w:t>
            </w:r>
          </w:p>
        </w:tc>
      </w:tr>
      <w:tr>
        <w:trPr>
          <w:trHeight w:val="423"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房产税</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903"/>
              <w:jc w:val="right"/>
              <w:rPr>
                <w:rFonts w:ascii="Times New Roman" w:hAnsi="Times New Roman" w:cs="Times New Roman" w:eastAsia="Times New Roman" w:hint="default"/>
                <w:sz w:val="18"/>
                <w:szCs w:val="18"/>
              </w:rPr>
            </w:pPr>
            <w:r>
              <w:rPr>
                <w:rFonts w:ascii="Times New Roman"/>
                <w:spacing w:val="-1"/>
                <w:sz w:val="18"/>
              </w:rPr>
              <w:t>3,455.77</w:t>
            </w:r>
          </w:p>
        </w:tc>
        <w:tc>
          <w:tcPr>
            <w:tcW w:w="2877" w:type="dxa"/>
            <w:tcBorders>
              <w:top w:val="nil" w:sz="6" w:space="0" w:color="auto"/>
              <w:left w:val="nil" w:sz="6" w:space="0" w:color="auto"/>
              <w:bottom w:val="nil" w:sz="6" w:space="0" w:color="auto"/>
              <w:right w:val="nil" w:sz="6" w:space="0" w:color="auto"/>
            </w:tcBorders>
          </w:tcPr>
          <w:p>
            <w:pPr/>
          </w:p>
        </w:tc>
      </w:tr>
      <w:tr>
        <w:trPr>
          <w:trHeight w:val="400"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城市维护建设税</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03"/>
              <w:jc w:val="right"/>
              <w:rPr>
                <w:rFonts w:ascii="Times New Roman" w:hAnsi="Times New Roman" w:cs="Times New Roman" w:eastAsia="Times New Roman" w:hint="default"/>
                <w:sz w:val="18"/>
                <w:szCs w:val="18"/>
              </w:rPr>
            </w:pPr>
            <w:r>
              <w:rPr>
                <w:rFonts w:ascii="Times New Roman"/>
                <w:spacing w:val="-2"/>
                <w:sz w:val="18"/>
              </w:rPr>
              <w:t>119,301.72</w:t>
            </w:r>
          </w:p>
        </w:tc>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6"/>
              <w:jc w:val="right"/>
              <w:rPr>
                <w:rFonts w:ascii="Times New Roman" w:hAnsi="Times New Roman" w:cs="Times New Roman" w:eastAsia="Times New Roman" w:hint="default"/>
                <w:sz w:val="18"/>
                <w:szCs w:val="18"/>
              </w:rPr>
            </w:pPr>
            <w:r>
              <w:rPr>
                <w:rFonts w:ascii="Times New Roman"/>
                <w:spacing w:val="-1"/>
                <w:sz w:val="18"/>
              </w:rPr>
              <w:t>102,298.14</w:t>
            </w:r>
          </w:p>
        </w:tc>
      </w:tr>
      <w:tr>
        <w:trPr>
          <w:trHeight w:val="400"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教育费附加及地方教育附加</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01"/>
              <w:jc w:val="right"/>
              <w:rPr>
                <w:rFonts w:ascii="Times New Roman" w:hAnsi="Times New Roman" w:cs="Times New Roman" w:eastAsia="Times New Roman" w:hint="default"/>
                <w:sz w:val="18"/>
                <w:szCs w:val="18"/>
              </w:rPr>
            </w:pPr>
            <w:r>
              <w:rPr>
                <w:rFonts w:ascii="Times New Roman"/>
                <w:spacing w:val="-1"/>
                <w:sz w:val="18"/>
              </w:rPr>
              <w:t>90,213.44</w:t>
            </w:r>
          </w:p>
        </w:tc>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36"/>
              <w:jc w:val="right"/>
              <w:rPr>
                <w:rFonts w:ascii="Times New Roman" w:hAnsi="Times New Roman" w:cs="Times New Roman" w:eastAsia="Times New Roman" w:hint="default"/>
                <w:sz w:val="18"/>
                <w:szCs w:val="18"/>
              </w:rPr>
            </w:pPr>
            <w:r>
              <w:rPr>
                <w:rFonts w:ascii="Times New Roman"/>
                <w:spacing w:val="-1"/>
                <w:w w:val="95"/>
                <w:sz w:val="18"/>
              </w:rPr>
              <w:t>75,039.11</w:t>
            </w:r>
          </w:p>
        </w:tc>
      </w:tr>
      <w:tr>
        <w:trPr>
          <w:trHeight w:val="401"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代扣代缴个人所得税</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04"/>
              <w:jc w:val="right"/>
              <w:rPr>
                <w:rFonts w:ascii="Times New Roman" w:hAnsi="Times New Roman" w:cs="Times New Roman" w:eastAsia="Times New Roman" w:hint="default"/>
                <w:sz w:val="18"/>
                <w:szCs w:val="18"/>
              </w:rPr>
            </w:pPr>
            <w:r>
              <w:rPr>
                <w:rFonts w:ascii="Times New Roman"/>
                <w:spacing w:val="-1"/>
                <w:sz w:val="18"/>
              </w:rPr>
              <w:t>731,788.42</w:t>
            </w:r>
          </w:p>
        </w:tc>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6"/>
              <w:jc w:val="right"/>
              <w:rPr>
                <w:rFonts w:ascii="Times New Roman" w:hAnsi="Times New Roman" w:cs="Times New Roman" w:eastAsia="Times New Roman" w:hint="default"/>
                <w:sz w:val="18"/>
                <w:szCs w:val="18"/>
              </w:rPr>
            </w:pPr>
            <w:r>
              <w:rPr>
                <w:rFonts w:ascii="Times New Roman"/>
                <w:spacing w:val="-1"/>
                <w:sz w:val="18"/>
              </w:rPr>
              <w:t>535,255.00</w:t>
            </w:r>
          </w:p>
        </w:tc>
      </w:tr>
      <w:tr>
        <w:trPr>
          <w:trHeight w:val="400"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其他</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01"/>
              <w:jc w:val="right"/>
              <w:rPr>
                <w:rFonts w:ascii="Times New Roman" w:hAnsi="Times New Roman" w:cs="Times New Roman" w:eastAsia="Times New Roman" w:hint="default"/>
                <w:sz w:val="18"/>
                <w:szCs w:val="18"/>
              </w:rPr>
            </w:pPr>
            <w:r>
              <w:rPr>
                <w:rFonts w:ascii="Times New Roman"/>
                <w:spacing w:val="-1"/>
                <w:sz w:val="18"/>
              </w:rPr>
              <w:t>9,024.40</w:t>
            </w:r>
          </w:p>
        </w:tc>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6"/>
              <w:jc w:val="right"/>
              <w:rPr>
                <w:rFonts w:ascii="Times New Roman" w:hAnsi="Times New Roman" w:cs="Times New Roman" w:eastAsia="Times New Roman" w:hint="default"/>
                <w:sz w:val="18"/>
                <w:szCs w:val="18"/>
              </w:rPr>
            </w:pPr>
            <w:r>
              <w:rPr>
                <w:rFonts w:ascii="Times New Roman"/>
                <w:spacing w:val="-1"/>
                <w:sz w:val="18"/>
              </w:rPr>
              <w:t>56,263.13</w:t>
            </w:r>
          </w:p>
        </w:tc>
      </w:tr>
      <w:tr>
        <w:trPr>
          <w:trHeight w:val="29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3"/>
              <w:jc w:val="center"/>
              <w:rPr>
                <w:rFonts w:ascii="宋体" w:hAnsi="宋体" w:cs="宋体" w:eastAsia="宋体" w:hint="default"/>
                <w:sz w:val="18"/>
                <w:szCs w:val="18"/>
              </w:rPr>
            </w:pPr>
            <w:r>
              <w:rPr>
                <w:rFonts w:ascii="宋体" w:hAnsi="宋体" w:cs="宋体" w:eastAsia="宋体" w:hint="default"/>
                <w:sz w:val="18"/>
                <w:szCs w:val="18"/>
              </w:rPr>
              <w:t>合计</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0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pacing w:val="-1"/>
                <w:sz w:val="18"/>
                <w:u w:val="thick" w:color="000000"/>
              </w:rPr>
              <w:t>18,026,438.37</w:t>
            </w:r>
            <w:r>
              <w:rPr>
                <w:rFonts w:ascii="Times New Roman"/>
                <w:spacing w:val="-1"/>
                <w:sz w:val="18"/>
              </w:rPr>
            </w:r>
          </w:p>
        </w:tc>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10,187,388.67</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720" w:right="0"/>
        <w:jc w:val="left"/>
      </w:pPr>
      <w:r>
        <w:rPr>
          <w:rFonts w:ascii="Times New Roman" w:hAnsi="Times New Roman" w:cs="Times New Roman" w:eastAsia="Times New Roman" w:hint="default"/>
        </w:rPr>
        <w:t>21. </w:t>
      </w:r>
      <w:r>
        <w:rPr>
          <w:rFonts w:ascii="Times New Roman" w:hAnsi="Times New Roman" w:cs="Times New Roman" w:eastAsia="Times New Roman" w:hint="default"/>
          <w:spacing w:val="1"/>
        </w:rPr>
        <w:t> </w:t>
      </w:r>
      <w:r>
        <w:rPr/>
        <w:t>其他应付款</w:t>
      </w:r>
    </w:p>
    <w:p>
      <w:pPr>
        <w:spacing w:line="240" w:lineRule="auto" w:before="12"/>
        <w:rPr>
          <w:rFonts w:ascii="宋体" w:hAnsi="宋体" w:cs="宋体" w:eastAsia="宋体" w:hint="default"/>
          <w:sz w:val="17"/>
          <w:szCs w:val="17"/>
        </w:rPr>
      </w:pPr>
    </w:p>
    <w:p>
      <w:pPr>
        <w:pStyle w:val="Heading6"/>
        <w:spacing w:line="240" w:lineRule="auto"/>
        <w:ind w:left="780" w:right="0"/>
        <w:jc w:val="left"/>
      </w:pPr>
      <w:r>
        <w:rPr/>
        <w:t>（</w:t>
      </w:r>
      <w:r>
        <w:rPr>
          <w:rFonts w:ascii="Times New Roman" w:hAnsi="Times New Roman" w:cs="Times New Roman" w:eastAsia="Times New Roman" w:hint="default"/>
        </w:rPr>
        <w:t>1</w:t>
      </w:r>
      <w:r>
        <w:rPr/>
        <w:t>）按账龄分析</w:t>
      </w:r>
    </w:p>
    <w:p>
      <w:pPr>
        <w:spacing w:after="0" w:line="240" w:lineRule="auto"/>
        <w:jc w:val="left"/>
        <w:sectPr>
          <w:pgSz w:w="11910" w:h="16840"/>
          <w:pgMar w:header="0" w:footer="979" w:top="1480" w:bottom="1160" w:left="1440" w:right="1440"/>
        </w:sectPr>
      </w:pPr>
    </w:p>
    <w:p>
      <w:pPr>
        <w:spacing w:line="240" w:lineRule="auto" w:before="7"/>
        <w:rPr>
          <w:rFonts w:ascii="宋体" w:hAnsi="宋体" w:cs="宋体" w:eastAsia="宋体" w:hint="default"/>
          <w:sz w:val="5"/>
          <w:szCs w:val="5"/>
        </w:rPr>
      </w:pPr>
    </w:p>
    <w:tbl>
      <w:tblPr>
        <w:tblW w:w="0" w:type="auto"/>
        <w:jc w:val="left"/>
        <w:tblInd w:w="332" w:type="dxa"/>
        <w:tblLayout w:type="fixed"/>
        <w:tblCellMar>
          <w:top w:w="0" w:type="dxa"/>
          <w:left w:w="0" w:type="dxa"/>
          <w:bottom w:w="0" w:type="dxa"/>
          <w:right w:w="0" w:type="dxa"/>
        </w:tblCellMar>
        <w:tblLook w:val="01E0"/>
      </w:tblPr>
      <w:tblGrid>
        <w:gridCol w:w="2195"/>
        <w:gridCol w:w="1641"/>
        <w:gridCol w:w="1458"/>
        <w:gridCol w:w="1716"/>
        <w:gridCol w:w="1513"/>
      </w:tblGrid>
      <w:tr>
        <w:trPr>
          <w:trHeight w:val="773" w:hRule="exact"/>
        </w:trPr>
        <w:tc>
          <w:tcPr>
            <w:tcW w:w="219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8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09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4"/>
              <w:ind w:right="58"/>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tabs>
                <w:tab w:pos="1538" w:val="left" w:leader="none"/>
              </w:tabs>
              <w:spacing w:line="240" w:lineRule="auto"/>
              <w:ind w:left="26" w:right="0"/>
              <w:jc w:val="center"/>
              <w:rPr>
                <w:rFonts w:ascii="宋体" w:hAnsi="宋体" w:cs="宋体" w:eastAsia="宋体" w:hint="default"/>
                <w:sz w:val="18"/>
                <w:szCs w:val="18"/>
              </w:rPr>
            </w:pPr>
            <w:r>
              <w:rPr>
                <w:rFonts w:ascii="宋体" w:hAnsi="宋体" w:cs="宋体" w:eastAsia="宋体" w:hint="default"/>
                <w:b/>
                <w:bCs/>
                <w:w w:val="95"/>
                <w:sz w:val="18"/>
                <w:szCs w:val="18"/>
              </w:rPr>
              <w:t>账面余额</w:t>
              <w:tab/>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323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4"/>
              <w:ind w:left="24"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tabs>
                <w:tab w:pos="1624" w:val="left" w:leader="none"/>
              </w:tabs>
              <w:spacing w:line="240" w:lineRule="auto"/>
              <w:ind w:left="111" w:right="0"/>
              <w:jc w:val="center"/>
              <w:rPr>
                <w:rFonts w:ascii="宋体" w:hAnsi="宋体" w:cs="宋体" w:eastAsia="宋体" w:hint="default"/>
                <w:sz w:val="18"/>
                <w:szCs w:val="18"/>
              </w:rPr>
            </w:pPr>
            <w:r>
              <w:rPr>
                <w:rFonts w:ascii="宋体" w:hAnsi="宋体" w:cs="宋体" w:eastAsia="宋体" w:hint="default"/>
                <w:b/>
                <w:bCs/>
                <w:w w:val="95"/>
                <w:sz w:val="18"/>
                <w:szCs w:val="18"/>
              </w:rPr>
              <w:t>账面余额</w:t>
              <w:tab/>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13" w:hRule="exact"/>
        </w:trPr>
        <w:tc>
          <w:tcPr>
            <w:tcW w:w="219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4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26"/>
              <w:jc w:val="right"/>
              <w:rPr>
                <w:rFonts w:ascii="Times New Roman" w:hAnsi="Times New Roman" w:cs="Times New Roman" w:eastAsia="Times New Roman" w:hint="default"/>
                <w:sz w:val="18"/>
                <w:szCs w:val="18"/>
              </w:rPr>
            </w:pPr>
            <w:r>
              <w:rPr>
                <w:rFonts w:ascii="Times New Roman"/>
                <w:spacing w:val="-1"/>
                <w:sz w:val="18"/>
              </w:rPr>
              <w:t>6,005,005.01</w:t>
            </w:r>
          </w:p>
        </w:tc>
        <w:tc>
          <w:tcPr>
            <w:tcW w:w="145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475" w:right="0"/>
              <w:jc w:val="left"/>
              <w:rPr>
                <w:rFonts w:ascii="Times New Roman" w:hAnsi="Times New Roman" w:cs="Times New Roman" w:eastAsia="Times New Roman" w:hint="default"/>
                <w:sz w:val="18"/>
                <w:szCs w:val="18"/>
              </w:rPr>
            </w:pPr>
            <w:r>
              <w:rPr>
                <w:rFonts w:ascii="Times New Roman"/>
                <w:sz w:val="18"/>
              </w:rPr>
              <w:t>68.43</w:t>
            </w:r>
          </w:p>
        </w:tc>
        <w:tc>
          <w:tcPr>
            <w:tcW w:w="1716"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258"/>
              <w:jc w:val="right"/>
              <w:rPr>
                <w:rFonts w:ascii="Times New Roman" w:hAnsi="Times New Roman" w:cs="Times New Roman" w:eastAsia="Times New Roman" w:hint="default"/>
                <w:sz w:val="18"/>
                <w:szCs w:val="18"/>
              </w:rPr>
            </w:pPr>
            <w:r>
              <w:rPr>
                <w:rFonts w:ascii="Times New Roman"/>
                <w:spacing w:val="-1"/>
                <w:sz w:val="18"/>
              </w:rPr>
              <w:t>135,678,860.35</w:t>
            </w:r>
          </w:p>
        </w:tc>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507" w:right="0"/>
              <w:jc w:val="left"/>
              <w:rPr>
                <w:rFonts w:ascii="Times New Roman" w:hAnsi="Times New Roman" w:cs="Times New Roman" w:eastAsia="Times New Roman" w:hint="default"/>
                <w:sz w:val="18"/>
                <w:szCs w:val="18"/>
              </w:rPr>
            </w:pPr>
            <w:r>
              <w:rPr>
                <w:rFonts w:ascii="Times New Roman"/>
                <w:sz w:val="18"/>
              </w:rPr>
              <w:t>99.85</w:t>
            </w:r>
          </w:p>
        </w:tc>
      </w:tr>
      <w:tr>
        <w:trPr>
          <w:trHeight w:val="400"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26"/>
              <w:jc w:val="right"/>
              <w:rPr>
                <w:rFonts w:ascii="Times New Roman" w:hAnsi="Times New Roman" w:cs="Times New Roman" w:eastAsia="Times New Roman" w:hint="default"/>
                <w:sz w:val="18"/>
                <w:szCs w:val="18"/>
              </w:rPr>
            </w:pPr>
            <w:r>
              <w:rPr>
                <w:rFonts w:ascii="Times New Roman"/>
                <w:spacing w:val="-1"/>
                <w:sz w:val="18"/>
              </w:rPr>
              <w:t>2,588,744.26</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75" w:right="0"/>
              <w:jc w:val="left"/>
              <w:rPr>
                <w:rFonts w:ascii="Times New Roman" w:hAnsi="Times New Roman" w:cs="Times New Roman" w:eastAsia="Times New Roman" w:hint="default"/>
                <w:sz w:val="18"/>
                <w:szCs w:val="18"/>
              </w:rPr>
            </w:pPr>
            <w:r>
              <w:rPr>
                <w:rFonts w:ascii="Times New Roman"/>
                <w:sz w:val="18"/>
              </w:rPr>
              <w:t>29.50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58"/>
              <w:jc w:val="right"/>
              <w:rPr>
                <w:rFonts w:ascii="Times New Roman" w:hAnsi="Times New Roman" w:cs="Times New Roman" w:eastAsia="Times New Roman" w:hint="default"/>
                <w:sz w:val="18"/>
                <w:szCs w:val="18"/>
              </w:rPr>
            </w:pPr>
            <w:r>
              <w:rPr>
                <w:rFonts w:ascii="Times New Roman"/>
                <w:spacing w:val="-1"/>
                <w:sz w:val="18"/>
              </w:rPr>
              <w:t>69,363.95</w:t>
            </w:r>
            <w:r>
              <w:rPr>
                <w:rFonts w:ascii="Times New Roman"/>
                <w:sz w:val="18"/>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553" w:right="0"/>
              <w:jc w:val="left"/>
              <w:rPr>
                <w:rFonts w:ascii="Times New Roman" w:hAnsi="Times New Roman" w:cs="Times New Roman" w:eastAsia="Times New Roman" w:hint="default"/>
                <w:sz w:val="18"/>
                <w:szCs w:val="18"/>
              </w:rPr>
            </w:pPr>
            <w:r>
              <w:rPr>
                <w:rFonts w:ascii="Times New Roman"/>
                <w:sz w:val="18"/>
              </w:rPr>
              <w:t>0.05</w:t>
            </w:r>
          </w:p>
        </w:tc>
      </w:tr>
      <w:tr>
        <w:trPr>
          <w:trHeight w:val="401"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25"/>
              <w:jc w:val="right"/>
              <w:rPr>
                <w:rFonts w:ascii="Times New Roman" w:hAnsi="Times New Roman" w:cs="Times New Roman" w:eastAsia="Times New Roman" w:hint="default"/>
                <w:sz w:val="18"/>
                <w:szCs w:val="18"/>
              </w:rPr>
            </w:pPr>
            <w:r>
              <w:rPr>
                <w:rFonts w:ascii="Times New Roman"/>
                <w:spacing w:val="-1"/>
                <w:sz w:val="18"/>
              </w:rPr>
              <w:t>65,796.95</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20" w:right="0"/>
              <w:jc w:val="left"/>
              <w:rPr>
                <w:rFonts w:ascii="Times New Roman" w:hAnsi="Times New Roman" w:cs="Times New Roman" w:eastAsia="Times New Roman" w:hint="default"/>
                <w:sz w:val="18"/>
                <w:szCs w:val="18"/>
              </w:rPr>
            </w:pPr>
            <w:r>
              <w:rPr>
                <w:rFonts w:ascii="Times New Roman"/>
                <w:sz w:val="18"/>
              </w:rPr>
              <w:t>0.75</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8"/>
              <w:jc w:val="right"/>
              <w:rPr>
                <w:rFonts w:ascii="Times New Roman" w:hAnsi="Times New Roman" w:cs="Times New Roman" w:eastAsia="Times New Roman" w:hint="default"/>
                <w:sz w:val="18"/>
                <w:szCs w:val="18"/>
              </w:rPr>
            </w:pPr>
            <w:r>
              <w:rPr>
                <w:rFonts w:ascii="Times New Roman"/>
                <w:spacing w:val="-1"/>
                <w:sz w:val="18"/>
              </w:rPr>
              <w:t>105,240.10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53" w:right="0"/>
              <w:jc w:val="left"/>
              <w:rPr>
                <w:rFonts w:ascii="Times New Roman" w:hAnsi="Times New Roman" w:cs="Times New Roman" w:eastAsia="Times New Roman" w:hint="default"/>
                <w:sz w:val="18"/>
                <w:szCs w:val="18"/>
              </w:rPr>
            </w:pPr>
            <w:r>
              <w:rPr>
                <w:rFonts w:ascii="Times New Roman"/>
                <w:sz w:val="18"/>
              </w:rPr>
              <w:t>0.08</w:t>
            </w:r>
          </w:p>
        </w:tc>
      </w:tr>
      <w:tr>
        <w:trPr>
          <w:trHeight w:val="400"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25"/>
              <w:jc w:val="right"/>
              <w:rPr>
                <w:rFonts w:ascii="Times New Roman" w:hAnsi="Times New Roman" w:cs="Times New Roman" w:eastAsia="Times New Roman" w:hint="default"/>
                <w:sz w:val="18"/>
                <w:szCs w:val="18"/>
              </w:rPr>
            </w:pPr>
            <w:r>
              <w:rPr>
                <w:rFonts w:ascii="Times New Roman"/>
                <w:spacing w:val="-1"/>
                <w:sz w:val="18"/>
              </w:rPr>
              <w:t>116,327.79</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20" w:right="0"/>
              <w:jc w:val="left"/>
              <w:rPr>
                <w:rFonts w:ascii="Times New Roman" w:hAnsi="Times New Roman" w:cs="Times New Roman" w:eastAsia="Times New Roman" w:hint="default"/>
                <w:sz w:val="18"/>
                <w:szCs w:val="18"/>
              </w:rPr>
            </w:pPr>
            <w:r>
              <w:rPr>
                <w:rFonts w:ascii="Times New Roman"/>
                <w:sz w:val="18"/>
              </w:rPr>
              <w:t>1.33</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8"/>
              <w:jc w:val="right"/>
              <w:rPr>
                <w:rFonts w:ascii="Times New Roman" w:hAnsi="Times New Roman" w:cs="Times New Roman" w:eastAsia="Times New Roman" w:hint="default"/>
                <w:sz w:val="18"/>
                <w:szCs w:val="18"/>
              </w:rPr>
            </w:pPr>
            <w:r>
              <w:rPr>
                <w:rFonts w:ascii="Times New Roman"/>
                <w:spacing w:val="-1"/>
                <w:sz w:val="18"/>
              </w:rPr>
              <w:t>25,421.45</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53" w:right="0"/>
              <w:jc w:val="left"/>
              <w:rPr>
                <w:rFonts w:ascii="Times New Roman" w:hAnsi="Times New Roman" w:cs="Times New Roman" w:eastAsia="Times New Roman" w:hint="default"/>
                <w:sz w:val="18"/>
                <w:szCs w:val="18"/>
              </w:rPr>
            </w:pPr>
            <w:r>
              <w:rPr>
                <w:rFonts w:ascii="Times New Roman"/>
                <w:sz w:val="18"/>
              </w:rPr>
              <w:t>0.02</w:t>
            </w:r>
          </w:p>
        </w:tc>
      </w:tr>
      <w:tr>
        <w:trPr>
          <w:trHeight w:val="413"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1"/>
              <w:jc w:val="center"/>
              <w:rPr>
                <w:rFonts w:ascii="宋体" w:hAnsi="宋体" w:cs="宋体" w:eastAsia="宋体" w:hint="default"/>
                <w:sz w:val="18"/>
                <w:szCs w:val="18"/>
              </w:rPr>
            </w:pPr>
            <w:r>
              <w:rPr>
                <w:rFonts w:ascii="宋体" w:hAnsi="宋体" w:cs="宋体" w:eastAsia="宋体" w:hint="default"/>
                <w:sz w:val="18"/>
                <w:szCs w:val="18"/>
              </w:rPr>
              <w:t>合计</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2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8,775,874.01</w:t>
            </w:r>
            <w:r>
              <w:rPr>
                <w:rFonts w:ascii="Times New Roman"/>
                <w:spacing w:val="-1"/>
                <w:sz w:val="18"/>
              </w:rPr>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54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5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135,878,885.85</w:t>
            </w:r>
            <w:r>
              <w:rPr>
                <w:rFonts w:ascii="Times New Roman"/>
                <w:spacing w:val="-1"/>
                <w:sz w:val="18"/>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57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r>
    </w:tbl>
    <w:p>
      <w:pPr>
        <w:spacing w:line="240" w:lineRule="auto" w:before="4"/>
        <w:rPr>
          <w:rFonts w:ascii="宋体" w:hAnsi="宋体" w:cs="宋体" w:eastAsia="宋体" w:hint="default"/>
          <w:sz w:val="22"/>
          <w:szCs w:val="22"/>
        </w:rPr>
      </w:pPr>
    </w:p>
    <w:p>
      <w:pPr>
        <w:pStyle w:val="BodyText"/>
        <w:spacing w:line="240" w:lineRule="auto" w:before="44"/>
        <w:ind w:left="800" w:right="0"/>
        <w:jc w:val="left"/>
      </w:pPr>
      <w:r>
        <w:rPr/>
        <w:t>（</w:t>
      </w:r>
      <w:r>
        <w:rPr>
          <w:rFonts w:ascii="Times New Roman" w:hAnsi="Times New Roman" w:cs="Times New Roman" w:eastAsia="Times New Roman" w:hint="default"/>
        </w:rPr>
        <w:t>2</w:t>
      </w:r>
      <w:r>
        <w:rPr/>
        <w:t>）按性质列示</w:t>
      </w:r>
    </w:p>
    <w:p>
      <w:pPr>
        <w:spacing w:line="240" w:lineRule="auto" w:before="9"/>
        <w:rPr>
          <w:rFonts w:ascii="宋体" w:hAnsi="宋体" w:cs="宋体" w:eastAsia="宋体" w:hint="default"/>
          <w:sz w:val="24"/>
          <w:szCs w:val="24"/>
        </w:rPr>
      </w:pPr>
    </w:p>
    <w:tbl>
      <w:tblPr>
        <w:tblW w:w="0" w:type="auto"/>
        <w:jc w:val="left"/>
        <w:tblInd w:w="195" w:type="dxa"/>
        <w:tblLayout w:type="fixed"/>
        <w:tblCellMar>
          <w:top w:w="0" w:type="dxa"/>
          <w:left w:w="0" w:type="dxa"/>
          <w:bottom w:w="0" w:type="dxa"/>
          <w:right w:w="0" w:type="dxa"/>
        </w:tblCellMar>
        <w:tblLook w:val="01E0"/>
      </w:tblPr>
      <w:tblGrid>
        <w:gridCol w:w="3001"/>
        <w:gridCol w:w="2898"/>
        <w:gridCol w:w="2897"/>
      </w:tblGrid>
      <w:tr>
        <w:trPr>
          <w:trHeight w:val="272" w:hRule="exact"/>
        </w:trPr>
        <w:tc>
          <w:tcPr>
            <w:tcW w:w="3001" w:type="dxa"/>
            <w:tcBorders>
              <w:top w:val="nil" w:sz="6" w:space="0" w:color="auto"/>
              <w:left w:val="nil" w:sz="6" w:space="0" w:color="auto"/>
              <w:bottom w:val="single" w:sz="4" w:space="0" w:color="000000"/>
              <w:right w:val="nil" w:sz="6" w:space="0" w:color="auto"/>
            </w:tcBorders>
          </w:tcPr>
          <w:p>
            <w:pPr>
              <w:pStyle w:val="TableParagraph"/>
              <w:spacing w:line="180" w:lineRule="exact"/>
              <w:ind w:right="69"/>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2898" w:type="dxa"/>
            <w:tcBorders>
              <w:top w:val="nil" w:sz="6" w:space="0" w:color="auto"/>
              <w:left w:val="nil" w:sz="6" w:space="0" w:color="auto"/>
              <w:bottom w:val="single" w:sz="4" w:space="0" w:color="000000"/>
              <w:right w:val="nil" w:sz="6" w:space="0" w:color="auto"/>
            </w:tcBorders>
          </w:tcPr>
          <w:p>
            <w:pPr>
              <w:pStyle w:val="TableParagraph"/>
              <w:spacing w:line="180" w:lineRule="exact"/>
              <w:ind w:right="107"/>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97" w:type="dxa"/>
            <w:tcBorders>
              <w:top w:val="nil" w:sz="6" w:space="0" w:color="auto"/>
              <w:left w:val="nil" w:sz="6" w:space="0" w:color="auto"/>
              <w:bottom w:val="single" w:sz="4" w:space="0" w:color="000000"/>
              <w:right w:val="nil" w:sz="6" w:space="0" w:color="auto"/>
            </w:tcBorders>
          </w:tcPr>
          <w:p>
            <w:pPr>
              <w:pStyle w:val="TableParagraph"/>
              <w:spacing w:line="180" w:lineRule="exact"/>
              <w:ind w:right="36"/>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12" w:hRule="exact"/>
        </w:trPr>
        <w:tc>
          <w:tcPr>
            <w:tcW w:w="300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47" w:right="0"/>
              <w:jc w:val="left"/>
              <w:rPr>
                <w:rFonts w:ascii="宋体" w:hAnsi="宋体" w:cs="宋体" w:eastAsia="宋体" w:hint="default"/>
                <w:sz w:val="18"/>
                <w:szCs w:val="18"/>
              </w:rPr>
            </w:pPr>
            <w:r>
              <w:rPr>
                <w:rFonts w:ascii="宋体" w:hAnsi="宋体" w:cs="宋体" w:eastAsia="宋体" w:hint="default"/>
                <w:sz w:val="18"/>
                <w:szCs w:val="18"/>
              </w:rPr>
              <w:t>预收拟处置股权转让款</w:t>
            </w:r>
          </w:p>
        </w:tc>
        <w:tc>
          <w:tcPr>
            <w:tcW w:w="2898" w:type="dxa"/>
            <w:tcBorders>
              <w:top w:val="single" w:sz="4" w:space="0" w:color="000000"/>
              <w:left w:val="nil" w:sz="6" w:space="0" w:color="auto"/>
              <w:bottom w:val="nil" w:sz="6" w:space="0" w:color="auto"/>
              <w:right w:val="nil" w:sz="6" w:space="0" w:color="auto"/>
            </w:tcBorders>
          </w:tcPr>
          <w:p>
            <w:pPr/>
          </w:p>
        </w:tc>
        <w:tc>
          <w:tcPr>
            <w:tcW w:w="289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773"/>
              <w:jc w:val="right"/>
              <w:rPr>
                <w:rFonts w:ascii="Times New Roman" w:hAnsi="Times New Roman" w:cs="Times New Roman" w:eastAsia="Times New Roman" w:hint="default"/>
                <w:sz w:val="18"/>
                <w:szCs w:val="18"/>
              </w:rPr>
            </w:pPr>
            <w:r>
              <w:rPr>
                <w:rFonts w:ascii="Times New Roman"/>
                <w:spacing w:val="-1"/>
                <w:sz w:val="18"/>
              </w:rPr>
              <w:t>128,090,520.00</w:t>
            </w:r>
          </w:p>
        </w:tc>
      </w:tr>
      <w:tr>
        <w:trPr>
          <w:trHeight w:val="401"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47"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89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6"/>
              <w:jc w:val="right"/>
              <w:rPr>
                <w:rFonts w:ascii="Times New Roman" w:hAnsi="Times New Roman" w:cs="Times New Roman" w:eastAsia="Times New Roman" w:hint="default"/>
                <w:sz w:val="18"/>
                <w:szCs w:val="18"/>
              </w:rPr>
            </w:pPr>
            <w:r>
              <w:rPr>
                <w:rFonts w:ascii="Times New Roman"/>
                <w:spacing w:val="-1"/>
                <w:sz w:val="18"/>
              </w:rPr>
              <w:t>3,375,000.00</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73"/>
              <w:jc w:val="right"/>
              <w:rPr>
                <w:rFonts w:ascii="Times New Roman" w:hAnsi="Times New Roman" w:cs="Times New Roman" w:eastAsia="Times New Roman" w:hint="default"/>
                <w:sz w:val="18"/>
                <w:szCs w:val="18"/>
              </w:rPr>
            </w:pPr>
            <w:r>
              <w:rPr>
                <w:rFonts w:ascii="Times New Roman"/>
                <w:spacing w:val="-1"/>
                <w:sz w:val="18"/>
              </w:rPr>
              <w:t>3,420,003.46</w:t>
            </w:r>
          </w:p>
        </w:tc>
      </w:tr>
      <w:tr>
        <w:trPr>
          <w:trHeight w:val="40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4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89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6"/>
              <w:jc w:val="right"/>
              <w:rPr>
                <w:rFonts w:ascii="Times New Roman" w:hAnsi="Times New Roman" w:cs="Times New Roman" w:eastAsia="Times New Roman" w:hint="default"/>
                <w:sz w:val="18"/>
                <w:szCs w:val="18"/>
              </w:rPr>
            </w:pPr>
            <w:r>
              <w:rPr>
                <w:rFonts w:ascii="Times New Roman"/>
                <w:spacing w:val="-1"/>
                <w:sz w:val="18"/>
              </w:rPr>
              <w:t>10,859.98</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73"/>
              <w:jc w:val="right"/>
              <w:rPr>
                <w:rFonts w:ascii="Times New Roman" w:hAnsi="Times New Roman" w:cs="Times New Roman" w:eastAsia="Times New Roman" w:hint="default"/>
                <w:sz w:val="18"/>
                <w:szCs w:val="18"/>
              </w:rPr>
            </w:pPr>
            <w:r>
              <w:rPr>
                <w:rFonts w:ascii="Times New Roman"/>
                <w:spacing w:val="-1"/>
                <w:sz w:val="18"/>
              </w:rPr>
              <w:t>1,454,003.66</w:t>
            </w:r>
          </w:p>
        </w:tc>
      </w:tr>
      <w:tr>
        <w:trPr>
          <w:trHeight w:val="40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47" w:right="0"/>
              <w:jc w:val="left"/>
              <w:rPr>
                <w:rFonts w:ascii="宋体" w:hAnsi="宋体" w:cs="宋体" w:eastAsia="宋体" w:hint="default"/>
                <w:sz w:val="18"/>
                <w:szCs w:val="18"/>
              </w:rPr>
            </w:pPr>
            <w:r>
              <w:rPr>
                <w:rFonts w:ascii="宋体" w:hAnsi="宋体" w:cs="宋体" w:eastAsia="宋体" w:hint="default"/>
                <w:sz w:val="18"/>
                <w:szCs w:val="18"/>
              </w:rPr>
              <w:t>图书销售代理金</w:t>
            </w:r>
          </w:p>
        </w:tc>
        <w:tc>
          <w:tcPr>
            <w:tcW w:w="289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4"/>
              <w:jc w:val="right"/>
              <w:rPr>
                <w:rFonts w:ascii="Times New Roman" w:hAnsi="Times New Roman" w:cs="Times New Roman" w:eastAsia="Times New Roman" w:hint="default"/>
                <w:sz w:val="18"/>
                <w:szCs w:val="18"/>
              </w:rPr>
            </w:pPr>
            <w:r>
              <w:rPr>
                <w:rFonts w:ascii="Times New Roman"/>
                <w:sz w:val="18"/>
              </w:rPr>
              <w:t>570,000.00</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773"/>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2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47" w:right="0"/>
              <w:jc w:val="left"/>
              <w:rPr>
                <w:rFonts w:ascii="宋体" w:hAnsi="宋体" w:cs="宋体" w:eastAsia="宋体" w:hint="default"/>
                <w:sz w:val="18"/>
                <w:szCs w:val="18"/>
              </w:rPr>
            </w:pPr>
            <w:r>
              <w:rPr>
                <w:rFonts w:ascii="宋体" w:hAnsi="宋体" w:cs="宋体" w:eastAsia="宋体" w:hint="default"/>
                <w:sz w:val="18"/>
                <w:szCs w:val="18"/>
              </w:rPr>
              <w:t>推广费</w:t>
            </w:r>
          </w:p>
        </w:tc>
        <w:tc>
          <w:tcPr>
            <w:tcW w:w="289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6"/>
              <w:jc w:val="right"/>
              <w:rPr>
                <w:rFonts w:ascii="Times New Roman" w:hAnsi="Times New Roman" w:cs="Times New Roman" w:eastAsia="Times New Roman" w:hint="default"/>
                <w:sz w:val="18"/>
                <w:szCs w:val="18"/>
              </w:rPr>
            </w:pPr>
            <w:r>
              <w:rPr>
                <w:rFonts w:ascii="Times New Roman"/>
                <w:spacing w:val="-1"/>
                <w:sz w:val="18"/>
              </w:rPr>
              <w:t>687,000.00</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73"/>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381"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2898"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73"/>
              <w:jc w:val="right"/>
              <w:rPr>
                <w:rFonts w:ascii="Times New Roman" w:hAnsi="Times New Roman" w:cs="Times New Roman" w:eastAsia="Times New Roman" w:hint="default"/>
                <w:sz w:val="18"/>
                <w:szCs w:val="18"/>
              </w:rPr>
            </w:pPr>
            <w:r>
              <w:rPr>
                <w:rFonts w:ascii="Times New Roman"/>
                <w:spacing w:val="-1"/>
                <w:sz w:val="18"/>
              </w:rPr>
              <w:t>349,022.40</w:t>
            </w:r>
          </w:p>
        </w:tc>
      </w:tr>
      <w:tr>
        <w:trPr>
          <w:trHeight w:val="40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9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6"/>
              <w:jc w:val="right"/>
              <w:rPr>
                <w:rFonts w:ascii="Times New Roman" w:hAnsi="Times New Roman" w:cs="Times New Roman" w:eastAsia="Times New Roman" w:hint="default"/>
                <w:sz w:val="18"/>
                <w:szCs w:val="18"/>
              </w:rPr>
            </w:pPr>
            <w:r>
              <w:rPr>
                <w:rFonts w:ascii="Times New Roman"/>
                <w:spacing w:val="-1"/>
                <w:sz w:val="18"/>
              </w:rPr>
              <w:t>4,133,014.03</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773"/>
              <w:jc w:val="right"/>
              <w:rPr>
                <w:rFonts w:ascii="Times New Roman" w:hAnsi="Times New Roman" w:cs="Times New Roman" w:eastAsia="Times New Roman" w:hint="default"/>
                <w:sz w:val="18"/>
                <w:szCs w:val="18"/>
              </w:rPr>
            </w:pPr>
            <w:r>
              <w:rPr>
                <w:rFonts w:ascii="Times New Roman"/>
                <w:spacing w:val="-1"/>
                <w:sz w:val="18"/>
              </w:rPr>
              <w:t>765,336.33</w:t>
            </w:r>
          </w:p>
        </w:tc>
      </w:tr>
      <w:tr>
        <w:trPr>
          <w:trHeight w:val="315"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1"/>
              <w:jc w:val="center"/>
              <w:rPr>
                <w:rFonts w:ascii="宋体" w:hAnsi="宋体" w:cs="宋体" w:eastAsia="宋体" w:hint="default"/>
                <w:sz w:val="18"/>
                <w:szCs w:val="18"/>
              </w:rPr>
            </w:pPr>
            <w:r>
              <w:rPr>
                <w:rFonts w:ascii="宋体" w:hAnsi="宋体" w:cs="宋体" w:eastAsia="宋体" w:hint="default"/>
                <w:sz w:val="18"/>
                <w:szCs w:val="18"/>
              </w:rPr>
              <w:t>合计</w:t>
            </w:r>
          </w:p>
        </w:tc>
        <w:tc>
          <w:tcPr>
            <w:tcW w:w="289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8,775,874.01</w:t>
            </w:r>
            <w:r>
              <w:rPr>
                <w:rFonts w:ascii="Times New Roman"/>
                <w:spacing w:val="-1"/>
                <w:sz w:val="18"/>
              </w:rPr>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135,878,885.85</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440" w:right="0"/>
        <w:jc w:val="left"/>
      </w:pPr>
      <w:r>
        <w:rPr>
          <w:rFonts w:ascii="Times New Roman" w:hAnsi="Times New Roman" w:cs="Times New Roman" w:eastAsia="Times New Roman" w:hint="default"/>
        </w:rPr>
        <w:t>22. </w:t>
      </w:r>
      <w:r>
        <w:rPr>
          <w:rFonts w:ascii="Times New Roman" w:hAnsi="Times New Roman" w:cs="Times New Roman" w:eastAsia="Times New Roman" w:hint="default"/>
          <w:spacing w:val="1"/>
        </w:rPr>
        <w:t> </w:t>
      </w:r>
      <w:r>
        <w:rPr/>
        <w:t>长期应付职工薪酬</w:t>
      </w:r>
    </w:p>
    <w:p>
      <w:pPr>
        <w:spacing w:line="240" w:lineRule="auto" w:before="6"/>
        <w:rPr>
          <w:rFonts w:ascii="宋体" w:hAnsi="宋体" w:cs="宋体" w:eastAsia="宋体" w:hint="default"/>
          <w:sz w:val="24"/>
          <w:szCs w:val="24"/>
        </w:rPr>
      </w:pPr>
    </w:p>
    <w:tbl>
      <w:tblPr>
        <w:tblW w:w="0" w:type="auto"/>
        <w:jc w:val="left"/>
        <w:tblInd w:w="195" w:type="dxa"/>
        <w:tblLayout w:type="fixed"/>
        <w:tblCellMar>
          <w:top w:w="0" w:type="dxa"/>
          <w:left w:w="0" w:type="dxa"/>
          <w:bottom w:w="0" w:type="dxa"/>
          <w:right w:w="0" w:type="dxa"/>
        </w:tblCellMar>
        <w:tblLook w:val="01E0"/>
      </w:tblPr>
      <w:tblGrid>
        <w:gridCol w:w="2953"/>
        <w:gridCol w:w="2932"/>
        <w:gridCol w:w="2912"/>
      </w:tblGrid>
      <w:tr>
        <w:trPr>
          <w:trHeight w:val="272" w:hRule="exact"/>
        </w:trPr>
        <w:tc>
          <w:tcPr>
            <w:tcW w:w="2953" w:type="dxa"/>
            <w:tcBorders>
              <w:top w:val="nil" w:sz="6" w:space="0" w:color="auto"/>
              <w:left w:val="nil" w:sz="6" w:space="0" w:color="auto"/>
              <w:bottom w:val="single" w:sz="4" w:space="0" w:color="000000"/>
              <w:right w:val="nil" w:sz="6" w:space="0" w:color="auto"/>
            </w:tcBorders>
          </w:tcPr>
          <w:p>
            <w:pPr>
              <w:pStyle w:val="TableParagraph"/>
              <w:spacing w:line="180" w:lineRule="exact"/>
              <w:ind w:right="1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32" w:type="dxa"/>
            <w:tcBorders>
              <w:top w:val="nil" w:sz="6" w:space="0" w:color="auto"/>
              <w:left w:val="nil" w:sz="6" w:space="0" w:color="auto"/>
              <w:bottom w:val="single" w:sz="4" w:space="0" w:color="000000"/>
              <w:right w:val="nil" w:sz="6" w:space="0" w:color="auto"/>
            </w:tcBorders>
          </w:tcPr>
          <w:p>
            <w:pPr>
              <w:pStyle w:val="TableParagraph"/>
              <w:spacing w:line="180" w:lineRule="exact"/>
              <w:ind w:right="45"/>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12" w:type="dxa"/>
            <w:tcBorders>
              <w:top w:val="nil" w:sz="6" w:space="0" w:color="auto"/>
              <w:left w:val="nil" w:sz="6" w:space="0" w:color="auto"/>
              <w:bottom w:val="single" w:sz="4" w:space="0" w:color="000000"/>
              <w:right w:val="nil" w:sz="6" w:space="0" w:color="auto"/>
            </w:tcBorders>
          </w:tcPr>
          <w:p>
            <w:pPr>
              <w:pStyle w:val="TableParagraph"/>
              <w:spacing w:line="180" w:lineRule="exact"/>
              <w:ind w:right="22"/>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2" w:hRule="exact"/>
        </w:trPr>
        <w:tc>
          <w:tcPr>
            <w:tcW w:w="295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1"/>
              <w:jc w:val="center"/>
              <w:rPr>
                <w:rFonts w:ascii="宋体" w:hAnsi="宋体" w:cs="宋体" w:eastAsia="宋体" w:hint="default"/>
                <w:sz w:val="18"/>
                <w:szCs w:val="18"/>
              </w:rPr>
            </w:pPr>
            <w:r>
              <w:rPr>
                <w:rFonts w:ascii="宋体" w:hAnsi="宋体" w:cs="宋体" w:eastAsia="宋体" w:hint="default"/>
                <w:sz w:val="18"/>
                <w:szCs w:val="18"/>
              </w:rPr>
              <w:t>业绩奖励款</w:t>
            </w:r>
          </w:p>
        </w:tc>
        <w:tc>
          <w:tcPr>
            <w:tcW w:w="2932"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42"/>
              <w:jc w:val="center"/>
              <w:rPr>
                <w:rFonts w:ascii="Times New Roman" w:hAnsi="Times New Roman" w:cs="Times New Roman" w:eastAsia="Times New Roman" w:hint="default"/>
                <w:sz w:val="18"/>
                <w:szCs w:val="18"/>
              </w:rPr>
            </w:pPr>
            <w:r>
              <w:rPr>
                <w:rFonts w:ascii="Times New Roman"/>
                <w:sz w:val="18"/>
              </w:rPr>
              <w:t>217,897.87</w:t>
            </w:r>
          </w:p>
        </w:tc>
        <w:tc>
          <w:tcPr>
            <w:tcW w:w="2912"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19"/>
              <w:jc w:val="center"/>
              <w:rPr>
                <w:rFonts w:ascii="Times New Roman" w:hAnsi="Times New Roman" w:cs="Times New Roman" w:eastAsia="Times New Roman" w:hint="default"/>
                <w:sz w:val="18"/>
                <w:szCs w:val="18"/>
              </w:rPr>
            </w:pPr>
            <w:r>
              <w:rPr>
                <w:rFonts w:ascii="Times New Roman"/>
                <w:sz w:val="18"/>
              </w:rPr>
              <w:t>775,517.54</w:t>
            </w:r>
          </w:p>
        </w:tc>
      </w:tr>
      <w:tr>
        <w:trPr>
          <w:trHeight w:val="294" w:hRule="exact"/>
        </w:trPr>
        <w:tc>
          <w:tcPr>
            <w:tcW w:w="2953"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48"/>
              <w:ind w:right="23"/>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93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4"/>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z w:val="18"/>
                <w:u w:val="thick" w:color="000000"/>
              </w:rPr>
              <w:t>217,897.87</w:t>
            </w:r>
            <w:r>
              <w:rPr>
                <w:rFonts w:ascii="Times New Roman"/>
                <w:sz w:val="18"/>
              </w:rPr>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775,517.54</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800" w:right="0"/>
        <w:jc w:val="left"/>
      </w:pPr>
      <w:r>
        <w:rPr>
          <w:rFonts w:ascii="Times New Roman" w:hAnsi="Times New Roman" w:cs="Times New Roman" w:eastAsia="Times New Roman" w:hint="default"/>
        </w:rPr>
        <w:t>23. </w:t>
      </w:r>
      <w:r>
        <w:rPr>
          <w:rFonts w:ascii="Times New Roman" w:hAnsi="Times New Roman" w:cs="Times New Roman" w:eastAsia="Times New Roman" w:hint="default"/>
          <w:spacing w:val="1"/>
        </w:rPr>
        <w:t> </w:t>
      </w:r>
      <w:r>
        <w:rPr/>
        <w:t>递延收益</w:t>
      </w:r>
    </w:p>
    <w:p>
      <w:pPr>
        <w:spacing w:line="240" w:lineRule="auto" w:before="6"/>
        <w:rPr>
          <w:rFonts w:ascii="宋体" w:hAnsi="宋体" w:cs="宋体" w:eastAsia="宋体" w:hint="default"/>
          <w:sz w:val="20"/>
          <w:szCs w:val="20"/>
        </w:rPr>
      </w:pPr>
    </w:p>
    <w:p>
      <w:pPr>
        <w:pStyle w:val="BodyText"/>
        <w:spacing w:line="240" w:lineRule="auto"/>
        <w:ind w:left="800" w:right="0"/>
        <w:jc w:val="left"/>
      </w:pPr>
      <w:r>
        <w:rPr/>
        <w:t>（</w:t>
      </w:r>
      <w:r>
        <w:rPr>
          <w:rFonts w:ascii="Times New Roman" w:hAnsi="Times New Roman" w:cs="Times New Roman" w:eastAsia="Times New Roman" w:hint="default"/>
        </w:rPr>
        <w:t>1</w:t>
      </w:r>
      <w:r>
        <w:rPr/>
        <w:t>）分类列示</w:t>
      </w:r>
    </w:p>
    <w:p>
      <w:pPr>
        <w:spacing w:line="240" w:lineRule="auto" w:before="2"/>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3492"/>
        <w:gridCol w:w="1177"/>
        <w:gridCol w:w="1227"/>
        <w:gridCol w:w="1176"/>
        <w:gridCol w:w="919"/>
        <w:gridCol w:w="994"/>
      </w:tblGrid>
      <w:tr>
        <w:trPr>
          <w:trHeight w:val="238" w:hRule="exact"/>
        </w:trPr>
        <w:tc>
          <w:tcPr>
            <w:tcW w:w="3492" w:type="dxa"/>
            <w:tcBorders>
              <w:top w:val="nil" w:sz="6" w:space="0" w:color="auto"/>
              <w:left w:val="nil" w:sz="6" w:space="0" w:color="auto"/>
              <w:bottom w:val="single" w:sz="4" w:space="0" w:color="000000"/>
              <w:right w:val="nil" w:sz="6" w:space="0" w:color="auto"/>
            </w:tcBorders>
          </w:tcPr>
          <w:p>
            <w:pPr>
              <w:pStyle w:val="TableParagraph"/>
              <w:spacing w:line="151" w:lineRule="exact"/>
              <w:ind w:right="72"/>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177" w:type="dxa"/>
            <w:tcBorders>
              <w:top w:val="nil" w:sz="6" w:space="0" w:color="auto"/>
              <w:left w:val="nil" w:sz="6" w:space="0" w:color="auto"/>
              <w:bottom w:val="single" w:sz="4" w:space="0" w:color="000000"/>
              <w:right w:val="nil" w:sz="6" w:space="0" w:color="auto"/>
            </w:tcBorders>
          </w:tcPr>
          <w:p>
            <w:pPr>
              <w:pStyle w:val="TableParagraph"/>
              <w:spacing w:line="151" w:lineRule="exact"/>
              <w:ind w:left="199"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1227" w:type="dxa"/>
            <w:tcBorders>
              <w:top w:val="nil" w:sz="6" w:space="0" w:color="auto"/>
              <w:left w:val="nil" w:sz="6" w:space="0" w:color="auto"/>
              <w:bottom w:val="single" w:sz="4" w:space="0" w:color="000000"/>
              <w:right w:val="nil" w:sz="6" w:space="0" w:color="auto"/>
            </w:tcBorders>
          </w:tcPr>
          <w:p>
            <w:pPr>
              <w:pStyle w:val="TableParagraph"/>
              <w:spacing w:line="151" w:lineRule="exact"/>
              <w:ind w:left="206" w:right="0"/>
              <w:jc w:val="left"/>
              <w:rPr>
                <w:rFonts w:ascii="宋体" w:hAnsi="宋体" w:cs="宋体" w:eastAsia="宋体" w:hint="default"/>
                <w:sz w:val="15"/>
                <w:szCs w:val="15"/>
              </w:rPr>
            </w:pPr>
            <w:r>
              <w:rPr>
                <w:rFonts w:ascii="宋体" w:hAnsi="宋体" w:cs="宋体" w:eastAsia="宋体" w:hint="default"/>
                <w:b/>
                <w:bCs/>
                <w:sz w:val="15"/>
                <w:szCs w:val="15"/>
              </w:rPr>
              <w:t>本期增加</w:t>
            </w:r>
            <w:r>
              <w:rPr>
                <w:rFonts w:ascii="宋体" w:hAnsi="宋体" w:cs="宋体" w:eastAsia="宋体" w:hint="default"/>
                <w:sz w:val="15"/>
                <w:szCs w:val="15"/>
              </w:rPr>
            </w:r>
          </w:p>
        </w:tc>
        <w:tc>
          <w:tcPr>
            <w:tcW w:w="1176" w:type="dxa"/>
            <w:tcBorders>
              <w:top w:val="nil" w:sz="6" w:space="0" w:color="auto"/>
              <w:left w:val="nil" w:sz="6" w:space="0" w:color="auto"/>
              <w:bottom w:val="single" w:sz="4" w:space="0" w:color="000000"/>
              <w:right w:val="nil" w:sz="6" w:space="0" w:color="auto"/>
            </w:tcBorders>
          </w:tcPr>
          <w:p>
            <w:pPr>
              <w:pStyle w:val="TableParagraph"/>
              <w:spacing w:line="151" w:lineRule="exact"/>
              <w:ind w:left="218" w:right="0"/>
              <w:jc w:val="left"/>
              <w:rPr>
                <w:rFonts w:ascii="宋体" w:hAnsi="宋体" w:cs="宋体" w:eastAsia="宋体" w:hint="default"/>
                <w:sz w:val="15"/>
                <w:szCs w:val="15"/>
              </w:rPr>
            </w:pPr>
            <w:r>
              <w:rPr>
                <w:rFonts w:ascii="宋体" w:hAnsi="宋体" w:cs="宋体" w:eastAsia="宋体" w:hint="default"/>
                <w:b/>
                <w:bCs/>
                <w:sz w:val="15"/>
                <w:szCs w:val="15"/>
              </w:rPr>
              <w:t>本期减少</w:t>
            </w:r>
            <w:r>
              <w:rPr>
                <w:rFonts w:ascii="宋体" w:hAnsi="宋体" w:cs="宋体" w:eastAsia="宋体" w:hint="default"/>
                <w:sz w:val="15"/>
                <w:szCs w:val="15"/>
              </w:rPr>
            </w:r>
          </w:p>
        </w:tc>
        <w:tc>
          <w:tcPr>
            <w:tcW w:w="919" w:type="dxa"/>
            <w:tcBorders>
              <w:top w:val="nil" w:sz="6" w:space="0" w:color="auto"/>
              <w:left w:val="nil" w:sz="6" w:space="0" w:color="auto"/>
              <w:bottom w:val="single" w:sz="4" w:space="0" w:color="000000"/>
              <w:right w:val="nil" w:sz="6" w:space="0" w:color="auto"/>
            </w:tcBorders>
          </w:tcPr>
          <w:p>
            <w:pPr>
              <w:pStyle w:val="TableParagraph"/>
              <w:spacing w:line="151" w:lineRule="exact"/>
              <w:ind w:left="143"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994" w:type="dxa"/>
            <w:tcBorders>
              <w:top w:val="nil" w:sz="6" w:space="0" w:color="auto"/>
              <w:left w:val="nil" w:sz="6" w:space="0" w:color="auto"/>
              <w:bottom w:val="single" w:sz="4" w:space="0" w:color="000000"/>
              <w:right w:val="nil" w:sz="6" w:space="0" w:color="auto"/>
            </w:tcBorders>
          </w:tcPr>
          <w:p>
            <w:pPr>
              <w:pStyle w:val="TableParagraph"/>
              <w:spacing w:line="151" w:lineRule="exact"/>
              <w:ind w:left="194" w:right="0"/>
              <w:jc w:val="left"/>
              <w:rPr>
                <w:rFonts w:ascii="宋体" w:hAnsi="宋体" w:cs="宋体" w:eastAsia="宋体" w:hint="default"/>
                <w:sz w:val="15"/>
                <w:szCs w:val="15"/>
              </w:rPr>
            </w:pPr>
            <w:r>
              <w:rPr>
                <w:rFonts w:ascii="宋体" w:hAnsi="宋体" w:cs="宋体" w:eastAsia="宋体" w:hint="default"/>
                <w:b/>
                <w:bCs/>
                <w:sz w:val="15"/>
                <w:szCs w:val="15"/>
              </w:rPr>
              <w:t>形成原因</w:t>
            </w:r>
            <w:r>
              <w:rPr>
                <w:rFonts w:ascii="宋体" w:hAnsi="宋体" w:cs="宋体" w:eastAsia="宋体" w:hint="default"/>
                <w:sz w:val="15"/>
                <w:szCs w:val="15"/>
              </w:rPr>
            </w:r>
          </w:p>
        </w:tc>
      </w:tr>
      <w:tr>
        <w:trPr>
          <w:trHeight w:val="706" w:hRule="exact"/>
        </w:trPr>
        <w:tc>
          <w:tcPr>
            <w:tcW w:w="3492" w:type="dxa"/>
            <w:tcBorders>
              <w:top w:val="single" w:sz="4" w:space="0" w:color="000000"/>
              <w:left w:val="nil" w:sz="6" w:space="0" w:color="auto"/>
              <w:bottom w:val="nil" w:sz="6" w:space="0" w:color="auto"/>
              <w:right w:val="nil" w:sz="6" w:space="0" w:color="auto"/>
            </w:tcBorders>
          </w:tcPr>
          <w:p>
            <w:pPr>
              <w:pStyle w:val="TableParagraph"/>
              <w:spacing w:line="369" w:lineRule="auto" w:before="81"/>
              <w:ind w:left="108" w:right="180"/>
              <w:jc w:val="left"/>
              <w:rPr>
                <w:rFonts w:ascii="宋体" w:hAnsi="宋体" w:cs="宋体" w:eastAsia="宋体" w:hint="default"/>
                <w:sz w:val="15"/>
                <w:szCs w:val="15"/>
              </w:rPr>
            </w:pPr>
            <w:r>
              <w:rPr>
                <w:rFonts w:ascii="宋体" w:hAnsi="宋体" w:cs="宋体" w:eastAsia="宋体" w:hint="default"/>
                <w:sz w:val="15"/>
                <w:szCs w:val="15"/>
              </w:rPr>
              <w:t>湖南省新闻出版局</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7"/>
                <w:sz w:val="15"/>
                <w:szCs w:val="15"/>
              </w:rPr>
              <w:t> </w:t>
            </w:r>
            <w:r>
              <w:rPr>
                <w:rFonts w:ascii="宋体" w:hAnsi="宋体" w:cs="宋体" w:eastAsia="宋体" w:hint="default"/>
                <w:spacing w:val="-4"/>
                <w:sz w:val="15"/>
                <w:szCs w:val="15"/>
              </w:rPr>
              <w:t>年文化产业专项资金（未</w:t>
            </w:r>
            <w:r>
              <w:rPr>
                <w:rFonts w:ascii="宋体" w:hAnsi="宋体" w:cs="宋体" w:eastAsia="宋体" w:hint="default"/>
                <w:w w:val="100"/>
                <w:sz w:val="15"/>
                <w:szCs w:val="15"/>
              </w:rPr>
              <w:t> </w:t>
            </w:r>
            <w:r>
              <w:rPr>
                <w:rFonts w:ascii="宋体" w:hAnsi="宋体" w:cs="宋体" w:eastAsia="宋体" w:hint="default"/>
                <w:sz w:val="15"/>
                <w:szCs w:val="15"/>
              </w:rPr>
              <w:t>来教室－云教育平台项目）</w:t>
            </w:r>
          </w:p>
        </w:tc>
        <w:tc>
          <w:tcPr>
            <w:tcW w:w="117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182" w:right="0"/>
              <w:jc w:val="left"/>
              <w:rPr>
                <w:rFonts w:ascii="Times New Roman" w:hAnsi="Times New Roman" w:cs="Times New Roman" w:eastAsia="Times New Roman" w:hint="default"/>
                <w:sz w:val="15"/>
                <w:szCs w:val="15"/>
              </w:rPr>
            </w:pPr>
            <w:r>
              <w:rPr>
                <w:rFonts w:ascii="Times New Roman"/>
                <w:sz w:val="15"/>
              </w:rPr>
              <w:t>1,666,666.67</w:t>
            </w:r>
          </w:p>
        </w:tc>
        <w:tc>
          <w:tcPr>
            <w:tcW w:w="1227" w:type="dxa"/>
            <w:tcBorders>
              <w:top w:val="single" w:sz="4" w:space="0" w:color="000000"/>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right="132"/>
              <w:jc w:val="right"/>
              <w:rPr>
                <w:rFonts w:ascii="Times New Roman" w:hAnsi="Times New Roman" w:cs="Times New Roman" w:eastAsia="Times New Roman" w:hint="default"/>
                <w:sz w:val="15"/>
                <w:szCs w:val="15"/>
              </w:rPr>
            </w:pPr>
            <w:r>
              <w:rPr>
                <w:rFonts w:ascii="Times New Roman"/>
                <w:spacing w:val="-1"/>
                <w:sz w:val="15"/>
              </w:rPr>
              <w:t>1,666,666.67</w:t>
            </w:r>
          </w:p>
        </w:tc>
        <w:tc>
          <w:tcPr>
            <w:tcW w:w="919" w:type="dxa"/>
            <w:tcBorders>
              <w:top w:val="single" w:sz="4" w:space="0" w:color="000000"/>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Style w:val="TableParagraph"/>
              <w:spacing w:line="391" w:lineRule="auto" w:before="81"/>
              <w:ind w:left="107" w:right="130"/>
              <w:jc w:val="left"/>
              <w:rPr>
                <w:rFonts w:ascii="宋体" w:hAnsi="宋体" w:cs="宋体" w:eastAsia="宋体" w:hint="default"/>
                <w:sz w:val="15"/>
                <w:szCs w:val="15"/>
              </w:rPr>
            </w:pPr>
            <w:r>
              <w:rPr>
                <w:rFonts w:ascii="宋体" w:hAnsi="宋体" w:cs="宋体" w:eastAsia="宋体" w:hint="default"/>
                <w:spacing w:val="-1"/>
                <w:sz w:val="15"/>
                <w:szCs w:val="15"/>
              </w:rPr>
              <w:t>与收益相关</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的政府补助</w:t>
            </w:r>
          </w:p>
        </w:tc>
      </w:tr>
      <w:tr>
        <w:trPr>
          <w:trHeight w:val="682"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372" w:lineRule="auto" w:before="59"/>
              <w:ind w:left="108" w:right="180"/>
              <w:jc w:val="left"/>
              <w:rPr>
                <w:rFonts w:ascii="宋体" w:hAnsi="宋体" w:cs="宋体" w:eastAsia="宋体" w:hint="default"/>
                <w:sz w:val="15"/>
                <w:szCs w:val="15"/>
              </w:rPr>
            </w:pPr>
            <w:r>
              <w:rPr>
                <w:rFonts w:ascii="宋体" w:hAnsi="宋体" w:cs="宋体" w:eastAsia="宋体" w:hint="default"/>
                <w:sz w:val="15"/>
                <w:szCs w:val="15"/>
              </w:rPr>
              <w:t>湖南省</w:t>
            </w:r>
            <w:r>
              <w:rPr>
                <w:rFonts w:ascii="宋体" w:hAnsi="宋体" w:cs="宋体" w:eastAsia="宋体" w:hint="default"/>
                <w:spacing w:val="-54"/>
                <w:sz w:val="15"/>
                <w:szCs w:val="15"/>
              </w:rPr>
              <w:t> </w:t>
            </w: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15"/>
                <w:sz w:val="15"/>
                <w:szCs w:val="15"/>
              </w:rPr>
              <w:t> </w:t>
            </w:r>
            <w:r>
              <w:rPr>
                <w:rFonts w:ascii="宋体" w:hAnsi="宋体" w:cs="宋体" w:eastAsia="宋体" w:hint="default"/>
                <w:sz w:val="15"/>
                <w:szCs w:val="15"/>
              </w:rPr>
              <w:t>年第一批移动互联网产业发展专项资</w:t>
            </w:r>
            <w:r>
              <w:rPr>
                <w:rFonts w:ascii="宋体" w:hAnsi="宋体" w:cs="宋体" w:eastAsia="宋体" w:hint="default"/>
                <w:w w:val="100"/>
                <w:sz w:val="15"/>
                <w:szCs w:val="15"/>
              </w:rPr>
              <w:t> </w:t>
            </w:r>
            <w:r>
              <w:rPr>
                <w:rFonts w:ascii="宋体" w:hAnsi="宋体" w:cs="宋体" w:eastAsia="宋体" w:hint="default"/>
                <w:sz w:val="15"/>
                <w:szCs w:val="15"/>
              </w:rPr>
              <w:t>金（足球大逆袭项目）</w:t>
            </w:r>
          </w:p>
        </w:tc>
        <w:tc>
          <w:tcPr>
            <w:tcW w:w="11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6"/>
              <w:jc w:val="right"/>
              <w:rPr>
                <w:rFonts w:ascii="Times New Roman" w:hAnsi="Times New Roman" w:cs="Times New Roman" w:eastAsia="Times New Roman" w:hint="default"/>
                <w:sz w:val="15"/>
                <w:szCs w:val="15"/>
              </w:rPr>
            </w:pPr>
            <w:r>
              <w:rPr>
                <w:rFonts w:ascii="Times New Roman"/>
                <w:spacing w:val="-1"/>
                <w:sz w:val="15"/>
              </w:rPr>
              <w:t>500,000.00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2"/>
              <w:jc w:val="right"/>
              <w:rPr>
                <w:rFonts w:ascii="Times New Roman" w:hAnsi="Times New Roman" w:cs="Times New Roman" w:eastAsia="Times New Roman" w:hint="default"/>
                <w:sz w:val="15"/>
                <w:szCs w:val="15"/>
              </w:rPr>
            </w:pPr>
            <w:r>
              <w:rPr>
                <w:rFonts w:ascii="Times New Roman"/>
                <w:spacing w:val="-1"/>
                <w:sz w:val="15"/>
              </w:rPr>
              <w:t>250,000.00</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6" w:right="0"/>
              <w:jc w:val="left"/>
              <w:rPr>
                <w:rFonts w:ascii="Times New Roman" w:hAnsi="Times New Roman" w:cs="Times New Roman" w:eastAsia="Times New Roman" w:hint="default"/>
                <w:sz w:val="15"/>
                <w:szCs w:val="15"/>
              </w:rPr>
            </w:pPr>
            <w:r>
              <w:rPr>
                <w:rFonts w:ascii="Times New Roman"/>
                <w:sz w:val="15"/>
              </w:rPr>
              <w:t>250,000.00</w:t>
            </w:r>
          </w:p>
        </w:tc>
        <w:tc>
          <w:tcPr>
            <w:tcW w:w="994" w:type="dxa"/>
            <w:tcBorders>
              <w:top w:val="nil" w:sz="6" w:space="0" w:color="auto"/>
              <w:left w:val="nil" w:sz="6" w:space="0" w:color="auto"/>
              <w:bottom w:val="nil" w:sz="6" w:space="0" w:color="auto"/>
              <w:right w:val="nil" w:sz="6" w:space="0" w:color="auto"/>
            </w:tcBorders>
          </w:tcPr>
          <w:p>
            <w:pPr>
              <w:pStyle w:val="TableParagraph"/>
              <w:spacing w:line="393" w:lineRule="auto" w:before="59"/>
              <w:ind w:left="107" w:right="130"/>
              <w:jc w:val="left"/>
              <w:rPr>
                <w:rFonts w:ascii="宋体" w:hAnsi="宋体" w:cs="宋体" w:eastAsia="宋体" w:hint="default"/>
                <w:sz w:val="15"/>
                <w:szCs w:val="15"/>
              </w:rPr>
            </w:pPr>
            <w:r>
              <w:rPr>
                <w:rFonts w:ascii="宋体" w:hAnsi="宋体" w:cs="宋体" w:eastAsia="宋体" w:hint="default"/>
                <w:spacing w:val="-1"/>
                <w:sz w:val="15"/>
                <w:szCs w:val="15"/>
              </w:rPr>
              <w:t>与收益相关</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的政府补助</w:t>
            </w:r>
          </w:p>
        </w:tc>
      </w:tr>
      <w:tr>
        <w:trPr>
          <w:trHeight w:val="679"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2015</w:t>
            </w:r>
            <w:r>
              <w:rPr>
                <w:rFonts w:ascii="Times New Roman" w:hAnsi="Times New Roman" w:cs="Times New Roman" w:eastAsia="Times New Roman" w:hint="default"/>
                <w:spacing w:val="36"/>
                <w:sz w:val="15"/>
                <w:szCs w:val="15"/>
              </w:rPr>
              <w:t> </w:t>
            </w:r>
            <w:r>
              <w:rPr>
                <w:rFonts w:ascii="宋体" w:hAnsi="宋体" w:cs="宋体" w:eastAsia="宋体" w:hint="default"/>
                <w:spacing w:val="-2"/>
                <w:sz w:val="15"/>
                <w:szCs w:val="15"/>
              </w:rPr>
              <w:t>年文化产业引导资金（话剧进校园项目）</w:t>
            </w:r>
          </w:p>
        </w:tc>
        <w:tc>
          <w:tcPr>
            <w:tcW w:w="11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6"/>
              <w:jc w:val="right"/>
              <w:rPr>
                <w:rFonts w:ascii="Times New Roman" w:hAnsi="Times New Roman" w:cs="Times New Roman" w:eastAsia="Times New Roman" w:hint="default"/>
                <w:sz w:val="15"/>
                <w:szCs w:val="15"/>
              </w:rPr>
            </w:pPr>
            <w:r>
              <w:rPr>
                <w:rFonts w:ascii="Times New Roman"/>
                <w:spacing w:val="-1"/>
                <w:sz w:val="15"/>
              </w:rPr>
              <w:t>500,000.00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2"/>
              <w:jc w:val="right"/>
              <w:rPr>
                <w:rFonts w:ascii="Times New Roman" w:hAnsi="Times New Roman" w:cs="Times New Roman" w:eastAsia="Times New Roman" w:hint="default"/>
                <w:sz w:val="15"/>
                <w:szCs w:val="15"/>
              </w:rPr>
            </w:pPr>
            <w:r>
              <w:rPr>
                <w:rFonts w:ascii="Times New Roman"/>
                <w:spacing w:val="-1"/>
                <w:sz w:val="15"/>
              </w:rPr>
              <w:t>250,000.00</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6" w:right="0"/>
              <w:jc w:val="left"/>
              <w:rPr>
                <w:rFonts w:ascii="Times New Roman" w:hAnsi="Times New Roman" w:cs="Times New Roman" w:eastAsia="Times New Roman" w:hint="default"/>
                <w:sz w:val="15"/>
                <w:szCs w:val="15"/>
              </w:rPr>
            </w:pPr>
            <w:r>
              <w:rPr>
                <w:rFonts w:ascii="Times New Roman"/>
                <w:sz w:val="15"/>
              </w:rPr>
              <w:t>250,000.00</w:t>
            </w:r>
          </w:p>
        </w:tc>
        <w:tc>
          <w:tcPr>
            <w:tcW w:w="994" w:type="dxa"/>
            <w:tcBorders>
              <w:top w:val="nil" w:sz="6" w:space="0" w:color="auto"/>
              <w:left w:val="nil" w:sz="6" w:space="0" w:color="auto"/>
              <w:bottom w:val="nil" w:sz="6" w:space="0" w:color="auto"/>
              <w:right w:val="nil" w:sz="6" w:space="0" w:color="auto"/>
            </w:tcBorders>
          </w:tcPr>
          <w:p>
            <w:pPr>
              <w:pStyle w:val="TableParagraph"/>
              <w:spacing w:line="391" w:lineRule="auto" w:before="59"/>
              <w:ind w:left="107" w:right="130"/>
              <w:jc w:val="left"/>
              <w:rPr>
                <w:rFonts w:ascii="宋体" w:hAnsi="宋体" w:cs="宋体" w:eastAsia="宋体" w:hint="default"/>
                <w:sz w:val="15"/>
                <w:szCs w:val="15"/>
              </w:rPr>
            </w:pPr>
            <w:r>
              <w:rPr>
                <w:rFonts w:ascii="宋体" w:hAnsi="宋体" w:cs="宋体" w:eastAsia="宋体" w:hint="default"/>
                <w:spacing w:val="-1"/>
                <w:sz w:val="15"/>
                <w:szCs w:val="15"/>
              </w:rPr>
              <w:t>与收益相关</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的政府补助</w:t>
            </w:r>
          </w:p>
        </w:tc>
      </w:tr>
      <w:tr>
        <w:trPr>
          <w:trHeight w:val="264"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2"/>
              <w:jc w:val="center"/>
              <w:rPr>
                <w:rFonts w:ascii="宋体" w:hAnsi="宋体" w:cs="宋体" w:eastAsia="宋体" w:hint="default"/>
                <w:sz w:val="15"/>
                <w:szCs w:val="15"/>
              </w:rPr>
            </w:pPr>
            <w:r>
              <w:rPr>
                <w:rFonts w:ascii="宋体" w:hAnsi="宋体" w:cs="宋体" w:eastAsia="宋体" w:hint="default"/>
                <w:sz w:val="15"/>
                <w:szCs w:val="15"/>
              </w:rPr>
              <w:t>合计</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82"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1,666,666.67</w:t>
            </w:r>
            <w:r>
              <w:rPr>
                <w:rFonts w:ascii="Times New Roman"/>
                <w:sz w:val="15"/>
              </w:rPr>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20"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1,000,000.00</w:t>
            </w:r>
            <w:r>
              <w:rPr>
                <w:rFonts w:ascii="Times New Roman"/>
                <w:sz w:val="15"/>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31"/>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2,166,666.67</w:t>
            </w:r>
            <w:r>
              <w:rPr>
                <w:rFonts w:ascii="Times New Roman"/>
                <w:spacing w:val="-1"/>
                <w:sz w:val="15"/>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3"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500,000.00</w:t>
            </w:r>
            <w:r>
              <w:rPr>
                <w:rFonts w:ascii="Times New Roman"/>
                <w:sz w:val="15"/>
              </w:rPr>
            </w:r>
          </w:p>
        </w:tc>
        <w:tc>
          <w:tcPr>
            <w:tcW w:w="99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79" w:top="1380" w:bottom="1160" w:left="1360" w:right="1340"/>
        </w:sectPr>
      </w:pPr>
    </w:p>
    <w:p>
      <w:pPr>
        <w:pStyle w:val="BodyText"/>
        <w:spacing w:line="240" w:lineRule="auto" w:before="17"/>
        <w:ind w:left="860" w:right="0"/>
        <w:jc w:val="left"/>
      </w:pPr>
      <w:r>
        <w:rPr/>
        <w:t>（</w:t>
      </w:r>
      <w:r>
        <w:rPr>
          <w:rFonts w:ascii="Times New Roman" w:hAnsi="Times New Roman" w:cs="Times New Roman" w:eastAsia="Times New Roman" w:hint="default"/>
        </w:rPr>
        <w:t>2</w:t>
      </w:r>
      <w:r>
        <w:rPr/>
        <w:t>）政府补助情况</w:t>
      </w:r>
    </w:p>
    <w:p>
      <w:pPr>
        <w:spacing w:line="240" w:lineRule="auto" w:before="4"/>
        <w:rPr>
          <w:rFonts w:ascii="宋体" w:hAnsi="宋体" w:cs="宋体" w:eastAsia="宋体" w:hint="default"/>
          <w:sz w:val="24"/>
          <w:szCs w:val="24"/>
        </w:rPr>
      </w:pPr>
    </w:p>
    <w:tbl>
      <w:tblPr>
        <w:tblW w:w="0" w:type="auto"/>
        <w:jc w:val="left"/>
        <w:tblInd w:w="255" w:type="dxa"/>
        <w:tblLayout w:type="fixed"/>
        <w:tblCellMar>
          <w:top w:w="0" w:type="dxa"/>
          <w:left w:w="0" w:type="dxa"/>
          <w:bottom w:w="0" w:type="dxa"/>
          <w:right w:w="0" w:type="dxa"/>
        </w:tblCellMar>
        <w:tblLook w:val="01E0"/>
      </w:tblPr>
      <w:tblGrid>
        <w:gridCol w:w="2814"/>
        <w:gridCol w:w="938"/>
        <w:gridCol w:w="1039"/>
        <w:gridCol w:w="1216"/>
        <w:gridCol w:w="846"/>
        <w:gridCol w:w="901"/>
        <w:gridCol w:w="1042"/>
      </w:tblGrid>
      <w:tr>
        <w:trPr>
          <w:trHeight w:val="557" w:hRule="exact"/>
        </w:trPr>
        <w:tc>
          <w:tcPr>
            <w:tcW w:w="2814"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76"/>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938"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121"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1039" w:type="dxa"/>
            <w:tcBorders>
              <w:top w:val="nil" w:sz="6" w:space="0" w:color="auto"/>
              <w:left w:val="nil" w:sz="6" w:space="0" w:color="auto"/>
              <w:bottom w:val="single" w:sz="4" w:space="0" w:color="000000"/>
              <w:right w:val="nil" w:sz="6" w:space="0" w:color="auto"/>
            </w:tcBorders>
          </w:tcPr>
          <w:p>
            <w:pPr>
              <w:pStyle w:val="TableParagraph"/>
              <w:spacing w:line="151" w:lineRule="exact"/>
              <w:ind w:right="43"/>
              <w:jc w:val="center"/>
              <w:rPr>
                <w:rFonts w:ascii="宋体" w:hAnsi="宋体" w:cs="宋体" w:eastAsia="宋体" w:hint="default"/>
                <w:sz w:val="15"/>
                <w:szCs w:val="15"/>
              </w:rPr>
            </w:pPr>
            <w:r>
              <w:rPr>
                <w:rFonts w:ascii="宋体" w:hAnsi="宋体" w:cs="宋体" w:eastAsia="宋体" w:hint="default"/>
                <w:b/>
                <w:bCs/>
                <w:sz w:val="15"/>
                <w:szCs w:val="15"/>
              </w:rPr>
              <w:t>本期新增补</w:t>
            </w:r>
            <w:r>
              <w:rPr>
                <w:rFonts w:ascii="宋体" w:hAnsi="宋体" w:cs="宋体" w:eastAsia="宋体" w:hint="default"/>
                <w:sz w:val="15"/>
                <w:szCs w:val="15"/>
              </w:rPr>
            </w:r>
          </w:p>
          <w:p>
            <w:pPr>
              <w:pStyle w:val="TableParagraph"/>
              <w:spacing w:line="240" w:lineRule="auto" w:before="123"/>
              <w:ind w:right="43"/>
              <w:jc w:val="center"/>
              <w:rPr>
                <w:rFonts w:ascii="宋体" w:hAnsi="宋体" w:cs="宋体" w:eastAsia="宋体" w:hint="default"/>
                <w:sz w:val="15"/>
                <w:szCs w:val="15"/>
              </w:rPr>
            </w:pPr>
            <w:r>
              <w:rPr>
                <w:rFonts w:ascii="宋体" w:hAnsi="宋体" w:cs="宋体" w:eastAsia="宋体" w:hint="default"/>
                <w:b/>
                <w:bCs/>
                <w:sz w:val="15"/>
                <w:szCs w:val="15"/>
              </w:rPr>
              <w:t>助金额</w:t>
            </w:r>
            <w:r>
              <w:rPr>
                <w:rFonts w:ascii="宋体" w:hAnsi="宋体" w:cs="宋体" w:eastAsia="宋体" w:hint="default"/>
                <w:sz w:val="15"/>
                <w:szCs w:val="15"/>
              </w:rPr>
            </w:r>
          </w:p>
        </w:tc>
        <w:tc>
          <w:tcPr>
            <w:tcW w:w="1216" w:type="dxa"/>
            <w:tcBorders>
              <w:top w:val="nil" w:sz="6" w:space="0" w:color="auto"/>
              <w:left w:val="nil" w:sz="6" w:space="0" w:color="auto"/>
              <w:bottom w:val="single" w:sz="4" w:space="0" w:color="000000"/>
              <w:right w:val="nil" w:sz="6" w:space="0" w:color="auto"/>
            </w:tcBorders>
          </w:tcPr>
          <w:p>
            <w:pPr>
              <w:pStyle w:val="TableParagraph"/>
              <w:spacing w:line="151" w:lineRule="exact"/>
              <w:ind w:left="212" w:right="0" w:hanging="75"/>
              <w:jc w:val="left"/>
              <w:rPr>
                <w:rFonts w:ascii="宋体" w:hAnsi="宋体" w:cs="宋体" w:eastAsia="宋体" w:hint="default"/>
                <w:sz w:val="15"/>
                <w:szCs w:val="15"/>
              </w:rPr>
            </w:pPr>
            <w:r>
              <w:rPr>
                <w:rFonts w:ascii="宋体" w:hAnsi="宋体" w:cs="宋体" w:eastAsia="宋体" w:hint="default"/>
                <w:b/>
                <w:bCs/>
                <w:sz w:val="15"/>
                <w:szCs w:val="15"/>
              </w:rPr>
              <w:t>本期计入营业</w:t>
            </w:r>
            <w:r>
              <w:rPr>
                <w:rFonts w:ascii="宋体" w:hAnsi="宋体" w:cs="宋体" w:eastAsia="宋体" w:hint="default"/>
                <w:sz w:val="15"/>
                <w:szCs w:val="15"/>
              </w:rPr>
            </w:r>
          </w:p>
          <w:p>
            <w:pPr>
              <w:pStyle w:val="TableParagraph"/>
              <w:spacing w:line="240" w:lineRule="auto" w:before="123"/>
              <w:ind w:left="212" w:right="0"/>
              <w:jc w:val="left"/>
              <w:rPr>
                <w:rFonts w:ascii="宋体" w:hAnsi="宋体" w:cs="宋体" w:eastAsia="宋体" w:hint="default"/>
                <w:sz w:val="15"/>
                <w:szCs w:val="15"/>
              </w:rPr>
            </w:pPr>
            <w:r>
              <w:rPr>
                <w:rFonts w:ascii="宋体" w:hAnsi="宋体" w:cs="宋体" w:eastAsia="宋体" w:hint="default"/>
                <w:b/>
                <w:bCs/>
                <w:sz w:val="15"/>
                <w:szCs w:val="15"/>
              </w:rPr>
              <w:t>外收入金额</w:t>
            </w:r>
            <w:r>
              <w:rPr>
                <w:rFonts w:ascii="宋体" w:hAnsi="宋体" w:cs="宋体" w:eastAsia="宋体" w:hint="default"/>
                <w:sz w:val="15"/>
                <w:szCs w:val="15"/>
              </w:rPr>
            </w:r>
          </w:p>
        </w:tc>
        <w:tc>
          <w:tcPr>
            <w:tcW w:w="846"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108" w:right="0"/>
              <w:jc w:val="left"/>
              <w:rPr>
                <w:rFonts w:ascii="宋体" w:hAnsi="宋体" w:cs="宋体" w:eastAsia="宋体" w:hint="default"/>
                <w:sz w:val="15"/>
                <w:szCs w:val="15"/>
              </w:rPr>
            </w:pPr>
            <w:r>
              <w:rPr>
                <w:rFonts w:ascii="宋体" w:hAnsi="宋体" w:cs="宋体" w:eastAsia="宋体" w:hint="default"/>
                <w:b/>
                <w:bCs/>
                <w:sz w:val="15"/>
                <w:szCs w:val="15"/>
              </w:rPr>
              <w:t>其他变动</w:t>
            </w:r>
            <w:r>
              <w:rPr>
                <w:rFonts w:ascii="宋体" w:hAnsi="宋体" w:cs="宋体" w:eastAsia="宋体" w:hint="default"/>
                <w:sz w:val="15"/>
                <w:szCs w:val="15"/>
              </w:rPr>
            </w:r>
          </w:p>
        </w:tc>
        <w:tc>
          <w:tcPr>
            <w:tcW w:w="901"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28"/>
              <w:jc w:val="center"/>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1042" w:type="dxa"/>
            <w:tcBorders>
              <w:top w:val="nil" w:sz="6" w:space="0" w:color="auto"/>
              <w:left w:val="nil" w:sz="6" w:space="0" w:color="auto"/>
              <w:bottom w:val="single" w:sz="4" w:space="0" w:color="000000"/>
              <w:right w:val="nil" w:sz="6" w:space="0" w:color="auto"/>
            </w:tcBorders>
          </w:tcPr>
          <w:p>
            <w:pPr>
              <w:pStyle w:val="TableParagraph"/>
              <w:spacing w:line="162" w:lineRule="exact"/>
              <w:ind w:left="137" w:right="0" w:hanging="20"/>
              <w:jc w:val="left"/>
              <w:rPr>
                <w:rFonts w:ascii="Times New Roman" w:hAnsi="Times New Roman" w:cs="Times New Roman" w:eastAsia="Times New Roman" w:hint="default"/>
                <w:sz w:val="15"/>
                <w:szCs w:val="15"/>
              </w:rPr>
            </w:pPr>
            <w:r>
              <w:rPr>
                <w:rFonts w:ascii="宋体" w:hAnsi="宋体" w:cs="宋体" w:eastAsia="宋体" w:hint="default"/>
                <w:b/>
                <w:bCs/>
                <w:sz w:val="15"/>
                <w:szCs w:val="15"/>
              </w:rPr>
              <w:t>与资产相关</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p>
            <w:pPr>
              <w:pStyle w:val="TableParagraph"/>
              <w:spacing w:line="240" w:lineRule="auto" w:before="111"/>
              <w:ind w:left="137" w:right="0"/>
              <w:jc w:val="left"/>
              <w:rPr>
                <w:rFonts w:ascii="宋体" w:hAnsi="宋体" w:cs="宋体" w:eastAsia="宋体" w:hint="default"/>
                <w:sz w:val="15"/>
                <w:szCs w:val="15"/>
              </w:rPr>
            </w:pPr>
            <w:r>
              <w:rPr>
                <w:rFonts w:ascii="宋体" w:hAnsi="宋体" w:cs="宋体" w:eastAsia="宋体" w:hint="default"/>
                <w:b/>
                <w:bCs/>
                <w:sz w:val="15"/>
                <w:szCs w:val="15"/>
              </w:rPr>
              <w:t>与收益相关</w:t>
            </w:r>
            <w:r>
              <w:rPr>
                <w:rFonts w:ascii="宋体" w:hAnsi="宋体" w:cs="宋体" w:eastAsia="宋体" w:hint="default"/>
                <w:sz w:val="15"/>
                <w:szCs w:val="15"/>
              </w:rPr>
            </w:r>
          </w:p>
        </w:tc>
      </w:tr>
      <w:tr>
        <w:trPr>
          <w:trHeight w:val="403" w:hRule="exact"/>
        </w:trPr>
        <w:tc>
          <w:tcPr>
            <w:tcW w:w="2814"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年中央文化产业发展专项资金</w:t>
            </w:r>
          </w:p>
        </w:tc>
        <w:tc>
          <w:tcPr>
            <w:tcW w:w="93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35" w:right="0"/>
              <w:jc w:val="left"/>
              <w:rPr>
                <w:rFonts w:ascii="Times New Roman" w:hAnsi="Times New Roman" w:cs="Times New Roman" w:eastAsia="Times New Roman" w:hint="default"/>
                <w:sz w:val="13"/>
                <w:szCs w:val="13"/>
              </w:rPr>
            </w:pPr>
            <w:r>
              <w:rPr>
                <w:rFonts w:ascii="Times New Roman"/>
                <w:sz w:val="13"/>
              </w:rPr>
              <w:t>1,666,666.67</w:t>
            </w:r>
          </w:p>
        </w:tc>
        <w:tc>
          <w:tcPr>
            <w:tcW w:w="1039" w:type="dxa"/>
            <w:tcBorders>
              <w:top w:val="single" w:sz="4" w:space="0" w:color="000000"/>
              <w:left w:val="nil" w:sz="6" w:space="0" w:color="auto"/>
              <w:bottom w:val="nil" w:sz="6" w:space="0" w:color="auto"/>
              <w:right w:val="nil" w:sz="6" w:space="0" w:color="auto"/>
            </w:tcBorders>
          </w:tcPr>
          <w:p>
            <w:pPr/>
          </w:p>
        </w:tc>
        <w:tc>
          <w:tcPr>
            <w:tcW w:w="121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1,666,666.67</w:t>
            </w:r>
          </w:p>
        </w:tc>
        <w:tc>
          <w:tcPr>
            <w:tcW w:w="846" w:type="dxa"/>
            <w:tcBorders>
              <w:top w:val="single" w:sz="4" w:space="0" w:color="000000"/>
              <w:left w:val="nil" w:sz="6" w:space="0" w:color="auto"/>
              <w:bottom w:val="nil" w:sz="6" w:space="0" w:color="auto"/>
              <w:right w:val="nil" w:sz="6" w:space="0" w:color="auto"/>
            </w:tcBorders>
          </w:tcPr>
          <w:p>
            <w:pPr/>
          </w:p>
        </w:tc>
        <w:tc>
          <w:tcPr>
            <w:tcW w:w="901" w:type="dxa"/>
            <w:tcBorders>
              <w:top w:val="single" w:sz="4" w:space="0" w:color="000000"/>
              <w:left w:val="nil" w:sz="6" w:space="0" w:color="auto"/>
              <w:bottom w:val="nil" w:sz="6" w:space="0" w:color="auto"/>
              <w:right w:val="nil" w:sz="6" w:space="0" w:color="auto"/>
            </w:tcBorders>
          </w:tcPr>
          <w:p>
            <w:pPr/>
          </w:p>
        </w:tc>
        <w:tc>
          <w:tcPr>
            <w:tcW w:w="1042"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146"/>
              <w:jc w:val="right"/>
              <w:rPr>
                <w:rFonts w:ascii="宋体" w:hAnsi="宋体" w:cs="宋体" w:eastAsia="宋体" w:hint="default"/>
                <w:sz w:val="15"/>
                <w:szCs w:val="15"/>
              </w:rPr>
            </w:pPr>
            <w:r>
              <w:rPr>
                <w:rFonts w:ascii="宋体" w:hAnsi="宋体" w:cs="宋体" w:eastAsia="宋体" w:hint="default"/>
                <w:spacing w:val="-1"/>
                <w:sz w:val="15"/>
                <w:szCs w:val="15"/>
              </w:rPr>
              <w:t>与收益相关</w:t>
            </w:r>
          </w:p>
        </w:tc>
      </w:tr>
      <w:tr>
        <w:trPr>
          <w:trHeight w:val="664"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424" w:lineRule="auto" w:before="69"/>
              <w:ind w:left="107" w:right="186"/>
              <w:jc w:val="left"/>
              <w:rPr>
                <w:rFonts w:ascii="宋体" w:hAnsi="宋体" w:cs="宋体" w:eastAsia="宋体" w:hint="default"/>
                <w:sz w:val="13"/>
                <w:szCs w:val="13"/>
              </w:rPr>
            </w:pPr>
            <w:r>
              <w:rPr>
                <w:rFonts w:ascii="宋体" w:hAnsi="宋体" w:cs="宋体" w:eastAsia="宋体" w:hint="default"/>
                <w:sz w:val="13"/>
                <w:szCs w:val="13"/>
              </w:rPr>
              <w:t>湖南省</w:t>
            </w:r>
            <w:r>
              <w:rPr>
                <w:rFonts w:ascii="宋体" w:hAnsi="宋体" w:cs="宋体" w:eastAsia="宋体" w:hint="default"/>
                <w:spacing w:val="-43"/>
                <w:sz w:val="13"/>
                <w:szCs w:val="13"/>
              </w:rPr>
              <w:t> </w:t>
            </w:r>
            <w:r>
              <w:rPr>
                <w:rFonts w:ascii="Times New Roman" w:hAnsi="Times New Roman" w:cs="Times New Roman" w:eastAsia="Times New Roman" w:hint="default"/>
                <w:sz w:val="13"/>
                <w:szCs w:val="13"/>
              </w:rPr>
              <w:t>2015</w:t>
            </w:r>
            <w:r>
              <w:rPr>
                <w:rFonts w:ascii="Times New Roman" w:hAnsi="Times New Roman" w:cs="Times New Roman" w:eastAsia="Times New Roman" w:hint="default"/>
                <w:spacing w:val="-10"/>
                <w:sz w:val="13"/>
                <w:szCs w:val="13"/>
              </w:rPr>
              <w:t> </w:t>
            </w:r>
            <w:r>
              <w:rPr>
                <w:rFonts w:ascii="宋体" w:hAnsi="宋体" w:cs="宋体" w:eastAsia="宋体" w:hint="default"/>
                <w:sz w:val="13"/>
                <w:szCs w:val="13"/>
              </w:rPr>
              <w:t>年第一批移动互联网产业发展专</w:t>
            </w:r>
            <w:r>
              <w:rPr>
                <w:rFonts w:ascii="宋体" w:hAnsi="宋体" w:cs="宋体" w:eastAsia="宋体" w:hint="default"/>
                <w:w w:val="99"/>
                <w:sz w:val="13"/>
                <w:szCs w:val="13"/>
              </w:rPr>
              <w:t> </w:t>
            </w:r>
            <w:r>
              <w:rPr>
                <w:rFonts w:ascii="宋体" w:hAnsi="宋体" w:cs="宋体" w:eastAsia="宋体" w:hint="default"/>
                <w:sz w:val="13"/>
                <w:szCs w:val="13"/>
              </w:rPr>
              <w:t>项资金（足球大逆袭项目）</w:t>
            </w:r>
          </w:p>
        </w:tc>
        <w:tc>
          <w:tcPr>
            <w:tcW w:w="938"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right="138"/>
              <w:jc w:val="right"/>
              <w:rPr>
                <w:rFonts w:ascii="Times New Roman" w:hAnsi="Times New Roman" w:cs="Times New Roman" w:eastAsia="Times New Roman" w:hint="default"/>
                <w:sz w:val="13"/>
                <w:szCs w:val="13"/>
              </w:rPr>
            </w:pPr>
            <w:r>
              <w:rPr>
                <w:rFonts w:ascii="Times New Roman"/>
                <w:sz w:val="13"/>
              </w:rPr>
              <w:t>500,000.00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right="108"/>
              <w:jc w:val="right"/>
              <w:rPr>
                <w:rFonts w:ascii="Times New Roman" w:hAnsi="Times New Roman" w:cs="Times New Roman" w:eastAsia="Times New Roman" w:hint="default"/>
                <w:sz w:val="13"/>
                <w:szCs w:val="13"/>
              </w:rPr>
            </w:pPr>
            <w:r>
              <w:rPr>
                <w:rFonts w:ascii="Times New Roman"/>
                <w:sz w:val="13"/>
              </w:rPr>
              <w:t>250,000.00</w:t>
            </w:r>
          </w:p>
        </w:tc>
        <w:tc>
          <w:tcPr>
            <w:tcW w:w="846"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left="79" w:right="0"/>
              <w:jc w:val="center"/>
              <w:rPr>
                <w:rFonts w:ascii="Times New Roman" w:hAnsi="Times New Roman" w:cs="Times New Roman" w:eastAsia="Times New Roman" w:hint="default"/>
                <w:sz w:val="13"/>
                <w:szCs w:val="13"/>
              </w:rPr>
            </w:pPr>
            <w:r>
              <w:rPr>
                <w:rFonts w:ascii="Times New Roman"/>
                <w:sz w:val="13"/>
              </w:rPr>
              <w:t>250,000.00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46"/>
              <w:jc w:val="right"/>
              <w:rPr>
                <w:rFonts w:ascii="宋体" w:hAnsi="宋体" w:cs="宋体" w:eastAsia="宋体" w:hint="default"/>
                <w:sz w:val="15"/>
                <w:szCs w:val="15"/>
              </w:rPr>
            </w:pPr>
            <w:r>
              <w:rPr>
                <w:rFonts w:ascii="宋体" w:hAnsi="宋体" w:cs="宋体" w:eastAsia="宋体" w:hint="default"/>
                <w:spacing w:val="-1"/>
                <w:sz w:val="15"/>
                <w:szCs w:val="15"/>
              </w:rPr>
              <w:t>与收益相关</w:t>
            </w:r>
          </w:p>
        </w:tc>
      </w:tr>
      <w:tr>
        <w:trPr>
          <w:trHeight w:val="364"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2015</w:t>
            </w:r>
            <w:r>
              <w:rPr>
                <w:rFonts w:ascii="Times New Roman" w:hAnsi="Times New Roman" w:cs="Times New Roman" w:eastAsia="Times New Roman" w:hint="default"/>
                <w:spacing w:val="5"/>
                <w:sz w:val="13"/>
                <w:szCs w:val="13"/>
              </w:rPr>
              <w:t> </w:t>
            </w:r>
            <w:r>
              <w:rPr>
                <w:rFonts w:ascii="宋体" w:hAnsi="宋体" w:cs="宋体" w:eastAsia="宋体" w:hint="default"/>
                <w:spacing w:val="-3"/>
                <w:sz w:val="13"/>
                <w:szCs w:val="13"/>
              </w:rPr>
              <w:t>年文化产业引导资金（话剧进校园项目）</w:t>
            </w:r>
          </w:p>
        </w:tc>
        <w:tc>
          <w:tcPr>
            <w:tcW w:w="938"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8"/>
                <w:szCs w:val="8"/>
              </w:rPr>
            </w:pPr>
          </w:p>
          <w:p>
            <w:pPr>
              <w:pStyle w:val="TableParagraph"/>
              <w:spacing w:line="240" w:lineRule="auto"/>
              <w:ind w:right="138"/>
              <w:jc w:val="right"/>
              <w:rPr>
                <w:rFonts w:ascii="Times New Roman" w:hAnsi="Times New Roman" w:cs="Times New Roman" w:eastAsia="Times New Roman" w:hint="default"/>
                <w:sz w:val="13"/>
                <w:szCs w:val="13"/>
              </w:rPr>
            </w:pPr>
            <w:r>
              <w:rPr>
                <w:rFonts w:ascii="Times New Roman"/>
                <w:sz w:val="13"/>
              </w:rPr>
              <w:t>500,000.00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8"/>
                <w:szCs w:val="8"/>
              </w:rPr>
            </w:pPr>
          </w:p>
          <w:p>
            <w:pPr>
              <w:pStyle w:val="TableParagraph"/>
              <w:spacing w:line="240" w:lineRule="auto"/>
              <w:ind w:right="108"/>
              <w:jc w:val="right"/>
              <w:rPr>
                <w:rFonts w:ascii="Times New Roman" w:hAnsi="Times New Roman" w:cs="Times New Roman" w:eastAsia="Times New Roman" w:hint="default"/>
                <w:sz w:val="13"/>
                <w:szCs w:val="13"/>
              </w:rPr>
            </w:pPr>
            <w:r>
              <w:rPr>
                <w:rFonts w:ascii="Times New Roman"/>
                <w:sz w:val="13"/>
              </w:rPr>
              <w:t>250,000.00</w:t>
            </w:r>
          </w:p>
        </w:tc>
        <w:tc>
          <w:tcPr>
            <w:tcW w:w="846"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8"/>
                <w:szCs w:val="8"/>
              </w:rPr>
            </w:pPr>
          </w:p>
          <w:p>
            <w:pPr>
              <w:pStyle w:val="TableParagraph"/>
              <w:spacing w:line="240" w:lineRule="auto"/>
              <w:ind w:left="79" w:right="0"/>
              <w:jc w:val="center"/>
              <w:rPr>
                <w:rFonts w:ascii="Times New Roman" w:hAnsi="Times New Roman" w:cs="Times New Roman" w:eastAsia="Times New Roman" w:hint="default"/>
                <w:sz w:val="13"/>
                <w:szCs w:val="13"/>
              </w:rPr>
            </w:pPr>
            <w:r>
              <w:rPr>
                <w:rFonts w:ascii="Times New Roman"/>
                <w:sz w:val="13"/>
              </w:rPr>
              <w:t>250,000.00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6"/>
              <w:jc w:val="right"/>
              <w:rPr>
                <w:rFonts w:ascii="宋体" w:hAnsi="宋体" w:cs="宋体" w:eastAsia="宋体" w:hint="default"/>
                <w:sz w:val="15"/>
                <w:szCs w:val="15"/>
              </w:rPr>
            </w:pPr>
            <w:r>
              <w:rPr>
                <w:rFonts w:ascii="宋体" w:hAnsi="宋体" w:cs="宋体" w:eastAsia="宋体" w:hint="default"/>
                <w:spacing w:val="-1"/>
                <w:sz w:val="15"/>
                <w:szCs w:val="15"/>
              </w:rPr>
              <w:t>与收益相关</w:t>
            </w:r>
          </w:p>
        </w:tc>
      </w:tr>
      <w:tr>
        <w:trPr>
          <w:trHeight w:val="258"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6"/>
              <w:jc w:val="center"/>
              <w:rPr>
                <w:rFonts w:ascii="宋体" w:hAnsi="宋体" w:cs="宋体" w:eastAsia="宋体" w:hint="default"/>
                <w:sz w:val="15"/>
                <w:szCs w:val="15"/>
              </w:rPr>
            </w:pPr>
            <w:r>
              <w:rPr>
                <w:rFonts w:ascii="宋体" w:hAnsi="宋体" w:cs="宋体" w:eastAsia="宋体" w:hint="default"/>
                <w:sz w:val="15"/>
                <w:szCs w:val="15"/>
              </w:rPr>
              <w:t>合计</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35"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1,666,666.67</w:t>
            </w:r>
            <w:r>
              <w:rPr>
                <w:rFonts w:ascii="Times New Roman"/>
                <w:sz w:val="13"/>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36"/>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1,000,000.00</w:t>
            </w:r>
            <w:r>
              <w:rPr>
                <w:rFonts w:ascii="Times New Roman"/>
                <w:sz w:val="13"/>
              </w:rPr>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2,166,666.67</w:t>
            </w:r>
            <w:r>
              <w:rPr>
                <w:rFonts w:ascii="Times New Roman"/>
                <w:sz w:val="13"/>
              </w:rPr>
            </w:r>
          </w:p>
        </w:tc>
        <w:tc>
          <w:tcPr>
            <w:tcW w:w="846"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79" w:right="0"/>
              <w:jc w:val="center"/>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500,000.00</w:t>
            </w:r>
            <w:r>
              <w:rPr>
                <w:rFonts w:ascii="Times New Roman"/>
                <w:sz w:val="13"/>
              </w:rPr>
            </w:r>
          </w:p>
        </w:tc>
        <w:tc>
          <w:tcPr>
            <w:tcW w:w="1042"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29"/>
          <w:szCs w:val="29"/>
        </w:rPr>
      </w:pPr>
    </w:p>
    <w:p>
      <w:pPr>
        <w:pStyle w:val="BodyText"/>
        <w:spacing w:line="352" w:lineRule="auto" w:before="44"/>
        <w:ind w:left="500" w:right="407" w:firstLine="359"/>
        <w:jc w:val="left"/>
      </w:pPr>
      <w:r>
        <w:rPr>
          <w:spacing w:val="1"/>
        </w:rPr>
        <w:t>（</w:t>
      </w:r>
      <w:r>
        <w:rPr>
          <w:rFonts w:ascii="Times New Roman" w:hAnsi="Times New Roman" w:cs="Times New Roman" w:eastAsia="Times New Roman" w:hint="default"/>
          <w:spacing w:val="1"/>
        </w:rPr>
        <w:t>3</w:t>
      </w:r>
      <w:r>
        <w:rPr>
          <w:spacing w:val="1"/>
        </w:rPr>
        <w:t>）根据《湖南省财政厅关于下达</w:t>
      </w:r>
      <w:r>
        <w:rPr>
          <w:rFonts w:ascii="Times New Roman" w:hAnsi="Times New Roman" w:cs="Times New Roman" w:eastAsia="Times New Roman" w:hint="default"/>
          <w:spacing w:val="1"/>
        </w:rPr>
        <w:t>2013</w:t>
      </w:r>
      <w:r>
        <w:rPr>
          <w:spacing w:val="1"/>
        </w:rPr>
        <w:t>年中央文化产业发展专项资金的通知》（湘财文资指</w:t>
      </w:r>
      <w:r>
        <w:rPr>
          <w:rFonts w:ascii="Times New Roman" w:hAnsi="Times New Roman" w:cs="Times New Roman" w:eastAsia="Times New Roman" w:hint="default"/>
          <w:spacing w:val="1"/>
        </w:rPr>
        <w:t>[2013]4</w:t>
      </w:r>
      <w:r>
        <w:rPr>
          <w:rFonts w:ascii="Times New Roman" w:hAnsi="Times New Roman" w:cs="Times New Roman" w:eastAsia="Times New Roman" w:hint="default"/>
        </w:rPr>
        <w:t> </w:t>
      </w:r>
      <w:r>
        <w:rPr>
          <w:spacing w:val="-3"/>
        </w:rPr>
        <w:t>号），公司收到</w:t>
      </w:r>
      <w:r>
        <w:rPr>
          <w:rFonts w:ascii="Times New Roman" w:hAnsi="Times New Roman" w:cs="Times New Roman" w:eastAsia="Times New Roman" w:hint="default"/>
          <w:spacing w:val="-3"/>
        </w:rPr>
        <w:t>2013</w:t>
      </w:r>
      <w:r>
        <w:rPr>
          <w:spacing w:val="-3"/>
        </w:rPr>
        <w:t>年中央文化产业发展专项资金</w:t>
      </w:r>
      <w:r>
        <w:rPr>
          <w:rFonts w:ascii="Times New Roman" w:hAnsi="Times New Roman" w:cs="Times New Roman" w:eastAsia="Times New Roman" w:hint="default"/>
          <w:spacing w:val="-3"/>
        </w:rPr>
        <w:t>500</w:t>
      </w:r>
      <w:r>
        <w:rPr>
          <w:spacing w:val="-3"/>
        </w:rPr>
        <w:t>万元，补贴项目为未来教室</w:t>
      </w:r>
      <w:r>
        <w:rPr>
          <w:rFonts w:ascii="Times New Roman" w:hAnsi="Times New Roman" w:cs="Times New Roman" w:eastAsia="Times New Roman" w:hint="default"/>
          <w:spacing w:val="-3"/>
        </w:rPr>
        <w:t>-</w:t>
      </w:r>
      <w:r>
        <w:rPr>
          <w:spacing w:val="-3"/>
        </w:rPr>
        <w:t>云教育平台项目，属递延</w:t>
      </w:r>
      <w:r>
        <w:rPr>
          <w:spacing w:val="-67"/>
        </w:rPr>
        <w:t> </w:t>
      </w:r>
      <w:r>
        <w:rPr>
          <w:spacing w:val="-67"/>
        </w:rPr>
      </w:r>
      <w:r>
        <w:rPr>
          <w:spacing w:val="-2"/>
        </w:rPr>
        <w:t>收益。该项目从</w:t>
      </w:r>
      <w:r>
        <w:rPr>
          <w:rFonts w:ascii="Times New Roman" w:hAnsi="Times New Roman" w:cs="Times New Roman" w:eastAsia="Times New Roman" w:hint="default"/>
          <w:spacing w:val="-2"/>
        </w:rPr>
        <w:t>2012</w:t>
      </w:r>
      <w:r>
        <w:rPr>
          <w:spacing w:val="-2"/>
        </w:rPr>
        <w:t>年下半年开始进行前期研究阶段，</w:t>
      </w:r>
      <w:r>
        <w:rPr>
          <w:rFonts w:ascii="Times New Roman" w:hAnsi="Times New Roman" w:cs="Times New Roman" w:eastAsia="Times New Roman" w:hint="default"/>
          <w:spacing w:val="-2"/>
        </w:rPr>
        <w:t>2013</w:t>
      </w:r>
      <w:r>
        <w:rPr>
          <w:spacing w:val="-2"/>
        </w:rPr>
        <w:t>年进入开发、实验阶段，预计分三年投入研发，</w:t>
      </w:r>
      <w:r>
        <w:rPr>
          <w:spacing w:val="-58"/>
        </w:rPr>
        <w:t> </w:t>
      </w:r>
      <w:r>
        <w:rPr>
          <w:spacing w:val="-58"/>
        </w:rPr>
      </w:r>
      <w:r>
        <w:rPr/>
        <w:t>投入后不会形成相关对应资产，因此将取得的政府补贴分三年平均分摊转入损益，本期转入营业外收入金</w:t>
      </w:r>
      <w:r>
        <w:rPr>
          <w:spacing w:val="-71"/>
        </w:rPr>
        <w:t> </w:t>
      </w:r>
      <w:r>
        <w:rPr>
          <w:spacing w:val="-71"/>
        </w:rPr>
      </w:r>
      <w:r>
        <w:rPr/>
        <w:t>额为</w:t>
      </w:r>
      <w:r>
        <w:rPr>
          <w:rFonts w:ascii="Times New Roman" w:hAnsi="Times New Roman" w:cs="Times New Roman" w:eastAsia="Times New Roman" w:hint="default"/>
        </w:rPr>
        <w:t>166.66</w:t>
      </w:r>
      <w:r>
        <w:rPr/>
        <w:t>万元。</w:t>
      </w:r>
    </w:p>
    <w:p>
      <w:pPr>
        <w:spacing w:line="240" w:lineRule="auto" w:before="3"/>
        <w:rPr>
          <w:rFonts w:ascii="宋体" w:hAnsi="宋体" w:cs="宋体" w:eastAsia="宋体" w:hint="default"/>
          <w:sz w:val="13"/>
          <w:szCs w:val="13"/>
        </w:rPr>
      </w:pPr>
    </w:p>
    <w:p>
      <w:pPr>
        <w:pStyle w:val="BodyText"/>
        <w:spacing w:line="345" w:lineRule="auto"/>
        <w:ind w:left="500" w:right="496" w:firstLine="359"/>
        <w:jc w:val="both"/>
      </w:pPr>
      <w:r>
        <w:rPr/>
        <w:t>（</w:t>
      </w:r>
      <w:r>
        <w:rPr>
          <w:rFonts w:ascii="Times New Roman" w:hAnsi="Times New Roman" w:cs="Times New Roman" w:eastAsia="Times New Roman" w:hint="default"/>
        </w:rPr>
        <w:t>4</w:t>
      </w:r>
      <w:r>
        <w:rPr/>
        <w:t>）根据长财企指</w:t>
      </w:r>
      <w:r>
        <w:rPr>
          <w:rFonts w:ascii="Times New Roman" w:hAnsi="Times New Roman" w:cs="Times New Roman" w:eastAsia="Times New Roman" w:hint="default"/>
        </w:rPr>
        <w:t>[2015]69</w:t>
      </w:r>
      <w:r>
        <w:rPr/>
        <w:t>号关于下达湖南省</w:t>
      </w:r>
      <w:r>
        <w:rPr>
          <w:rFonts w:ascii="Times New Roman" w:hAnsi="Times New Roman" w:cs="Times New Roman" w:eastAsia="Times New Roman" w:hint="default"/>
        </w:rPr>
        <w:t>2015</w:t>
      </w:r>
      <w:r>
        <w:rPr/>
        <w:t>年第一批移动互联网产业发展专项资金的通知，公 司收到</w:t>
      </w:r>
      <w:r>
        <w:rPr>
          <w:rFonts w:ascii="Times New Roman" w:hAnsi="Times New Roman" w:cs="Times New Roman" w:eastAsia="Times New Roman" w:hint="default"/>
        </w:rPr>
        <w:t>2015</w:t>
      </w:r>
      <w:r>
        <w:rPr/>
        <w:t>年互联网产业发展专项资金</w:t>
      </w:r>
      <w:r>
        <w:rPr>
          <w:rFonts w:ascii="Times New Roman" w:hAnsi="Times New Roman" w:cs="Times New Roman" w:eastAsia="Times New Roman" w:hint="default"/>
        </w:rPr>
        <w:t>50</w:t>
      </w:r>
      <w:r>
        <w:rPr/>
        <w:t>万元，补贴项目为足球大逆袭项目，属递延收益，本期根据项目</w:t>
      </w:r>
      <w:r>
        <w:rPr>
          <w:spacing w:val="-71"/>
        </w:rPr>
        <w:t> </w:t>
      </w:r>
      <w:r>
        <w:rPr>
          <w:spacing w:val="-71"/>
        </w:rPr>
      </w:r>
      <w:r>
        <w:rPr/>
        <w:t>实施进度结转</w:t>
      </w:r>
      <w:r>
        <w:rPr>
          <w:rFonts w:ascii="Times New Roman" w:hAnsi="Times New Roman" w:cs="Times New Roman" w:eastAsia="Times New Roman" w:hint="default"/>
        </w:rPr>
        <w:t>25</w:t>
      </w:r>
      <w:r>
        <w:rPr/>
        <w:t>万元到营业外收入。</w:t>
      </w:r>
    </w:p>
    <w:p>
      <w:pPr>
        <w:spacing w:line="240" w:lineRule="auto" w:before="9"/>
        <w:rPr>
          <w:rFonts w:ascii="宋体" w:hAnsi="宋体" w:cs="宋体" w:eastAsia="宋体" w:hint="default"/>
          <w:sz w:val="13"/>
          <w:szCs w:val="13"/>
        </w:rPr>
      </w:pPr>
    </w:p>
    <w:p>
      <w:pPr>
        <w:pStyle w:val="BodyText"/>
        <w:spacing w:line="348" w:lineRule="auto"/>
        <w:ind w:left="500" w:right="495" w:firstLine="359"/>
        <w:jc w:val="both"/>
      </w:pPr>
      <w:r>
        <w:rPr>
          <w:spacing w:val="-1"/>
        </w:rPr>
        <w:t>（</w:t>
      </w:r>
      <w:r>
        <w:rPr>
          <w:rFonts w:ascii="Times New Roman" w:hAnsi="Times New Roman" w:cs="Times New Roman" w:eastAsia="Times New Roman" w:hint="default"/>
          <w:spacing w:val="-1"/>
        </w:rPr>
        <w:t>5</w:t>
      </w:r>
      <w:r>
        <w:rPr>
          <w:spacing w:val="-1"/>
        </w:rPr>
        <w:t>）根据长财教指</w:t>
      </w:r>
      <w:r>
        <w:rPr>
          <w:rFonts w:ascii="Times New Roman" w:hAnsi="Times New Roman" w:cs="Times New Roman" w:eastAsia="Times New Roman" w:hint="default"/>
          <w:spacing w:val="-1"/>
        </w:rPr>
        <w:t>[2015]36</w:t>
      </w:r>
      <w:r>
        <w:rPr>
          <w:spacing w:val="-1"/>
        </w:rPr>
        <w:t>号，关于下达</w:t>
      </w:r>
      <w:r>
        <w:rPr>
          <w:rFonts w:ascii="Times New Roman" w:hAnsi="Times New Roman" w:cs="Times New Roman" w:eastAsia="Times New Roman" w:hint="default"/>
          <w:spacing w:val="-1"/>
        </w:rPr>
        <w:t>2015</w:t>
      </w:r>
      <w:r>
        <w:rPr>
          <w:spacing w:val="-1"/>
        </w:rPr>
        <w:t>年文化产业引导资金的通知，公司收到</w:t>
      </w:r>
      <w:r>
        <w:rPr>
          <w:rFonts w:ascii="Times New Roman" w:hAnsi="Times New Roman" w:cs="Times New Roman" w:eastAsia="Times New Roman" w:hint="default"/>
          <w:spacing w:val="-1"/>
        </w:rPr>
        <w:t>2015</w:t>
      </w:r>
      <w:r>
        <w:rPr>
          <w:spacing w:val="-1"/>
        </w:rPr>
        <w:t>年文化产业</w:t>
      </w:r>
      <w:r>
        <w:rPr/>
        <w:t> 引导资金</w:t>
      </w:r>
      <w:r>
        <w:rPr>
          <w:rFonts w:ascii="Times New Roman" w:hAnsi="Times New Roman" w:cs="Times New Roman" w:eastAsia="Times New Roman" w:hint="default"/>
        </w:rPr>
        <w:t>50</w:t>
      </w:r>
      <w:r>
        <w:rPr/>
        <w:t>万元，补贴项目为话剧进校园项目，属递延收益，本期根据项目实施进度结转</w:t>
      </w:r>
      <w:r>
        <w:rPr>
          <w:rFonts w:ascii="Times New Roman" w:hAnsi="Times New Roman" w:cs="Times New Roman" w:eastAsia="Times New Roman" w:hint="default"/>
        </w:rPr>
        <w:t>25</w:t>
      </w:r>
      <w:r>
        <w:rPr/>
        <w:t>万元到营业外</w:t>
      </w:r>
      <w:r>
        <w:rPr>
          <w:spacing w:val="-70"/>
        </w:rPr>
        <w:t> </w:t>
      </w:r>
      <w:r>
        <w:rPr/>
        <w:t>收入。</w:t>
      </w:r>
    </w:p>
    <w:p>
      <w:pPr>
        <w:spacing w:line="240" w:lineRule="auto" w:before="8"/>
        <w:rPr>
          <w:rFonts w:ascii="宋体" w:hAnsi="宋体" w:cs="宋体" w:eastAsia="宋体" w:hint="default"/>
          <w:sz w:val="24"/>
          <w:szCs w:val="24"/>
        </w:rPr>
      </w:pPr>
    </w:p>
    <w:p>
      <w:pPr>
        <w:pStyle w:val="BodyText"/>
        <w:spacing w:line="240" w:lineRule="auto"/>
        <w:ind w:left="920" w:right="0"/>
        <w:jc w:val="left"/>
      </w:pPr>
      <w:r>
        <w:rPr>
          <w:rFonts w:ascii="Times New Roman" w:hAnsi="Times New Roman" w:cs="Times New Roman" w:eastAsia="Times New Roman" w:hint="default"/>
        </w:rPr>
        <w:t>24. </w:t>
      </w:r>
      <w:r>
        <w:rPr>
          <w:rFonts w:ascii="Times New Roman" w:hAnsi="Times New Roman" w:cs="Times New Roman" w:eastAsia="Times New Roman" w:hint="default"/>
          <w:spacing w:val="1"/>
        </w:rPr>
        <w:t> </w:t>
      </w:r>
      <w:r>
        <w:rPr/>
        <w:t>股本</w:t>
      </w:r>
    </w:p>
    <w:p>
      <w:pPr>
        <w:spacing w:line="240" w:lineRule="auto" w:before="4"/>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1805"/>
        <w:gridCol w:w="2098"/>
        <w:gridCol w:w="598"/>
        <w:gridCol w:w="1097"/>
        <w:gridCol w:w="1174"/>
        <w:gridCol w:w="1150"/>
        <w:gridCol w:w="1152"/>
      </w:tblGrid>
      <w:tr>
        <w:trPr>
          <w:trHeight w:val="181" w:hRule="exact"/>
        </w:trPr>
        <w:tc>
          <w:tcPr>
            <w:tcW w:w="1805"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
        </w:tc>
        <w:tc>
          <w:tcPr>
            <w:tcW w:w="2271" w:type="dxa"/>
            <w:gridSpan w:val="2"/>
            <w:tcBorders>
              <w:top w:val="nil" w:sz="6" w:space="0" w:color="auto"/>
              <w:left w:val="nil" w:sz="6" w:space="0" w:color="auto"/>
              <w:bottom w:val="nil" w:sz="6" w:space="0" w:color="auto"/>
              <w:right w:val="nil" w:sz="6" w:space="0" w:color="auto"/>
            </w:tcBorders>
          </w:tcPr>
          <w:p>
            <w:pPr>
              <w:pStyle w:val="TableParagraph"/>
              <w:spacing w:line="162" w:lineRule="exact"/>
              <w:ind w:left="191" w:right="0"/>
              <w:jc w:val="left"/>
              <w:rPr>
                <w:rFonts w:ascii="宋体" w:hAnsi="宋体" w:cs="宋体" w:eastAsia="宋体" w:hint="default"/>
                <w:sz w:val="15"/>
                <w:szCs w:val="15"/>
              </w:rPr>
            </w:pPr>
            <w:r>
              <w:rPr>
                <w:rFonts w:ascii="宋体" w:hAnsi="宋体" w:cs="宋体" w:eastAsia="宋体" w:hint="default"/>
                <w:b/>
                <w:bCs/>
                <w:sz w:val="15"/>
                <w:szCs w:val="15"/>
              </w:rPr>
              <w:t>本期增减变动（</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50"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r>
      <w:tr>
        <w:trPr>
          <w:trHeight w:val="196" w:hRule="exact"/>
        </w:trPr>
        <w:tc>
          <w:tcPr>
            <w:tcW w:w="1805" w:type="dxa"/>
            <w:tcBorders>
              <w:top w:val="nil" w:sz="6" w:space="0" w:color="auto"/>
              <w:left w:val="nil" w:sz="6" w:space="0" w:color="auto"/>
              <w:bottom w:val="nil" w:sz="6" w:space="0" w:color="auto"/>
              <w:right w:val="nil" w:sz="6" w:space="0" w:color="auto"/>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2098" w:type="dxa"/>
            <w:tcBorders>
              <w:top w:val="nil" w:sz="6" w:space="0" w:color="auto"/>
              <w:left w:val="nil" w:sz="6" w:space="0" w:color="auto"/>
              <w:bottom w:val="nil" w:sz="6" w:space="0" w:color="auto"/>
              <w:right w:val="nil" w:sz="6" w:space="0" w:color="auto"/>
            </w:tcBorders>
          </w:tcPr>
          <w:p>
            <w:pPr>
              <w:pStyle w:val="TableParagraph"/>
              <w:spacing w:line="172" w:lineRule="exact"/>
              <w:ind w:left="275"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59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172" w:lineRule="exact"/>
              <w:ind w:left="4" w:right="0"/>
              <w:jc w:val="center"/>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r>
      <w:tr>
        <w:trPr>
          <w:trHeight w:val="274" w:hRule="exact"/>
        </w:trPr>
        <w:tc>
          <w:tcPr>
            <w:tcW w:w="1805" w:type="dxa"/>
            <w:tcBorders>
              <w:top w:val="nil" w:sz="6" w:space="0" w:color="auto"/>
              <w:left w:val="nil" w:sz="6" w:space="0" w:color="auto"/>
              <w:bottom w:val="single" w:sz="4" w:space="0" w:color="000000"/>
              <w:right w:val="nil" w:sz="6" w:space="0" w:color="auto"/>
            </w:tcBorders>
          </w:tcPr>
          <w:p>
            <w:pPr/>
          </w:p>
        </w:tc>
        <w:tc>
          <w:tcPr>
            <w:tcW w:w="2098" w:type="dxa"/>
            <w:tcBorders>
              <w:top w:val="nil" w:sz="6" w:space="0" w:color="auto"/>
              <w:left w:val="nil" w:sz="6" w:space="0" w:color="auto"/>
              <w:bottom w:val="single" w:sz="4" w:space="0" w:color="000000"/>
              <w:right w:val="nil" w:sz="6" w:space="0" w:color="auto"/>
            </w:tcBorders>
          </w:tcPr>
          <w:p>
            <w:pPr>
              <w:pStyle w:val="TableParagraph"/>
              <w:spacing w:line="175" w:lineRule="exact"/>
              <w:ind w:left="1339" w:right="0"/>
              <w:jc w:val="left"/>
              <w:rPr>
                <w:rFonts w:ascii="宋体" w:hAnsi="宋体" w:cs="宋体" w:eastAsia="宋体" w:hint="default"/>
                <w:sz w:val="15"/>
                <w:szCs w:val="15"/>
              </w:rPr>
            </w:pPr>
            <w:r>
              <w:rPr>
                <w:rFonts w:ascii="宋体" w:hAnsi="宋体" w:cs="宋体" w:eastAsia="宋体" w:hint="default"/>
                <w:b/>
                <w:bCs/>
                <w:sz w:val="15"/>
                <w:szCs w:val="15"/>
              </w:rPr>
              <w:t>发行新股</w:t>
            </w:r>
            <w:r>
              <w:rPr>
                <w:rFonts w:ascii="宋体" w:hAnsi="宋体" w:cs="宋体" w:eastAsia="宋体" w:hint="default"/>
                <w:sz w:val="15"/>
                <w:szCs w:val="15"/>
              </w:rPr>
            </w:r>
          </w:p>
        </w:tc>
        <w:tc>
          <w:tcPr>
            <w:tcW w:w="598" w:type="dxa"/>
            <w:tcBorders>
              <w:top w:val="nil" w:sz="6" w:space="0" w:color="auto"/>
              <w:left w:val="nil" w:sz="6" w:space="0" w:color="auto"/>
              <w:bottom w:val="single" w:sz="4" w:space="0" w:color="000000"/>
              <w:right w:val="nil" w:sz="6" w:space="0" w:color="auto"/>
            </w:tcBorders>
          </w:tcPr>
          <w:p>
            <w:pPr>
              <w:pStyle w:val="TableParagraph"/>
              <w:spacing w:line="175" w:lineRule="exact"/>
              <w:ind w:left="153" w:right="0"/>
              <w:jc w:val="left"/>
              <w:rPr>
                <w:rFonts w:ascii="宋体" w:hAnsi="宋体" w:cs="宋体" w:eastAsia="宋体" w:hint="default"/>
                <w:sz w:val="15"/>
                <w:szCs w:val="15"/>
              </w:rPr>
            </w:pPr>
            <w:r>
              <w:rPr>
                <w:rFonts w:ascii="宋体" w:hAnsi="宋体" w:cs="宋体" w:eastAsia="宋体" w:hint="default"/>
                <w:b/>
                <w:bCs/>
                <w:sz w:val="15"/>
                <w:szCs w:val="15"/>
              </w:rPr>
              <w:t>送股</w:t>
            </w:r>
            <w:r>
              <w:rPr>
                <w:rFonts w:ascii="宋体" w:hAnsi="宋体" w:cs="宋体" w:eastAsia="宋体" w:hint="default"/>
                <w:sz w:val="15"/>
                <w:szCs w:val="15"/>
              </w:rPr>
            </w:r>
          </w:p>
        </w:tc>
        <w:tc>
          <w:tcPr>
            <w:tcW w:w="1097" w:type="dxa"/>
            <w:tcBorders>
              <w:top w:val="nil" w:sz="6" w:space="0" w:color="auto"/>
              <w:left w:val="nil" w:sz="6" w:space="0" w:color="auto"/>
              <w:bottom w:val="single" w:sz="4" w:space="0" w:color="000000"/>
              <w:right w:val="nil" w:sz="6" w:space="0" w:color="auto"/>
            </w:tcBorders>
          </w:tcPr>
          <w:p>
            <w:pPr>
              <w:pStyle w:val="TableParagraph"/>
              <w:spacing w:line="175" w:lineRule="exact"/>
              <w:ind w:right="197"/>
              <w:jc w:val="right"/>
              <w:rPr>
                <w:rFonts w:ascii="宋体" w:hAnsi="宋体" w:cs="宋体" w:eastAsia="宋体" w:hint="default"/>
                <w:sz w:val="15"/>
                <w:szCs w:val="15"/>
              </w:rPr>
            </w:pPr>
            <w:r>
              <w:rPr>
                <w:rFonts w:ascii="宋体" w:hAnsi="宋体" w:cs="宋体" w:eastAsia="宋体" w:hint="default"/>
                <w:b/>
                <w:bCs/>
                <w:sz w:val="15"/>
                <w:szCs w:val="15"/>
              </w:rPr>
              <w:t>公积金转股</w:t>
            </w:r>
            <w:r>
              <w:rPr>
                <w:rFonts w:ascii="宋体" w:hAnsi="宋体" w:cs="宋体" w:eastAsia="宋体" w:hint="default"/>
                <w:sz w:val="15"/>
                <w:szCs w:val="15"/>
              </w:rPr>
            </w:r>
          </w:p>
        </w:tc>
        <w:tc>
          <w:tcPr>
            <w:tcW w:w="1174" w:type="dxa"/>
            <w:tcBorders>
              <w:top w:val="nil" w:sz="6" w:space="0" w:color="auto"/>
              <w:left w:val="nil" w:sz="6" w:space="0" w:color="auto"/>
              <w:bottom w:val="single" w:sz="4" w:space="0" w:color="000000"/>
              <w:right w:val="nil" w:sz="6" w:space="0" w:color="auto"/>
            </w:tcBorders>
          </w:tcPr>
          <w:p>
            <w:pPr>
              <w:pStyle w:val="TableParagraph"/>
              <w:spacing w:line="175" w:lineRule="exact"/>
              <w:ind w:right="44"/>
              <w:jc w:val="center"/>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sz w:val="15"/>
                <w:szCs w:val="15"/>
              </w:rPr>
            </w:r>
          </w:p>
        </w:tc>
        <w:tc>
          <w:tcPr>
            <w:tcW w:w="1150" w:type="dxa"/>
            <w:tcBorders>
              <w:top w:val="nil" w:sz="6" w:space="0" w:color="auto"/>
              <w:left w:val="nil" w:sz="6" w:space="0" w:color="auto"/>
              <w:bottom w:val="single" w:sz="4" w:space="0" w:color="000000"/>
              <w:right w:val="nil" w:sz="6" w:space="0" w:color="auto"/>
            </w:tcBorders>
          </w:tcPr>
          <w:p>
            <w:pPr>
              <w:pStyle w:val="TableParagraph"/>
              <w:spacing w:line="175" w:lineRule="exact"/>
              <w:ind w:right="6"/>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152" w:type="dxa"/>
            <w:tcBorders>
              <w:top w:val="nil" w:sz="6" w:space="0" w:color="auto"/>
              <w:left w:val="nil" w:sz="6" w:space="0" w:color="auto"/>
              <w:bottom w:val="single" w:sz="4" w:space="0" w:color="000000"/>
              <w:right w:val="nil" w:sz="6" w:space="0" w:color="auto"/>
            </w:tcBorders>
          </w:tcPr>
          <w:p>
            <w:pPr/>
          </w:p>
        </w:tc>
      </w:tr>
      <w:tr>
        <w:trPr>
          <w:trHeight w:val="439" w:hRule="exact"/>
        </w:trPr>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08" w:right="0"/>
              <w:jc w:val="left"/>
              <w:rPr>
                <w:rFonts w:ascii="宋体" w:hAnsi="宋体" w:cs="宋体" w:eastAsia="宋体" w:hint="default"/>
                <w:sz w:val="15"/>
                <w:szCs w:val="15"/>
              </w:rPr>
            </w:pPr>
            <w:r>
              <w:rPr>
                <w:rFonts w:ascii="宋体" w:hAnsi="宋体" w:cs="宋体" w:eastAsia="宋体" w:hint="default"/>
                <w:b/>
                <w:bCs/>
                <w:sz w:val="15"/>
                <w:szCs w:val="15"/>
              </w:rPr>
              <w:t>一、有限售条件股份</w:t>
            </w:r>
            <w:r>
              <w:rPr>
                <w:rFonts w:ascii="宋体" w:hAnsi="宋体" w:cs="宋体" w:eastAsia="宋体" w:hint="default"/>
                <w:sz w:val="15"/>
                <w:szCs w:val="15"/>
              </w:rPr>
            </w:r>
          </w:p>
        </w:tc>
        <w:tc>
          <w:tcPr>
            <w:tcW w:w="209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7"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124,978,589.00</w:t>
            </w:r>
            <w:r>
              <w:rPr>
                <w:rFonts w:ascii="Times New Roman"/>
                <w:sz w:val="15"/>
              </w:rPr>
            </w:r>
          </w:p>
        </w:tc>
        <w:tc>
          <w:tcPr>
            <w:tcW w:w="598" w:type="dxa"/>
            <w:tcBorders>
              <w:top w:val="single" w:sz="4" w:space="0" w:color="000000"/>
              <w:left w:val="nil" w:sz="6" w:space="0" w:color="auto"/>
              <w:bottom w:val="nil" w:sz="6" w:space="0" w:color="auto"/>
              <w:right w:val="nil" w:sz="6" w:space="0" w:color="auto"/>
            </w:tcBorders>
          </w:tcPr>
          <w:p>
            <w:pPr/>
          </w:p>
        </w:tc>
        <w:tc>
          <w:tcPr>
            <w:tcW w:w="109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24,995,718.00</w:t>
            </w:r>
            <w:r>
              <w:rPr>
                <w:rFonts w:ascii="Times New Roman"/>
                <w:spacing w:val="-1"/>
                <w:sz w:val="15"/>
              </w:rPr>
            </w:r>
          </w:p>
        </w:tc>
        <w:tc>
          <w:tcPr>
            <w:tcW w:w="117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31"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-66,247,687.00</w:t>
            </w:r>
            <w:r>
              <w:rPr>
                <w:rFonts w:ascii="Times New Roman"/>
                <w:sz w:val="15"/>
              </w:rPr>
            </w:r>
          </w:p>
        </w:tc>
        <w:tc>
          <w:tcPr>
            <w:tcW w:w="115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-41,251,969.00</w:t>
            </w:r>
            <w:r>
              <w:rPr>
                <w:rFonts w:ascii="Times New Roman"/>
                <w:spacing w:val="-1"/>
                <w:sz w:val="15"/>
              </w:rPr>
            </w: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79"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83,726,620.00</w:t>
            </w:r>
            <w:r>
              <w:rPr>
                <w:rFonts w:ascii="Times New Roman"/>
                <w:sz w:val="15"/>
              </w:rPr>
            </w:r>
          </w:p>
        </w:tc>
      </w:tr>
      <w:tr>
        <w:trPr>
          <w:trHeight w:val="400" w:hRule="exact"/>
        </w:trPr>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国家持股</w:t>
            </w:r>
          </w:p>
        </w:tc>
        <w:tc>
          <w:tcPr>
            <w:tcW w:w="2098"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r>
      <w:tr>
        <w:trPr>
          <w:trHeight w:val="401" w:hRule="exact"/>
        </w:trPr>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国有法人持股</w:t>
            </w:r>
          </w:p>
        </w:tc>
        <w:tc>
          <w:tcPr>
            <w:tcW w:w="2098"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r>
      <w:tr>
        <w:trPr>
          <w:trHeight w:val="400" w:hRule="exact"/>
        </w:trPr>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其他内资持股</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7"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124,978,589.00</w:t>
            </w:r>
            <w:r>
              <w:rPr>
                <w:rFonts w:ascii="Times New Roman"/>
                <w:sz w:val="15"/>
              </w:rPr>
            </w:r>
          </w:p>
        </w:tc>
        <w:tc>
          <w:tcPr>
            <w:tcW w:w="59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24,995,718.00</w:t>
            </w:r>
            <w:r>
              <w:rPr>
                <w:rFonts w:ascii="Times New Roman"/>
                <w:spacing w:val="-1"/>
                <w:sz w:val="15"/>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1"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-66,247,687.00</w:t>
            </w:r>
            <w:r>
              <w:rPr>
                <w:rFonts w:ascii="Times New Roman"/>
                <w:sz w:val="15"/>
              </w:rPr>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-41,251,969.00</w:t>
            </w:r>
            <w:r>
              <w:rPr>
                <w:rFonts w:ascii="Times New Roman"/>
                <w:spacing w:val="-1"/>
                <w:sz w:val="15"/>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9"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83,726,620.00</w:t>
            </w:r>
            <w:r>
              <w:rPr>
                <w:rFonts w:ascii="Times New Roman"/>
                <w:sz w:val="15"/>
              </w:rPr>
            </w:r>
          </w:p>
        </w:tc>
      </w:tr>
      <w:tr>
        <w:trPr>
          <w:trHeight w:val="400" w:hRule="exact"/>
        </w:trPr>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59" w:right="0"/>
              <w:jc w:val="left"/>
              <w:rPr>
                <w:rFonts w:ascii="宋体" w:hAnsi="宋体" w:cs="宋体" w:eastAsia="宋体" w:hint="default"/>
                <w:sz w:val="15"/>
                <w:szCs w:val="15"/>
              </w:rPr>
            </w:pPr>
            <w:r>
              <w:rPr>
                <w:rFonts w:ascii="宋体" w:hAnsi="宋体" w:cs="宋体" w:eastAsia="宋体" w:hint="default"/>
                <w:sz w:val="15"/>
                <w:szCs w:val="15"/>
              </w:rPr>
              <w:t>其中：境内法人持股</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84" w:right="0"/>
              <w:jc w:val="left"/>
              <w:rPr>
                <w:rFonts w:ascii="Times New Roman" w:hAnsi="Times New Roman" w:cs="Times New Roman" w:eastAsia="Times New Roman" w:hint="default"/>
                <w:sz w:val="15"/>
                <w:szCs w:val="15"/>
              </w:rPr>
            </w:pPr>
            <w:r>
              <w:rPr>
                <w:rFonts w:ascii="Times New Roman"/>
                <w:sz w:val="15"/>
              </w:rPr>
              <w:t>10,953,035.00</w:t>
            </w:r>
          </w:p>
        </w:tc>
        <w:tc>
          <w:tcPr>
            <w:tcW w:w="59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44"/>
              <w:jc w:val="right"/>
              <w:rPr>
                <w:rFonts w:ascii="Times New Roman" w:hAnsi="Times New Roman" w:cs="Times New Roman" w:eastAsia="Times New Roman" w:hint="default"/>
                <w:sz w:val="15"/>
                <w:szCs w:val="15"/>
              </w:rPr>
            </w:pPr>
            <w:r>
              <w:rPr>
                <w:rFonts w:ascii="Times New Roman"/>
                <w:spacing w:val="-1"/>
                <w:sz w:val="15"/>
              </w:rPr>
              <w:t>2,190,607.00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05" w:right="0"/>
              <w:jc w:val="center"/>
              <w:rPr>
                <w:rFonts w:ascii="Times New Roman" w:hAnsi="Times New Roman" w:cs="Times New Roman" w:eastAsia="Times New Roman" w:hint="default"/>
                <w:sz w:val="15"/>
                <w:szCs w:val="15"/>
              </w:rPr>
            </w:pPr>
            <w:r>
              <w:rPr>
                <w:rFonts w:ascii="Times New Roman"/>
                <w:sz w:val="15"/>
              </w:rPr>
              <w:t>-3,960,000.00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5"/>
                <w:szCs w:val="15"/>
              </w:rPr>
            </w:pPr>
            <w:r>
              <w:rPr>
                <w:rFonts w:ascii="Times New Roman"/>
                <w:spacing w:val="-1"/>
                <w:sz w:val="15"/>
              </w:rPr>
              <w:t>-1,769,393.00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54" w:right="0"/>
              <w:jc w:val="center"/>
              <w:rPr>
                <w:rFonts w:ascii="Times New Roman" w:hAnsi="Times New Roman" w:cs="Times New Roman" w:eastAsia="Times New Roman" w:hint="default"/>
                <w:sz w:val="15"/>
                <w:szCs w:val="15"/>
              </w:rPr>
            </w:pPr>
            <w:r>
              <w:rPr>
                <w:rFonts w:ascii="Times New Roman"/>
                <w:sz w:val="15"/>
              </w:rPr>
              <w:t>9,183,642.00</w:t>
            </w:r>
          </w:p>
        </w:tc>
      </w:tr>
      <w:tr>
        <w:trPr>
          <w:trHeight w:val="401" w:hRule="exact"/>
        </w:trPr>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5"/>
              <w:jc w:val="right"/>
              <w:rPr>
                <w:rFonts w:ascii="宋体" w:hAnsi="宋体" w:cs="宋体" w:eastAsia="宋体" w:hint="default"/>
                <w:sz w:val="15"/>
                <w:szCs w:val="15"/>
              </w:rPr>
            </w:pPr>
            <w:r>
              <w:rPr>
                <w:rFonts w:ascii="宋体" w:hAnsi="宋体" w:cs="宋体" w:eastAsia="宋体" w:hint="default"/>
                <w:spacing w:val="-1"/>
                <w:sz w:val="15"/>
                <w:szCs w:val="15"/>
              </w:rPr>
              <w:t>境内自然人持股</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15" w:right="0"/>
              <w:jc w:val="left"/>
              <w:rPr>
                <w:rFonts w:ascii="Times New Roman" w:hAnsi="Times New Roman" w:cs="Times New Roman" w:eastAsia="Times New Roman" w:hint="default"/>
                <w:sz w:val="15"/>
                <w:szCs w:val="15"/>
              </w:rPr>
            </w:pPr>
            <w:r>
              <w:rPr>
                <w:rFonts w:ascii="Times New Roman"/>
                <w:sz w:val="15"/>
              </w:rPr>
              <w:t>114,025,554.00</w:t>
            </w:r>
          </w:p>
        </w:tc>
        <w:tc>
          <w:tcPr>
            <w:tcW w:w="59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4"/>
              <w:jc w:val="right"/>
              <w:rPr>
                <w:rFonts w:ascii="Times New Roman" w:hAnsi="Times New Roman" w:cs="Times New Roman" w:eastAsia="Times New Roman" w:hint="default"/>
                <w:sz w:val="15"/>
                <w:szCs w:val="15"/>
              </w:rPr>
            </w:pPr>
            <w:r>
              <w:rPr>
                <w:rFonts w:ascii="Times New Roman"/>
                <w:spacing w:val="-2"/>
                <w:sz w:val="15"/>
              </w:rPr>
              <w:t>22,805,111.00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1" w:right="0"/>
              <w:jc w:val="center"/>
              <w:rPr>
                <w:rFonts w:ascii="Times New Roman" w:hAnsi="Times New Roman" w:cs="Times New Roman" w:eastAsia="Times New Roman" w:hint="default"/>
                <w:sz w:val="15"/>
                <w:szCs w:val="15"/>
              </w:rPr>
            </w:pPr>
            <w:r>
              <w:rPr>
                <w:rFonts w:ascii="Times New Roman"/>
                <w:sz w:val="15"/>
              </w:rPr>
              <w:t>-62,287,687.00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15"/>
                <w:szCs w:val="15"/>
              </w:rPr>
            </w:pPr>
            <w:r>
              <w:rPr>
                <w:rFonts w:ascii="Times New Roman"/>
                <w:spacing w:val="-1"/>
                <w:sz w:val="15"/>
              </w:rPr>
              <w:t>-39,482,576.00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9" w:right="0"/>
              <w:jc w:val="center"/>
              <w:rPr>
                <w:rFonts w:ascii="Times New Roman" w:hAnsi="Times New Roman" w:cs="Times New Roman" w:eastAsia="Times New Roman" w:hint="default"/>
                <w:sz w:val="15"/>
                <w:szCs w:val="15"/>
              </w:rPr>
            </w:pPr>
            <w:r>
              <w:rPr>
                <w:rFonts w:ascii="Times New Roman"/>
                <w:sz w:val="15"/>
              </w:rPr>
              <w:t>74,542,978.00</w:t>
            </w:r>
          </w:p>
        </w:tc>
      </w:tr>
      <w:tr>
        <w:trPr>
          <w:trHeight w:val="400" w:hRule="exact"/>
        </w:trPr>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境外持股</w:t>
            </w:r>
          </w:p>
        </w:tc>
        <w:tc>
          <w:tcPr>
            <w:tcW w:w="2098"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r>
      <w:tr>
        <w:trPr>
          <w:trHeight w:val="395" w:hRule="exact"/>
        </w:trPr>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59" w:right="0"/>
              <w:jc w:val="left"/>
              <w:rPr>
                <w:rFonts w:ascii="宋体" w:hAnsi="宋体" w:cs="宋体" w:eastAsia="宋体" w:hint="default"/>
                <w:sz w:val="15"/>
                <w:szCs w:val="15"/>
              </w:rPr>
            </w:pPr>
            <w:r>
              <w:rPr>
                <w:rFonts w:ascii="宋体" w:hAnsi="宋体" w:cs="宋体" w:eastAsia="宋体" w:hint="default"/>
                <w:sz w:val="15"/>
                <w:szCs w:val="15"/>
              </w:rPr>
              <w:t>其中：境外法人持股</w:t>
            </w:r>
          </w:p>
        </w:tc>
        <w:tc>
          <w:tcPr>
            <w:tcW w:w="2098"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r>
      <w:tr>
        <w:trPr>
          <w:trHeight w:val="401" w:hRule="exact"/>
        </w:trPr>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5"/>
              <w:jc w:val="right"/>
              <w:rPr>
                <w:rFonts w:ascii="宋体" w:hAnsi="宋体" w:cs="宋体" w:eastAsia="宋体" w:hint="default"/>
                <w:sz w:val="15"/>
                <w:szCs w:val="15"/>
              </w:rPr>
            </w:pPr>
            <w:r>
              <w:rPr>
                <w:rFonts w:ascii="宋体" w:hAnsi="宋体" w:cs="宋体" w:eastAsia="宋体" w:hint="default"/>
                <w:spacing w:val="-1"/>
                <w:sz w:val="15"/>
                <w:szCs w:val="15"/>
              </w:rPr>
              <w:t>境外自然人持股</w:t>
            </w:r>
          </w:p>
        </w:tc>
        <w:tc>
          <w:tcPr>
            <w:tcW w:w="2098"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r>
      <w:tr>
        <w:trPr>
          <w:trHeight w:val="404" w:hRule="exact"/>
        </w:trPr>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8" w:right="0"/>
              <w:jc w:val="left"/>
              <w:rPr>
                <w:rFonts w:ascii="宋体" w:hAnsi="宋体" w:cs="宋体" w:eastAsia="宋体" w:hint="default"/>
                <w:sz w:val="15"/>
                <w:szCs w:val="15"/>
              </w:rPr>
            </w:pPr>
            <w:r>
              <w:rPr>
                <w:rFonts w:ascii="宋体" w:hAnsi="宋体" w:cs="宋体" w:eastAsia="宋体" w:hint="default"/>
                <w:b/>
                <w:bCs/>
                <w:w w:val="100"/>
                <w:sz w:val="15"/>
                <w:szCs w:val="15"/>
              </w:rPr>
              <w:t>二</w:t>
            </w:r>
            <w:r>
              <w:rPr>
                <w:rFonts w:ascii="宋体" w:hAnsi="宋体" w:cs="宋体" w:eastAsia="宋体" w:hint="default"/>
                <w:b/>
                <w:bCs/>
                <w:spacing w:val="-70"/>
                <w:w w:val="100"/>
                <w:sz w:val="15"/>
                <w:szCs w:val="15"/>
              </w:rPr>
              <w:t>、</w:t>
            </w:r>
            <w:r>
              <w:rPr>
                <w:rFonts w:ascii="宋体" w:hAnsi="宋体" w:cs="宋体" w:eastAsia="宋体" w:hint="default"/>
                <w:b/>
                <w:bCs/>
                <w:w w:val="100"/>
                <w:sz w:val="15"/>
                <w:szCs w:val="15"/>
              </w:rPr>
              <w:t>无限售</w:t>
            </w:r>
            <w:r>
              <w:rPr>
                <w:rFonts w:ascii="宋体" w:hAnsi="宋体" w:cs="宋体" w:eastAsia="宋体" w:hint="default"/>
                <w:b/>
                <w:bCs/>
                <w:spacing w:val="-3"/>
                <w:w w:val="100"/>
                <w:sz w:val="15"/>
                <w:szCs w:val="15"/>
              </w:rPr>
              <w:t>条</w:t>
            </w:r>
            <w:r>
              <w:rPr>
                <w:rFonts w:ascii="宋体" w:hAnsi="宋体" w:cs="宋体" w:eastAsia="宋体" w:hint="default"/>
                <w:b/>
                <w:bCs/>
                <w:w w:val="100"/>
                <w:sz w:val="15"/>
                <w:szCs w:val="15"/>
              </w:rPr>
              <w:t>件流通</w:t>
            </w:r>
            <w:r>
              <w:rPr>
                <w:rFonts w:ascii="宋体" w:hAnsi="宋体" w:cs="宋体" w:eastAsia="宋体" w:hint="default"/>
                <w:b/>
                <w:bCs/>
                <w:spacing w:val="-3"/>
                <w:w w:val="100"/>
                <w:sz w:val="15"/>
                <w:szCs w:val="15"/>
              </w:rPr>
              <w:t>股</w:t>
            </w:r>
            <w:r>
              <w:rPr>
                <w:rFonts w:ascii="宋体" w:hAnsi="宋体" w:cs="宋体" w:eastAsia="宋体" w:hint="default"/>
                <w:b/>
                <w:bCs/>
                <w:w w:val="100"/>
                <w:sz w:val="15"/>
                <w:szCs w:val="15"/>
              </w:rPr>
              <w:t>份</w:t>
            </w:r>
            <w:r>
              <w:rPr>
                <w:rFonts w:ascii="宋体" w:hAnsi="宋体" w:cs="宋体" w:eastAsia="宋体" w:hint="default"/>
                <w:w w:val="100"/>
                <w:sz w:val="15"/>
                <w:szCs w:val="15"/>
              </w:rPr>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07"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226,981,002.00</w:t>
            </w:r>
            <w:r>
              <w:rPr>
                <w:rFonts w:ascii="Times New Roman"/>
                <w:sz w:val="15"/>
              </w:rPr>
            </w:r>
          </w:p>
        </w:tc>
        <w:tc>
          <w:tcPr>
            <w:tcW w:w="59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4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45,396,200.00</w:t>
            </w:r>
            <w:r>
              <w:rPr>
                <w:rFonts w:ascii="Times New Roman"/>
                <w:spacing w:val="-1"/>
                <w:sz w:val="15"/>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82"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66,247,687.00</w:t>
            </w:r>
            <w:r>
              <w:rPr>
                <w:rFonts w:ascii="Times New Roman"/>
                <w:sz w:val="15"/>
              </w:rPr>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2"/>
                <w:sz w:val="15"/>
                <w:u w:val="single" w:color="000000"/>
              </w:rPr>
              <w:t>111,643,887.00</w:t>
            </w:r>
            <w:r>
              <w:rPr>
                <w:rFonts w:ascii="Times New Roman"/>
                <w:spacing w:val="-2"/>
                <w:sz w:val="15"/>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338,624,889.00</w:t>
            </w:r>
            <w:r>
              <w:rPr>
                <w:rFonts w:ascii="Times New Roman"/>
                <w:sz w:val="15"/>
              </w:rPr>
            </w:r>
          </w:p>
        </w:tc>
      </w:tr>
      <w:tr>
        <w:trPr>
          <w:trHeight w:val="400" w:hRule="exact"/>
        </w:trPr>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人民币普通股</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07" w:right="0"/>
              <w:jc w:val="left"/>
              <w:rPr>
                <w:rFonts w:ascii="Times New Roman" w:hAnsi="Times New Roman" w:cs="Times New Roman" w:eastAsia="Times New Roman" w:hint="default"/>
                <w:sz w:val="15"/>
                <w:szCs w:val="15"/>
              </w:rPr>
            </w:pPr>
            <w:r>
              <w:rPr>
                <w:rFonts w:ascii="Times New Roman"/>
                <w:sz w:val="15"/>
              </w:rPr>
              <w:t>226,981,002.00</w:t>
            </w:r>
          </w:p>
        </w:tc>
        <w:tc>
          <w:tcPr>
            <w:tcW w:w="59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44"/>
              <w:jc w:val="right"/>
              <w:rPr>
                <w:rFonts w:ascii="Times New Roman" w:hAnsi="Times New Roman" w:cs="Times New Roman" w:eastAsia="Times New Roman" w:hint="default"/>
                <w:sz w:val="15"/>
                <w:szCs w:val="15"/>
              </w:rPr>
            </w:pPr>
            <w:r>
              <w:rPr>
                <w:rFonts w:ascii="Times New Roman"/>
                <w:spacing w:val="-1"/>
                <w:sz w:val="15"/>
              </w:rPr>
              <w:t>45,396,200.00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81" w:right="0"/>
              <w:jc w:val="center"/>
              <w:rPr>
                <w:rFonts w:ascii="Times New Roman" w:hAnsi="Times New Roman" w:cs="Times New Roman" w:eastAsia="Times New Roman" w:hint="default"/>
                <w:sz w:val="15"/>
                <w:szCs w:val="15"/>
              </w:rPr>
            </w:pPr>
            <w:r>
              <w:rPr>
                <w:rFonts w:ascii="Times New Roman"/>
                <w:sz w:val="15"/>
              </w:rPr>
              <w:t>66,247,687.00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5"/>
                <w:szCs w:val="15"/>
              </w:rPr>
            </w:pPr>
            <w:r>
              <w:rPr>
                <w:rFonts w:ascii="Times New Roman"/>
                <w:spacing w:val="-2"/>
                <w:sz w:val="15"/>
              </w:rPr>
              <w:t>111,643,887.00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 w:right="0"/>
              <w:jc w:val="center"/>
              <w:rPr>
                <w:rFonts w:ascii="Times New Roman" w:hAnsi="Times New Roman" w:cs="Times New Roman" w:eastAsia="Times New Roman" w:hint="default"/>
                <w:sz w:val="15"/>
                <w:szCs w:val="15"/>
              </w:rPr>
            </w:pPr>
            <w:r>
              <w:rPr>
                <w:rFonts w:ascii="Times New Roman"/>
                <w:sz w:val="15"/>
              </w:rPr>
              <w:t>338,624,889.00</w:t>
            </w:r>
          </w:p>
        </w:tc>
      </w:tr>
      <w:tr>
        <w:trPr>
          <w:trHeight w:val="280" w:hRule="exact"/>
        </w:trPr>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境内上市外资股</w:t>
            </w:r>
          </w:p>
        </w:tc>
        <w:tc>
          <w:tcPr>
            <w:tcW w:w="2098"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79" w:top="1480" w:bottom="1160" w:left="1300" w:right="1300"/>
        </w:sectPr>
      </w:pPr>
    </w:p>
    <w:p>
      <w:pPr>
        <w:spacing w:line="240" w:lineRule="auto" w:before="12"/>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559"/>
        <w:gridCol w:w="2344"/>
        <w:gridCol w:w="598"/>
        <w:gridCol w:w="1230"/>
        <w:gridCol w:w="1021"/>
        <w:gridCol w:w="1169"/>
        <w:gridCol w:w="1152"/>
      </w:tblGrid>
      <w:tr>
        <w:trPr>
          <w:trHeight w:val="179" w:hRule="exact"/>
        </w:trPr>
        <w:tc>
          <w:tcPr>
            <w:tcW w:w="1559"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
        </w:tc>
        <w:tc>
          <w:tcPr>
            <w:tcW w:w="2252" w:type="dxa"/>
            <w:gridSpan w:val="2"/>
            <w:tcBorders>
              <w:top w:val="nil" w:sz="6" w:space="0" w:color="auto"/>
              <w:left w:val="nil" w:sz="6" w:space="0" w:color="auto"/>
              <w:bottom w:val="nil" w:sz="6" w:space="0" w:color="auto"/>
              <w:right w:val="nil" w:sz="6" w:space="0" w:color="auto"/>
            </w:tcBorders>
          </w:tcPr>
          <w:p>
            <w:pPr>
              <w:pStyle w:val="TableParagraph"/>
              <w:spacing w:line="162" w:lineRule="exact"/>
              <w:ind w:left="191" w:right="0"/>
              <w:jc w:val="left"/>
              <w:rPr>
                <w:rFonts w:ascii="宋体" w:hAnsi="宋体" w:cs="宋体" w:eastAsia="宋体" w:hint="default"/>
                <w:sz w:val="15"/>
                <w:szCs w:val="15"/>
              </w:rPr>
            </w:pPr>
            <w:r>
              <w:rPr>
                <w:rFonts w:ascii="宋体" w:hAnsi="宋体" w:cs="宋体" w:eastAsia="宋体" w:hint="default"/>
                <w:b/>
                <w:bCs/>
                <w:sz w:val="15"/>
                <w:szCs w:val="15"/>
              </w:rPr>
              <w:t>本期增减变动（</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69"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r>
      <w:tr>
        <w:trPr>
          <w:trHeight w:val="196"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171" w:lineRule="exact"/>
              <w:ind w:left="751" w:right="0"/>
              <w:jc w:val="left"/>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2344" w:type="dxa"/>
            <w:tcBorders>
              <w:top w:val="nil" w:sz="6" w:space="0" w:color="auto"/>
              <w:left w:val="nil" w:sz="6" w:space="0" w:color="auto"/>
              <w:bottom w:val="nil" w:sz="6" w:space="0" w:color="auto"/>
              <w:right w:val="nil" w:sz="6" w:space="0" w:color="auto"/>
            </w:tcBorders>
          </w:tcPr>
          <w:p>
            <w:pPr>
              <w:pStyle w:val="TableParagraph"/>
              <w:spacing w:line="171" w:lineRule="exact"/>
              <w:ind w:left="521"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598"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171" w:lineRule="exact"/>
              <w:ind w:left="4" w:right="0"/>
              <w:jc w:val="center"/>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r>
      <w:tr>
        <w:trPr>
          <w:trHeight w:val="273" w:hRule="exact"/>
        </w:trPr>
        <w:tc>
          <w:tcPr>
            <w:tcW w:w="1559" w:type="dxa"/>
            <w:tcBorders>
              <w:top w:val="nil" w:sz="6" w:space="0" w:color="auto"/>
              <w:left w:val="nil" w:sz="6" w:space="0" w:color="auto"/>
              <w:bottom w:val="single" w:sz="4" w:space="0" w:color="000000"/>
              <w:right w:val="nil" w:sz="6" w:space="0" w:color="auto"/>
            </w:tcBorders>
          </w:tcPr>
          <w:p>
            <w:pPr/>
          </w:p>
        </w:tc>
        <w:tc>
          <w:tcPr>
            <w:tcW w:w="2344" w:type="dxa"/>
            <w:tcBorders>
              <w:top w:val="nil" w:sz="6" w:space="0" w:color="auto"/>
              <w:left w:val="nil" w:sz="6" w:space="0" w:color="auto"/>
              <w:bottom w:val="single" w:sz="4" w:space="0" w:color="000000"/>
              <w:right w:val="nil" w:sz="6" w:space="0" w:color="auto"/>
            </w:tcBorders>
          </w:tcPr>
          <w:p>
            <w:pPr>
              <w:pStyle w:val="TableParagraph"/>
              <w:spacing w:line="176" w:lineRule="exact"/>
              <w:ind w:right="151"/>
              <w:jc w:val="right"/>
              <w:rPr>
                <w:rFonts w:ascii="宋体" w:hAnsi="宋体" w:cs="宋体" w:eastAsia="宋体" w:hint="default"/>
                <w:sz w:val="15"/>
                <w:szCs w:val="15"/>
              </w:rPr>
            </w:pPr>
            <w:r>
              <w:rPr>
                <w:rFonts w:ascii="宋体" w:hAnsi="宋体" w:cs="宋体" w:eastAsia="宋体" w:hint="default"/>
                <w:b/>
                <w:bCs/>
                <w:sz w:val="15"/>
                <w:szCs w:val="15"/>
              </w:rPr>
              <w:t>发行新股</w:t>
            </w:r>
            <w:r>
              <w:rPr>
                <w:rFonts w:ascii="宋体" w:hAnsi="宋体" w:cs="宋体" w:eastAsia="宋体" w:hint="default"/>
                <w:sz w:val="15"/>
                <w:szCs w:val="15"/>
              </w:rPr>
            </w:r>
          </w:p>
        </w:tc>
        <w:tc>
          <w:tcPr>
            <w:tcW w:w="598" w:type="dxa"/>
            <w:tcBorders>
              <w:top w:val="nil" w:sz="6" w:space="0" w:color="auto"/>
              <w:left w:val="nil" w:sz="6" w:space="0" w:color="auto"/>
              <w:bottom w:val="single" w:sz="4" w:space="0" w:color="000000"/>
              <w:right w:val="nil" w:sz="6" w:space="0" w:color="auto"/>
            </w:tcBorders>
          </w:tcPr>
          <w:p>
            <w:pPr>
              <w:pStyle w:val="TableParagraph"/>
              <w:spacing w:line="176" w:lineRule="exact"/>
              <w:ind w:left="153" w:right="0"/>
              <w:jc w:val="left"/>
              <w:rPr>
                <w:rFonts w:ascii="宋体" w:hAnsi="宋体" w:cs="宋体" w:eastAsia="宋体" w:hint="default"/>
                <w:sz w:val="15"/>
                <w:szCs w:val="15"/>
              </w:rPr>
            </w:pPr>
            <w:r>
              <w:rPr>
                <w:rFonts w:ascii="宋体" w:hAnsi="宋体" w:cs="宋体" w:eastAsia="宋体" w:hint="default"/>
                <w:b/>
                <w:bCs/>
                <w:sz w:val="15"/>
                <w:szCs w:val="15"/>
              </w:rPr>
              <w:t>送股</w:t>
            </w:r>
            <w:r>
              <w:rPr>
                <w:rFonts w:ascii="宋体" w:hAnsi="宋体" w:cs="宋体" w:eastAsia="宋体" w:hint="default"/>
                <w:sz w:val="15"/>
                <w:szCs w:val="15"/>
              </w:rPr>
            </w:r>
          </w:p>
        </w:tc>
        <w:tc>
          <w:tcPr>
            <w:tcW w:w="1230" w:type="dxa"/>
            <w:tcBorders>
              <w:top w:val="nil" w:sz="6" w:space="0" w:color="auto"/>
              <w:left w:val="nil" w:sz="6" w:space="0" w:color="auto"/>
              <w:bottom w:val="single" w:sz="4" w:space="0" w:color="000000"/>
              <w:right w:val="nil" w:sz="6" w:space="0" w:color="auto"/>
            </w:tcBorders>
          </w:tcPr>
          <w:p>
            <w:pPr>
              <w:pStyle w:val="TableParagraph"/>
              <w:spacing w:line="176" w:lineRule="exact"/>
              <w:ind w:left="141" w:right="0"/>
              <w:jc w:val="left"/>
              <w:rPr>
                <w:rFonts w:ascii="宋体" w:hAnsi="宋体" w:cs="宋体" w:eastAsia="宋体" w:hint="default"/>
                <w:sz w:val="15"/>
                <w:szCs w:val="15"/>
              </w:rPr>
            </w:pPr>
            <w:r>
              <w:rPr>
                <w:rFonts w:ascii="宋体" w:hAnsi="宋体" w:cs="宋体" w:eastAsia="宋体" w:hint="default"/>
                <w:b/>
                <w:bCs/>
                <w:sz w:val="15"/>
                <w:szCs w:val="15"/>
              </w:rPr>
              <w:t>公积金转股</w:t>
            </w:r>
            <w:r>
              <w:rPr>
                <w:rFonts w:ascii="宋体" w:hAnsi="宋体" w:cs="宋体" w:eastAsia="宋体" w:hint="default"/>
                <w:sz w:val="15"/>
                <w:szCs w:val="15"/>
              </w:rPr>
            </w:r>
          </w:p>
        </w:tc>
        <w:tc>
          <w:tcPr>
            <w:tcW w:w="1021" w:type="dxa"/>
            <w:tcBorders>
              <w:top w:val="nil" w:sz="6" w:space="0" w:color="auto"/>
              <w:left w:val="nil" w:sz="6" w:space="0" w:color="auto"/>
              <w:bottom w:val="single" w:sz="4" w:space="0" w:color="000000"/>
              <w:right w:val="nil" w:sz="6" w:space="0" w:color="auto"/>
            </w:tcBorders>
          </w:tcPr>
          <w:p>
            <w:pPr>
              <w:pStyle w:val="TableParagraph"/>
              <w:spacing w:line="176" w:lineRule="exact"/>
              <w:ind w:left="279" w:right="0"/>
              <w:jc w:val="left"/>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sz w:val="15"/>
                <w:szCs w:val="15"/>
              </w:rPr>
            </w:r>
          </w:p>
        </w:tc>
        <w:tc>
          <w:tcPr>
            <w:tcW w:w="1169" w:type="dxa"/>
            <w:tcBorders>
              <w:top w:val="nil" w:sz="6" w:space="0" w:color="auto"/>
              <w:left w:val="nil" w:sz="6" w:space="0" w:color="auto"/>
              <w:bottom w:val="single" w:sz="4" w:space="0" w:color="000000"/>
              <w:right w:val="nil" w:sz="6" w:space="0" w:color="auto"/>
            </w:tcBorders>
          </w:tcPr>
          <w:p>
            <w:pPr>
              <w:pStyle w:val="TableParagraph"/>
              <w:spacing w:line="176" w:lineRule="exact"/>
              <w:ind w:left="11"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152" w:type="dxa"/>
            <w:tcBorders>
              <w:top w:val="nil" w:sz="6" w:space="0" w:color="auto"/>
              <w:left w:val="nil" w:sz="6" w:space="0" w:color="auto"/>
              <w:bottom w:val="single" w:sz="4" w:space="0" w:color="000000"/>
              <w:right w:val="nil" w:sz="6" w:space="0" w:color="auto"/>
            </w:tcBorders>
          </w:tcPr>
          <w:p>
            <w:pPr/>
          </w:p>
        </w:tc>
      </w:tr>
      <w:tr>
        <w:trPr>
          <w:trHeight w:val="442" w:hRule="exact"/>
        </w:trPr>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境外上市外资股</w:t>
            </w:r>
          </w:p>
        </w:tc>
        <w:tc>
          <w:tcPr>
            <w:tcW w:w="2344" w:type="dxa"/>
            <w:tcBorders>
              <w:top w:val="single" w:sz="4" w:space="0" w:color="000000"/>
              <w:left w:val="nil" w:sz="6" w:space="0" w:color="auto"/>
              <w:bottom w:val="nil" w:sz="6" w:space="0" w:color="auto"/>
              <w:right w:val="nil" w:sz="6" w:space="0" w:color="auto"/>
            </w:tcBorders>
          </w:tcPr>
          <w:p>
            <w:pPr/>
          </w:p>
        </w:tc>
        <w:tc>
          <w:tcPr>
            <w:tcW w:w="598" w:type="dxa"/>
            <w:tcBorders>
              <w:top w:val="single" w:sz="4" w:space="0" w:color="000000"/>
              <w:left w:val="nil" w:sz="6" w:space="0" w:color="auto"/>
              <w:bottom w:val="nil" w:sz="6" w:space="0" w:color="auto"/>
              <w:right w:val="nil" w:sz="6" w:space="0" w:color="auto"/>
            </w:tcBorders>
          </w:tcPr>
          <w:p>
            <w:pPr/>
          </w:p>
        </w:tc>
        <w:tc>
          <w:tcPr>
            <w:tcW w:w="1230" w:type="dxa"/>
            <w:tcBorders>
              <w:top w:val="single" w:sz="4" w:space="0" w:color="000000"/>
              <w:left w:val="nil" w:sz="6" w:space="0" w:color="auto"/>
              <w:bottom w:val="nil" w:sz="6" w:space="0" w:color="auto"/>
              <w:right w:val="nil" w:sz="6" w:space="0" w:color="auto"/>
            </w:tcBorders>
          </w:tcPr>
          <w:p>
            <w:pPr/>
          </w:p>
        </w:tc>
        <w:tc>
          <w:tcPr>
            <w:tcW w:w="1021" w:type="dxa"/>
            <w:tcBorders>
              <w:top w:val="single" w:sz="4" w:space="0" w:color="000000"/>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nil" w:sz="6" w:space="0" w:color="auto"/>
              <w:right w:val="nil" w:sz="6" w:space="0" w:color="auto"/>
            </w:tcBorders>
          </w:tcPr>
          <w:p>
            <w:pPr/>
          </w:p>
        </w:tc>
        <w:tc>
          <w:tcPr>
            <w:tcW w:w="1152" w:type="dxa"/>
            <w:tcBorders>
              <w:top w:val="single" w:sz="4" w:space="0" w:color="000000"/>
              <w:left w:val="nil" w:sz="6" w:space="0" w:color="auto"/>
              <w:bottom w:val="nil" w:sz="6" w:space="0" w:color="auto"/>
              <w:right w:val="nil" w:sz="6" w:space="0" w:color="auto"/>
            </w:tcBorders>
          </w:tcPr>
          <w:p>
            <w:pPr/>
          </w:p>
        </w:tc>
      </w:tr>
      <w:tr>
        <w:trPr>
          <w:trHeight w:val="400"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2344"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r>
      <w:tr>
        <w:trPr>
          <w:trHeight w:val="280"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99" w:right="0"/>
              <w:jc w:val="left"/>
              <w:rPr>
                <w:rFonts w:ascii="宋体" w:hAnsi="宋体" w:cs="宋体" w:eastAsia="宋体" w:hint="default"/>
                <w:sz w:val="15"/>
                <w:szCs w:val="15"/>
              </w:rPr>
            </w:pPr>
            <w:r>
              <w:rPr>
                <w:rFonts w:ascii="宋体" w:hAnsi="宋体" w:cs="宋体" w:eastAsia="宋体" w:hint="default"/>
                <w:b/>
                <w:bCs/>
                <w:sz w:val="15"/>
                <w:szCs w:val="15"/>
              </w:rPr>
              <w:t>股份合计</w:t>
            </w:r>
            <w:r>
              <w:rPr>
                <w:rFonts w:ascii="宋体" w:hAnsi="宋体" w:cs="宋体" w:eastAsia="宋体" w:hint="default"/>
                <w:sz w:val="15"/>
                <w:szCs w:val="15"/>
              </w:rPr>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3"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351,959,591.00</w:t>
            </w:r>
            <w:r>
              <w:rPr>
                <w:rFonts w:ascii="Times New Roman"/>
                <w:sz w:val="15"/>
              </w:rPr>
            </w:r>
          </w:p>
        </w:tc>
        <w:tc>
          <w:tcPr>
            <w:tcW w:w="598"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8"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70,391,918.00</w:t>
            </w:r>
            <w:r>
              <w:rPr>
                <w:rFonts w:ascii="Times New Roman"/>
                <w:sz w:val="15"/>
              </w:rPr>
            </w:r>
          </w:p>
        </w:tc>
        <w:tc>
          <w:tcPr>
            <w:tcW w:w="1021"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91"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70,391,918.00</w:t>
            </w:r>
            <w:r>
              <w:rPr>
                <w:rFonts w:ascii="Times New Roman"/>
                <w:sz w:val="15"/>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422,351,509.00</w:t>
            </w:r>
            <w:r>
              <w:rPr>
                <w:rFonts w:ascii="Times New Roman"/>
                <w:sz w:val="15"/>
              </w:rPr>
            </w:r>
          </w:p>
        </w:tc>
      </w:tr>
    </w:tbl>
    <w:p>
      <w:pPr>
        <w:spacing w:line="240" w:lineRule="auto" w:before="4"/>
        <w:rPr>
          <w:rFonts w:ascii="宋体" w:hAnsi="宋体" w:cs="宋体" w:eastAsia="宋体" w:hint="default"/>
          <w:sz w:val="28"/>
          <w:szCs w:val="28"/>
        </w:rPr>
      </w:pPr>
    </w:p>
    <w:p>
      <w:pPr>
        <w:pStyle w:val="Heading6"/>
        <w:spacing w:line="240" w:lineRule="auto" w:before="36"/>
        <w:ind w:left="920" w:right="0"/>
        <w:jc w:val="left"/>
      </w:pPr>
      <w:r>
        <w:rPr/>
        <w:t>注：股本变动情况详见本附注一、</w:t>
      </w:r>
      <w:r>
        <w:rPr>
          <w:rFonts w:ascii="Times New Roman" w:hAnsi="Times New Roman" w:cs="Times New Roman" w:eastAsia="Times New Roman" w:hint="default"/>
        </w:rPr>
        <w:t>1</w:t>
      </w:r>
      <w:r>
        <w:rPr/>
        <w:t>。</w:t>
      </w:r>
    </w:p>
    <w:p>
      <w:pPr>
        <w:spacing w:line="240" w:lineRule="auto" w:before="3"/>
        <w:rPr>
          <w:rFonts w:ascii="宋体" w:hAnsi="宋体" w:cs="宋体" w:eastAsia="宋体" w:hint="default"/>
          <w:sz w:val="29"/>
          <w:szCs w:val="29"/>
        </w:rPr>
      </w:pPr>
    </w:p>
    <w:p>
      <w:pPr>
        <w:pStyle w:val="BodyText"/>
        <w:spacing w:line="240" w:lineRule="auto"/>
        <w:ind w:left="860" w:right="0"/>
        <w:jc w:val="left"/>
      </w:pPr>
      <w:r>
        <w:rPr>
          <w:rFonts w:ascii="Times New Roman" w:hAnsi="Times New Roman" w:cs="Times New Roman" w:eastAsia="Times New Roman" w:hint="default"/>
        </w:rPr>
        <w:t>25. </w:t>
      </w:r>
      <w:r>
        <w:rPr>
          <w:rFonts w:ascii="Times New Roman" w:hAnsi="Times New Roman" w:cs="Times New Roman" w:eastAsia="Times New Roman" w:hint="default"/>
          <w:spacing w:val="1"/>
        </w:rPr>
        <w:t> </w:t>
      </w:r>
      <w:r>
        <w:rPr/>
        <w:t>资本公积</w:t>
      </w:r>
    </w:p>
    <w:p>
      <w:pPr>
        <w:spacing w:line="240" w:lineRule="auto" w:before="9"/>
        <w:rPr>
          <w:rFonts w:ascii="宋体" w:hAnsi="宋体" w:cs="宋体" w:eastAsia="宋体" w:hint="default"/>
          <w:sz w:val="24"/>
          <w:szCs w:val="24"/>
        </w:rPr>
      </w:pPr>
    </w:p>
    <w:tbl>
      <w:tblPr>
        <w:tblW w:w="0" w:type="auto"/>
        <w:jc w:val="left"/>
        <w:tblInd w:w="255" w:type="dxa"/>
        <w:tblLayout w:type="fixed"/>
        <w:tblCellMar>
          <w:top w:w="0" w:type="dxa"/>
          <w:left w:w="0" w:type="dxa"/>
          <w:bottom w:w="0" w:type="dxa"/>
          <w:right w:w="0" w:type="dxa"/>
        </w:tblCellMar>
        <w:tblLook w:val="01E0"/>
      </w:tblPr>
      <w:tblGrid>
        <w:gridCol w:w="2160"/>
        <w:gridCol w:w="1750"/>
        <w:gridCol w:w="1545"/>
        <w:gridCol w:w="1573"/>
        <w:gridCol w:w="1769"/>
      </w:tblGrid>
      <w:tr>
        <w:trPr>
          <w:trHeight w:val="275" w:hRule="exact"/>
        </w:trPr>
        <w:tc>
          <w:tcPr>
            <w:tcW w:w="2160" w:type="dxa"/>
            <w:tcBorders>
              <w:top w:val="nil" w:sz="6" w:space="0" w:color="auto"/>
              <w:left w:val="nil" w:sz="6" w:space="0" w:color="auto"/>
              <w:bottom w:val="single" w:sz="4" w:space="0" w:color="000000"/>
              <w:right w:val="nil" w:sz="6" w:space="0" w:color="auto"/>
            </w:tcBorders>
          </w:tcPr>
          <w:p>
            <w:pPr>
              <w:pStyle w:val="TableParagraph"/>
              <w:spacing w:line="180" w:lineRule="exact"/>
              <w:ind w:right="9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50" w:type="dxa"/>
            <w:tcBorders>
              <w:top w:val="nil" w:sz="6" w:space="0" w:color="auto"/>
              <w:left w:val="nil" w:sz="6" w:space="0" w:color="auto"/>
              <w:bottom w:val="single" w:sz="4" w:space="0" w:color="000000"/>
              <w:right w:val="nil" w:sz="6" w:space="0" w:color="auto"/>
            </w:tcBorders>
          </w:tcPr>
          <w:p>
            <w:pPr>
              <w:pStyle w:val="TableParagraph"/>
              <w:spacing w:line="180" w:lineRule="exact"/>
              <w:ind w:right="21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45" w:type="dxa"/>
            <w:tcBorders>
              <w:top w:val="nil" w:sz="6" w:space="0" w:color="auto"/>
              <w:left w:val="nil" w:sz="6" w:space="0" w:color="auto"/>
              <w:bottom w:val="single" w:sz="4" w:space="0" w:color="000000"/>
              <w:right w:val="nil" w:sz="6" w:space="0" w:color="auto"/>
            </w:tcBorders>
          </w:tcPr>
          <w:p>
            <w:pPr>
              <w:pStyle w:val="TableParagraph"/>
              <w:spacing w:line="180" w:lineRule="exact"/>
              <w:ind w:left="37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73" w:type="dxa"/>
            <w:tcBorders>
              <w:top w:val="nil" w:sz="6" w:space="0" w:color="auto"/>
              <w:left w:val="nil" w:sz="6" w:space="0" w:color="auto"/>
              <w:bottom w:val="single" w:sz="4" w:space="0" w:color="000000"/>
              <w:right w:val="nil" w:sz="6" w:space="0" w:color="auto"/>
            </w:tcBorders>
          </w:tcPr>
          <w:p>
            <w:pPr>
              <w:pStyle w:val="TableParagraph"/>
              <w:spacing w:line="180" w:lineRule="exact"/>
              <w:ind w:left="44" w:right="0"/>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69" w:type="dxa"/>
            <w:tcBorders>
              <w:top w:val="nil" w:sz="6" w:space="0" w:color="auto"/>
              <w:left w:val="nil" w:sz="6" w:space="0" w:color="auto"/>
              <w:bottom w:val="single" w:sz="4" w:space="0" w:color="000000"/>
              <w:right w:val="nil" w:sz="6" w:space="0" w:color="auto"/>
            </w:tcBorders>
          </w:tcPr>
          <w:p>
            <w:pPr>
              <w:pStyle w:val="TableParagraph"/>
              <w:spacing w:line="180" w:lineRule="exact"/>
              <w:ind w:left="52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0" w:hRule="exact"/>
        </w:trPr>
        <w:tc>
          <w:tcPr>
            <w:tcW w:w="216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5"/>
              <w:jc w:val="center"/>
              <w:rPr>
                <w:rFonts w:ascii="宋体" w:hAnsi="宋体" w:cs="宋体" w:eastAsia="宋体" w:hint="default"/>
                <w:sz w:val="18"/>
                <w:szCs w:val="18"/>
              </w:rPr>
            </w:pPr>
            <w:r>
              <w:rPr>
                <w:rFonts w:ascii="宋体" w:hAnsi="宋体" w:cs="宋体" w:eastAsia="宋体" w:hint="default"/>
                <w:spacing w:val="-4"/>
                <w:sz w:val="18"/>
                <w:szCs w:val="18"/>
              </w:rPr>
              <w:t>资本溢价（或股本溢价）</w:t>
            </w: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57"/>
              <w:jc w:val="center"/>
              <w:rPr>
                <w:rFonts w:ascii="Times New Roman" w:hAnsi="Times New Roman" w:cs="Times New Roman" w:eastAsia="Times New Roman" w:hint="default"/>
                <w:sz w:val="18"/>
                <w:szCs w:val="18"/>
              </w:rPr>
            </w:pPr>
            <w:r>
              <w:rPr>
                <w:rFonts w:ascii="Times New Roman"/>
                <w:sz w:val="18"/>
              </w:rPr>
              <w:t>1,205,960,316.81</w:t>
            </w:r>
          </w:p>
        </w:tc>
        <w:tc>
          <w:tcPr>
            <w:tcW w:w="1545" w:type="dxa"/>
            <w:tcBorders>
              <w:top w:val="single" w:sz="4" w:space="0" w:color="000000"/>
              <w:left w:val="nil" w:sz="6" w:space="0" w:color="auto"/>
              <w:bottom w:val="nil" w:sz="6" w:space="0" w:color="auto"/>
              <w:right w:val="nil" w:sz="6" w:space="0" w:color="auto"/>
            </w:tcBorders>
          </w:tcPr>
          <w:p>
            <w:pPr/>
          </w:p>
        </w:tc>
        <w:tc>
          <w:tcPr>
            <w:tcW w:w="157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35" w:right="0"/>
              <w:jc w:val="center"/>
              <w:rPr>
                <w:rFonts w:ascii="Times New Roman" w:hAnsi="Times New Roman" w:cs="Times New Roman" w:eastAsia="Times New Roman" w:hint="default"/>
                <w:sz w:val="18"/>
                <w:szCs w:val="18"/>
              </w:rPr>
            </w:pPr>
            <w:r>
              <w:rPr>
                <w:rFonts w:ascii="Times New Roman"/>
                <w:sz w:val="18"/>
              </w:rPr>
              <w:t>70,391,918.00</w:t>
            </w:r>
          </w:p>
        </w:tc>
        <w:tc>
          <w:tcPr>
            <w:tcW w:w="176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55"/>
              <w:jc w:val="right"/>
              <w:rPr>
                <w:rFonts w:ascii="Times New Roman" w:hAnsi="Times New Roman" w:cs="Times New Roman" w:eastAsia="Times New Roman" w:hint="default"/>
                <w:sz w:val="18"/>
                <w:szCs w:val="18"/>
              </w:rPr>
            </w:pPr>
            <w:r>
              <w:rPr>
                <w:rFonts w:ascii="Times New Roman"/>
                <w:spacing w:val="-1"/>
                <w:sz w:val="18"/>
              </w:rPr>
              <w:t>1,135,568,398.81</w:t>
            </w:r>
          </w:p>
        </w:tc>
      </w:tr>
      <w:tr>
        <w:trPr>
          <w:trHeight w:val="294" w:hRule="exact"/>
        </w:trPr>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4"/>
              <w:jc w:val="center"/>
              <w:rPr>
                <w:rFonts w:ascii="宋体" w:hAnsi="宋体" w:cs="宋体" w:eastAsia="宋体" w:hint="default"/>
                <w:sz w:val="18"/>
                <w:szCs w:val="18"/>
              </w:rPr>
            </w:pPr>
            <w:r>
              <w:rPr>
                <w:rFonts w:ascii="宋体" w:hAnsi="宋体" w:cs="宋体" w:eastAsia="宋体" w:hint="default"/>
                <w:sz w:val="18"/>
                <w:szCs w:val="18"/>
              </w:rPr>
              <w:t>合计</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57"/>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1,205,960,316.81</w:t>
            </w:r>
            <w:r>
              <w:rPr>
                <w:rFonts w:ascii="Times New Roman"/>
                <w:sz w:val="18"/>
              </w:rPr>
            </w:r>
          </w:p>
        </w:tc>
        <w:tc>
          <w:tcPr>
            <w:tcW w:w="1545" w:type="dxa"/>
            <w:tcBorders>
              <w:top w:val="nil" w:sz="6" w:space="0" w:color="auto"/>
              <w:left w:val="nil" w:sz="6" w:space="0" w:color="auto"/>
              <w:bottom w:val="nil" w:sz="6" w:space="0" w:color="auto"/>
              <w:right w:val="nil" w:sz="6" w:space="0" w:color="auto"/>
            </w:tcBorders>
          </w:tcPr>
          <w:p>
            <w:pP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70,391,918.00</w:t>
            </w:r>
            <w:r>
              <w:rPr>
                <w:rFonts w:ascii="Times New Roman"/>
                <w:sz w:val="18"/>
              </w:rPr>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5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pacing w:val="-1"/>
                <w:sz w:val="18"/>
                <w:u w:val="thick" w:color="000000"/>
              </w:rPr>
              <w:t>1,135,568,398.81</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348" w:lineRule="auto" w:before="44"/>
        <w:ind w:left="500" w:right="0" w:firstLine="359"/>
        <w:jc w:val="left"/>
      </w:pPr>
      <w:r>
        <w:rPr/>
        <w:t>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日，公司</w:t>
      </w:r>
      <w:r>
        <w:rPr>
          <w:rFonts w:ascii="Times New Roman" w:hAnsi="Times New Roman" w:cs="Times New Roman" w:eastAsia="Times New Roman" w:hint="default"/>
        </w:rPr>
        <w:t>2014</w:t>
      </w:r>
      <w:r>
        <w:rPr/>
        <w:t>年度股东大会决议，以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35,195.9591</w:t>
      </w:r>
      <w:r>
        <w:rPr/>
        <w:t>万股为基数， 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股的比例，以资本公积转增股份</w:t>
      </w:r>
      <w:r>
        <w:rPr>
          <w:rFonts w:ascii="Times New Roman" w:hAnsi="Times New Roman" w:cs="Times New Roman" w:eastAsia="Times New Roman" w:hint="default"/>
        </w:rPr>
        <w:t>7,039.1918</w:t>
      </w:r>
      <w:r>
        <w:rPr/>
        <w:t>万股，公司资本公积减少</w:t>
      </w:r>
      <w:r>
        <w:rPr>
          <w:rFonts w:ascii="Times New Roman" w:hAnsi="Times New Roman" w:cs="Times New Roman" w:eastAsia="Times New Roman" w:hint="default"/>
        </w:rPr>
        <w:t>7,039.19</w:t>
      </w:r>
      <w:r>
        <w:rPr/>
        <w:t>万元。</w:t>
      </w:r>
    </w:p>
    <w:p>
      <w:pPr>
        <w:spacing w:line="240" w:lineRule="auto" w:before="12"/>
        <w:rPr>
          <w:rFonts w:ascii="宋体" w:hAnsi="宋体" w:cs="宋体" w:eastAsia="宋体" w:hint="default"/>
          <w:sz w:val="22"/>
          <w:szCs w:val="22"/>
        </w:rPr>
      </w:pPr>
    </w:p>
    <w:p>
      <w:pPr>
        <w:pStyle w:val="BodyText"/>
        <w:spacing w:line="240" w:lineRule="auto"/>
        <w:ind w:left="860" w:right="0"/>
        <w:jc w:val="left"/>
      </w:pPr>
      <w:r>
        <w:rPr>
          <w:rFonts w:ascii="Times New Roman" w:hAnsi="Times New Roman" w:cs="Times New Roman" w:eastAsia="Times New Roman" w:hint="default"/>
        </w:rPr>
        <w:t>26. </w:t>
      </w:r>
      <w:r>
        <w:rPr>
          <w:rFonts w:ascii="Times New Roman" w:hAnsi="Times New Roman" w:cs="Times New Roman" w:eastAsia="Times New Roman" w:hint="default"/>
          <w:spacing w:val="1"/>
        </w:rPr>
        <w:t> </w:t>
      </w:r>
      <w:r>
        <w:rPr/>
        <w:t>盈余公积</w:t>
      </w:r>
    </w:p>
    <w:p>
      <w:pPr>
        <w:spacing w:line="240" w:lineRule="auto" w:before="6"/>
        <w:rPr>
          <w:rFonts w:ascii="宋体" w:hAnsi="宋体" w:cs="宋体" w:eastAsia="宋体" w:hint="default"/>
          <w:sz w:val="24"/>
          <w:szCs w:val="24"/>
        </w:rPr>
      </w:pPr>
    </w:p>
    <w:tbl>
      <w:tblPr>
        <w:tblW w:w="0" w:type="auto"/>
        <w:jc w:val="left"/>
        <w:tblInd w:w="255" w:type="dxa"/>
        <w:tblLayout w:type="fixed"/>
        <w:tblCellMar>
          <w:top w:w="0" w:type="dxa"/>
          <w:left w:w="0" w:type="dxa"/>
          <w:bottom w:w="0" w:type="dxa"/>
          <w:right w:w="0" w:type="dxa"/>
        </w:tblCellMar>
        <w:tblLook w:val="01E0"/>
      </w:tblPr>
      <w:tblGrid>
        <w:gridCol w:w="1718"/>
        <w:gridCol w:w="1817"/>
        <w:gridCol w:w="1845"/>
        <w:gridCol w:w="1658"/>
        <w:gridCol w:w="1759"/>
      </w:tblGrid>
      <w:tr>
        <w:trPr>
          <w:trHeight w:val="275" w:hRule="exact"/>
        </w:trPr>
        <w:tc>
          <w:tcPr>
            <w:tcW w:w="1718" w:type="dxa"/>
            <w:tcBorders>
              <w:top w:val="nil" w:sz="6" w:space="0" w:color="auto"/>
              <w:left w:val="nil" w:sz="6" w:space="0" w:color="auto"/>
              <w:bottom w:val="single" w:sz="4" w:space="0" w:color="000000"/>
              <w:right w:val="nil" w:sz="6" w:space="0" w:color="auto"/>
            </w:tcBorders>
          </w:tcPr>
          <w:p>
            <w:pPr>
              <w:pStyle w:val="TableParagraph"/>
              <w:spacing w:line="180" w:lineRule="exact"/>
              <w:ind w:left="4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17" w:type="dxa"/>
            <w:tcBorders>
              <w:top w:val="nil" w:sz="6" w:space="0" w:color="auto"/>
              <w:left w:val="nil" w:sz="6" w:space="0" w:color="auto"/>
              <w:bottom w:val="single" w:sz="4" w:space="0" w:color="000000"/>
              <w:right w:val="nil" w:sz="6" w:space="0" w:color="auto"/>
            </w:tcBorders>
          </w:tcPr>
          <w:p>
            <w:pPr>
              <w:pStyle w:val="TableParagraph"/>
              <w:spacing w:line="180" w:lineRule="exact"/>
              <w:ind w:left="55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845" w:type="dxa"/>
            <w:tcBorders>
              <w:top w:val="nil" w:sz="6" w:space="0" w:color="auto"/>
              <w:left w:val="nil" w:sz="6" w:space="0" w:color="auto"/>
              <w:bottom w:val="single" w:sz="4" w:space="0" w:color="000000"/>
              <w:right w:val="nil" w:sz="6" w:space="0" w:color="auto"/>
            </w:tcBorders>
          </w:tcPr>
          <w:p>
            <w:pPr>
              <w:pStyle w:val="TableParagraph"/>
              <w:spacing w:line="180" w:lineRule="exact"/>
              <w:ind w:left="501"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58" w:type="dxa"/>
            <w:tcBorders>
              <w:top w:val="nil" w:sz="6" w:space="0" w:color="auto"/>
              <w:left w:val="nil" w:sz="6" w:space="0" w:color="auto"/>
              <w:bottom w:val="single" w:sz="4" w:space="0" w:color="000000"/>
              <w:right w:val="nil" w:sz="6" w:space="0" w:color="auto"/>
            </w:tcBorders>
          </w:tcPr>
          <w:p>
            <w:pPr>
              <w:pStyle w:val="TableParagraph"/>
              <w:spacing w:line="180" w:lineRule="exact"/>
              <w:ind w:left="41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5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1" w:hRule="exact"/>
        </w:trPr>
        <w:tc>
          <w:tcPr>
            <w:tcW w:w="171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38" w:right="0"/>
              <w:jc w:val="center"/>
              <w:rPr>
                <w:rFonts w:ascii="宋体" w:hAnsi="宋体" w:cs="宋体" w:eastAsia="宋体" w:hint="default"/>
                <w:sz w:val="18"/>
                <w:szCs w:val="18"/>
              </w:rPr>
            </w:pPr>
            <w:r>
              <w:rPr>
                <w:rFonts w:ascii="宋体" w:hAnsi="宋体" w:cs="宋体" w:eastAsia="宋体" w:hint="default"/>
                <w:sz w:val="18"/>
                <w:szCs w:val="18"/>
              </w:rPr>
              <w:t>法定盈余公积</w:t>
            </w:r>
          </w:p>
        </w:tc>
        <w:tc>
          <w:tcPr>
            <w:tcW w:w="181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299" w:right="0"/>
              <w:jc w:val="left"/>
              <w:rPr>
                <w:rFonts w:ascii="Times New Roman" w:hAnsi="Times New Roman" w:cs="Times New Roman" w:eastAsia="Times New Roman" w:hint="default"/>
                <w:sz w:val="18"/>
                <w:szCs w:val="18"/>
              </w:rPr>
            </w:pPr>
            <w:r>
              <w:rPr>
                <w:rFonts w:ascii="Times New Roman"/>
                <w:sz w:val="18"/>
              </w:rPr>
              <w:t>15,150,122.60</w:t>
            </w:r>
          </w:p>
        </w:tc>
        <w:tc>
          <w:tcPr>
            <w:tcW w:w="184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414"/>
              <w:jc w:val="right"/>
              <w:rPr>
                <w:rFonts w:ascii="Times New Roman" w:hAnsi="Times New Roman" w:cs="Times New Roman" w:eastAsia="Times New Roman" w:hint="default"/>
                <w:sz w:val="18"/>
                <w:szCs w:val="18"/>
              </w:rPr>
            </w:pPr>
            <w:r>
              <w:rPr>
                <w:rFonts w:ascii="Times New Roman"/>
                <w:spacing w:val="-1"/>
                <w:sz w:val="18"/>
              </w:rPr>
              <w:t>4,343,491.02</w:t>
            </w:r>
          </w:p>
        </w:tc>
        <w:tc>
          <w:tcPr>
            <w:tcW w:w="1658" w:type="dxa"/>
            <w:tcBorders>
              <w:top w:val="single" w:sz="4" w:space="0" w:color="000000"/>
              <w:left w:val="nil" w:sz="6" w:space="0" w:color="auto"/>
              <w:bottom w:val="nil" w:sz="6" w:space="0" w:color="auto"/>
              <w:right w:val="nil" w:sz="6" w:space="0" w:color="auto"/>
            </w:tcBorders>
          </w:tcPr>
          <w:p>
            <w:pPr/>
          </w:p>
        </w:tc>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12"/>
              <w:jc w:val="center"/>
              <w:rPr>
                <w:rFonts w:ascii="Times New Roman" w:hAnsi="Times New Roman" w:cs="Times New Roman" w:eastAsia="Times New Roman" w:hint="default"/>
                <w:sz w:val="18"/>
                <w:szCs w:val="18"/>
              </w:rPr>
            </w:pPr>
            <w:r>
              <w:rPr>
                <w:rFonts w:ascii="Times New Roman"/>
                <w:sz w:val="18"/>
              </w:rPr>
              <w:t>19,493,613.62</w:t>
            </w:r>
          </w:p>
        </w:tc>
      </w:tr>
      <w:tr>
        <w:trPr>
          <w:trHeight w:val="295"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15,150,122.60</w:t>
            </w:r>
            <w:r>
              <w:rPr>
                <w:rFonts w:ascii="Times New Roman"/>
                <w:sz w:val="18"/>
              </w:rPr>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17"/>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pacing w:val="-1"/>
                <w:sz w:val="18"/>
                <w:u w:val="thick" w:color="000000"/>
              </w:rPr>
              <w:t>4,343,491.02</w:t>
            </w:r>
            <w:r>
              <w:rPr>
                <w:rFonts w:ascii="Times New Roman"/>
                <w:spacing w:val="-1"/>
                <w:sz w:val="18"/>
              </w:rPr>
            </w:r>
          </w:p>
        </w:tc>
        <w:tc>
          <w:tcPr>
            <w:tcW w:w="1658"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tabs>
                <w:tab w:pos="1214" w:val="left" w:leader="none"/>
              </w:tabs>
              <w:spacing w:line="240" w:lineRule="auto" w:before="92"/>
              <w:ind w:right="115"/>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z w:val="18"/>
                <w:u w:val="thick" w:color="000000"/>
              </w:rPr>
              <w:t>19,493,613.62</w:t>
              <w:tab/>
            </w:r>
            <w:r>
              <w:rPr>
                <w:rFonts w:ascii="Times New Roman"/>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500" w:right="0"/>
        <w:jc w:val="left"/>
      </w:pPr>
      <w:r>
        <w:rPr>
          <w:rFonts w:ascii="Times New Roman" w:hAnsi="Times New Roman" w:cs="Times New Roman" w:eastAsia="Times New Roman" w:hint="default"/>
        </w:rPr>
        <w:t>27. </w:t>
      </w:r>
      <w:r>
        <w:rPr>
          <w:rFonts w:ascii="Times New Roman" w:hAnsi="Times New Roman" w:cs="Times New Roman" w:eastAsia="Times New Roman" w:hint="default"/>
          <w:spacing w:val="1"/>
        </w:rPr>
        <w:t> </w:t>
      </w:r>
      <w:r>
        <w:rPr/>
        <w:t>未分配利润</w:t>
      </w:r>
    </w:p>
    <w:p>
      <w:pPr>
        <w:spacing w:line="240" w:lineRule="auto" w:before="6"/>
        <w:rPr>
          <w:rFonts w:ascii="宋体" w:hAnsi="宋体" w:cs="宋体" w:eastAsia="宋体" w:hint="default"/>
          <w:sz w:val="24"/>
          <w:szCs w:val="24"/>
        </w:rPr>
      </w:pPr>
    </w:p>
    <w:tbl>
      <w:tblPr>
        <w:tblW w:w="0" w:type="auto"/>
        <w:jc w:val="left"/>
        <w:tblInd w:w="392" w:type="dxa"/>
        <w:tblLayout w:type="fixed"/>
        <w:tblCellMar>
          <w:top w:w="0" w:type="dxa"/>
          <w:left w:w="0" w:type="dxa"/>
          <w:bottom w:w="0" w:type="dxa"/>
          <w:right w:w="0" w:type="dxa"/>
        </w:tblCellMar>
        <w:tblLook w:val="01E0"/>
      </w:tblPr>
      <w:tblGrid>
        <w:gridCol w:w="3978"/>
        <w:gridCol w:w="2462"/>
        <w:gridCol w:w="2083"/>
      </w:tblGrid>
      <w:tr>
        <w:trPr>
          <w:trHeight w:val="275" w:hRule="exact"/>
        </w:trPr>
        <w:tc>
          <w:tcPr>
            <w:tcW w:w="3978" w:type="dxa"/>
            <w:tcBorders>
              <w:top w:val="nil" w:sz="6" w:space="0" w:color="auto"/>
              <w:left w:val="nil" w:sz="6" w:space="0" w:color="auto"/>
              <w:bottom w:val="single" w:sz="4" w:space="0" w:color="000000"/>
              <w:right w:val="nil" w:sz="6" w:space="0" w:color="auto"/>
            </w:tcBorders>
          </w:tcPr>
          <w:p>
            <w:pPr>
              <w:pStyle w:val="TableParagraph"/>
              <w:spacing w:line="180" w:lineRule="exact"/>
              <w:ind w:left="19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62" w:type="dxa"/>
            <w:tcBorders>
              <w:top w:val="nil" w:sz="6" w:space="0" w:color="auto"/>
              <w:left w:val="nil" w:sz="6" w:space="0" w:color="auto"/>
              <w:bottom w:val="single" w:sz="4" w:space="0" w:color="000000"/>
              <w:right w:val="nil" w:sz="6" w:space="0" w:color="auto"/>
            </w:tcBorders>
          </w:tcPr>
          <w:p>
            <w:pPr>
              <w:pStyle w:val="TableParagraph"/>
              <w:spacing w:line="180" w:lineRule="exact"/>
              <w:ind w:left="97"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083" w:type="dxa"/>
            <w:tcBorders>
              <w:top w:val="nil" w:sz="6" w:space="0" w:color="auto"/>
              <w:left w:val="nil" w:sz="6" w:space="0" w:color="auto"/>
              <w:bottom w:val="single" w:sz="4" w:space="0" w:color="000000"/>
              <w:right w:val="nil" w:sz="6" w:space="0" w:color="auto"/>
            </w:tcBorders>
          </w:tcPr>
          <w:p>
            <w:pPr>
              <w:pStyle w:val="TableParagraph"/>
              <w:spacing w:line="180" w:lineRule="exact"/>
              <w:ind w:left="63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31" w:hRule="exact"/>
        </w:trPr>
        <w:tc>
          <w:tcPr>
            <w:tcW w:w="397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上期期末未分配利润</w:t>
            </w:r>
          </w:p>
        </w:tc>
        <w:tc>
          <w:tcPr>
            <w:tcW w:w="246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52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191,830,428.97</w:t>
            </w:r>
            <w:r>
              <w:rPr>
                <w:rFonts w:ascii="Times New Roman"/>
                <w:spacing w:val="-1"/>
                <w:sz w:val="18"/>
              </w:rPr>
            </w:r>
          </w:p>
        </w:tc>
        <w:tc>
          <w:tcPr>
            <w:tcW w:w="208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43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83,392,266.15</w:t>
            </w:r>
            <w:r>
              <w:rPr>
                <w:rFonts w:ascii="Times New Roman"/>
                <w:spacing w:val="-1"/>
                <w:sz w:val="18"/>
              </w:rPr>
            </w:r>
          </w:p>
        </w:tc>
      </w:tr>
      <w:tr>
        <w:trPr>
          <w:trHeight w:val="400"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期初未分配利润调整合计数（调增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2"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
        </w:tc>
      </w:tr>
      <w:tr>
        <w:trPr>
          <w:trHeight w:val="400"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23"/>
              <w:jc w:val="right"/>
              <w:rPr>
                <w:rFonts w:ascii="Times New Roman" w:hAnsi="Times New Roman" w:cs="Times New Roman" w:eastAsia="Times New Roman" w:hint="default"/>
                <w:sz w:val="18"/>
                <w:szCs w:val="18"/>
              </w:rPr>
            </w:pPr>
            <w:r>
              <w:rPr>
                <w:rFonts w:ascii="Times New Roman"/>
                <w:spacing w:val="-1"/>
                <w:sz w:val="18"/>
              </w:rPr>
              <w:t>191,830,428.97</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30"/>
              <w:jc w:val="right"/>
              <w:rPr>
                <w:rFonts w:ascii="Times New Roman" w:hAnsi="Times New Roman" w:cs="Times New Roman" w:eastAsia="Times New Roman" w:hint="default"/>
                <w:sz w:val="18"/>
                <w:szCs w:val="18"/>
              </w:rPr>
            </w:pPr>
            <w:r>
              <w:rPr>
                <w:rFonts w:ascii="Times New Roman"/>
                <w:spacing w:val="-1"/>
                <w:sz w:val="18"/>
              </w:rPr>
              <w:t>83,392,266.15</w:t>
            </w:r>
          </w:p>
        </w:tc>
      </w:tr>
      <w:tr>
        <w:trPr>
          <w:trHeight w:val="401"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26"/>
              <w:jc w:val="right"/>
              <w:rPr>
                <w:rFonts w:ascii="Times New Roman" w:hAnsi="Times New Roman" w:cs="Times New Roman" w:eastAsia="Times New Roman" w:hint="default"/>
                <w:sz w:val="18"/>
                <w:szCs w:val="18"/>
              </w:rPr>
            </w:pPr>
            <w:r>
              <w:rPr>
                <w:rFonts w:ascii="Times New Roman"/>
                <w:spacing w:val="-1"/>
                <w:sz w:val="18"/>
              </w:rPr>
              <w:t>176,217,902.06</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30"/>
              <w:jc w:val="right"/>
              <w:rPr>
                <w:rFonts w:ascii="Times New Roman" w:hAnsi="Times New Roman" w:cs="Times New Roman" w:eastAsia="Times New Roman" w:hint="default"/>
                <w:sz w:val="18"/>
                <w:szCs w:val="18"/>
              </w:rPr>
            </w:pPr>
            <w:r>
              <w:rPr>
                <w:rFonts w:ascii="Times New Roman"/>
                <w:spacing w:val="-1"/>
                <w:sz w:val="18"/>
              </w:rPr>
              <w:t>118,257,749.77</w:t>
            </w:r>
          </w:p>
        </w:tc>
      </w:tr>
      <w:tr>
        <w:trPr>
          <w:trHeight w:val="400"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26"/>
              <w:jc w:val="right"/>
              <w:rPr>
                <w:rFonts w:ascii="Times New Roman" w:hAnsi="Times New Roman" w:cs="Times New Roman" w:eastAsia="Times New Roman" w:hint="default"/>
                <w:sz w:val="18"/>
                <w:szCs w:val="18"/>
              </w:rPr>
            </w:pPr>
            <w:r>
              <w:rPr>
                <w:rFonts w:ascii="Times New Roman"/>
                <w:spacing w:val="-1"/>
                <w:sz w:val="18"/>
              </w:rPr>
              <w:t>4,343,491.02</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30"/>
              <w:jc w:val="right"/>
              <w:rPr>
                <w:rFonts w:ascii="Times New Roman" w:hAnsi="Times New Roman" w:cs="Times New Roman" w:eastAsia="Times New Roman" w:hint="default"/>
                <w:sz w:val="18"/>
                <w:szCs w:val="18"/>
              </w:rPr>
            </w:pPr>
            <w:r>
              <w:rPr>
                <w:rFonts w:ascii="Times New Roman"/>
                <w:spacing w:val="-1"/>
                <w:sz w:val="18"/>
              </w:rPr>
              <w:t>2,214,586.95</w:t>
            </w:r>
          </w:p>
        </w:tc>
      </w:tr>
      <w:tr>
        <w:trPr>
          <w:trHeight w:val="395"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67"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462"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
        </w:tc>
      </w:tr>
      <w:tr>
        <w:trPr>
          <w:trHeight w:val="406"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6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23"/>
              <w:jc w:val="right"/>
              <w:rPr>
                <w:rFonts w:ascii="Times New Roman" w:hAnsi="Times New Roman" w:cs="Times New Roman" w:eastAsia="Times New Roman" w:hint="default"/>
                <w:sz w:val="18"/>
                <w:szCs w:val="18"/>
              </w:rPr>
            </w:pPr>
            <w:r>
              <w:rPr>
                <w:rFonts w:ascii="Times New Roman"/>
                <w:spacing w:val="-1"/>
                <w:sz w:val="18"/>
              </w:rPr>
              <w:t>12,318,585.68</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30"/>
              <w:jc w:val="right"/>
              <w:rPr>
                <w:rFonts w:ascii="Times New Roman" w:hAnsi="Times New Roman" w:cs="Times New Roman" w:eastAsia="Times New Roman" w:hint="default"/>
                <w:sz w:val="18"/>
                <w:szCs w:val="18"/>
              </w:rPr>
            </w:pPr>
            <w:r>
              <w:rPr>
                <w:rFonts w:ascii="Times New Roman"/>
                <w:spacing w:val="-1"/>
                <w:sz w:val="18"/>
              </w:rPr>
              <w:t>7,605,000.00</w:t>
            </w:r>
          </w:p>
        </w:tc>
      </w:tr>
      <w:tr>
        <w:trPr>
          <w:trHeight w:val="395"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7"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462"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
        </w:tc>
      </w:tr>
      <w:tr>
        <w:trPr>
          <w:trHeight w:val="299"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26"/>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pacing w:val="-1"/>
                <w:sz w:val="18"/>
                <w:u w:val="thick" w:color="000000"/>
              </w:rPr>
              <w:t>351,386,254.33</w:t>
            </w:r>
            <w:r>
              <w:rPr>
                <w:rFonts w:ascii="Times New Roman"/>
                <w:spacing w:val="-1"/>
                <w:sz w:val="18"/>
              </w:rPr>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3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191,830,428.97</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860" w:right="0"/>
        <w:jc w:val="left"/>
      </w:pPr>
      <w:r>
        <w:rPr/>
        <w:t>注</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rFonts w:ascii="Times New Roman" w:hAnsi="Times New Roman" w:cs="Times New Roman" w:eastAsia="Times New Roman" w:hint="default"/>
        </w:rPr>
        <w:t>2015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4"/>
        </w:rPr>
        <w:t>日，公司</w:t>
      </w:r>
      <w:r>
        <w:rPr>
          <w:spacing w:val="-46"/>
        </w:rPr>
        <w:t> </w:t>
      </w:r>
      <w:r>
        <w:rPr>
          <w:rFonts w:ascii="Times New Roman" w:hAnsi="Times New Roman" w:cs="Times New Roman" w:eastAsia="Times New Roman" w:hint="default"/>
        </w:rPr>
        <w:t>2014 </w:t>
      </w:r>
      <w:r>
        <w:rPr/>
        <w:t>年度股东大会决议，以</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日总股本</w:t>
      </w:r>
      <w:r>
        <w:rPr>
          <w:spacing w:val="-49"/>
        </w:rPr>
        <w:t> </w:t>
      </w:r>
      <w:r>
        <w:rPr>
          <w:rFonts w:ascii="Times New Roman" w:hAnsi="Times New Roman" w:cs="Times New Roman" w:eastAsia="Times New Roman" w:hint="default"/>
        </w:rPr>
        <w:t>35,195.9591</w:t>
      </w:r>
      <w:r>
        <w:rPr>
          <w:rFonts w:ascii="Times New Roman" w:hAnsi="Times New Roman" w:cs="Times New Roman" w:eastAsia="Times New Roman" w:hint="default"/>
          <w:spacing w:val="1"/>
        </w:rPr>
        <w:t> </w:t>
      </w:r>
      <w:r>
        <w:rPr/>
        <w:t>万股为</w:t>
      </w:r>
    </w:p>
    <w:p>
      <w:pPr>
        <w:pStyle w:val="BodyText"/>
        <w:spacing w:line="240" w:lineRule="auto" w:before="113"/>
        <w:ind w:left="500" w:right="0"/>
        <w:jc w:val="left"/>
      </w:pPr>
      <w:r>
        <w:rPr/>
        <w:t>基数，全体股东每</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股派发</w:t>
      </w:r>
      <w:r>
        <w:rPr>
          <w:spacing w:val="-3"/>
        </w:rPr>
        <w:t>现</w:t>
      </w:r>
      <w:r>
        <w:rPr/>
        <w:t>金股利</w:t>
      </w:r>
      <w:r>
        <w:rPr>
          <w:spacing w:val="-44"/>
        </w:rPr>
        <w:t> </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元（含税</w:t>
      </w:r>
      <w:r>
        <w:rPr>
          <w:spacing w:val="-92"/>
        </w:rPr>
        <w:t>）</w:t>
      </w:r>
      <w:r>
        <w:rPr/>
        <w:t>，共</w:t>
      </w:r>
      <w:r>
        <w:rPr>
          <w:spacing w:val="-3"/>
        </w:rPr>
        <w:t>计</w:t>
      </w:r>
      <w:r>
        <w:rPr/>
        <w:t>分配现金股股利</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万</w:t>
      </w:r>
      <w:r>
        <w:rPr>
          <w:spacing w:val="-3"/>
        </w:rPr>
        <w:t>元</w:t>
      </w:r>
      <w:r>
        <w:rPr/>
        <w:t>。</w:t>
      </w:r>
    </w:p>
    <w:p>
      <w:pPr>
        <w:spacing w:after="0" w:line="240" w:lineRule="auto"/>
        <w:jc w:val="left"/>
        <w:sectPr>
          <w:pgSz w:w="11910" w:h="16840"/>
          <w:pgMar w:header="0" w:footer="979" w:top="1500" w:bottom="1160" w:left="1300" w:right="1300"/>
        </w:sectPr>
      </w:pPr>
    </w:p>
    <w:p>
      <w:pPr>
        <w:pStyle w:val="BodyText"/>
        <w:spacing w:line="240" w:lineRule="auto" w:before="17"/>
        <w:ind w:left="600" w:right="2166"/>
        <w:jc w:val="left"/>
      </w:pPr>
      <w:r>
        <w:rPr>
          <w:rFonts w:ascii="Times New Roman" w:hAnsi="Times New Roman" w:cs="Times New Roman" w:eastAsia="Times New Roman" w:hint="default"/>
        </w:rPr>
        <w:t>28. </w:t>
      </w:r>
      <w:r>
        <w:rPr>
          <w:rFonts w:ascii="Times New Roman" w:hAnsi="Times New Roman" w:cs="Times New Roman" w:eastAsia="Times New Roman" w:hint="default"/>
          <w:spacing w:val="1"/>
        </w:rPr>
        <w:t> </w:t>
      </w:r>
      <w:r>
        <w:rPr/>
        <w:t>营业收入、营业成本</w:t>
      </w: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96"/>
        <w:gridCol w:w="2922"/>
        <w:gridCol w:w="2763"/>
      </w:tblGrid>
      <w:tr>
        <w:trPr>
          <w:trHeight w:val="275" w:hRule="exact"/>
        </w:trPr>
        <w:tc>
          <w:tcPr>
            <w:tcW w:w="2896"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180" w:lineRule="exact"/>
              <w:ind w:right="39"/>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922" w:type="dxa"/>
            <w:tcBorders>
              <w:top w:val="nil" w:sz="6" w:space="0" w:color="auto"/>
              <w:left w:val="nil" w:sz="6" w:space="0" w:color="auto"/>
              <w:bottom w:val="single" w:sz="4" w:space="0" w:color="000000"/>
              <w:right w:val="nil" w:sz="6" w:space="0" w:color="auto"/>
            </w:tcBorders>
          </w:tcPr>
          <w:p>
            <w:pPr>
              <w:pStyle w:val="TableParagraph"/>
              <w:spacing w:line="180" w:lineRule="exact"/>
              <w:ind w:left="94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63" w:type="dxa"/>
            <w:tcBorders>
              <w:top w:val="nil" w:sz="6" w:space="0" w:color="auto"/>
              <w:left w:val="nil" w:sz="6" w:space="0" w:color="auto"/>
              <w:bottom w:val="single" w:sz="4" w:space="0" w:color="000000"/>
              <w:right w:val="nil" w:sz="6" w:space="0" w:color="auto"/>
            </w:tcBorders>
          </w:tcPr>
          <w:p>
            <w:pPr>
              <w:pStyle w:val="TableParagraph"/>
              <w:spacing w:line="180" w:lineRule="exact"/>
              <w:ind w:left="88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12" w:hRule="exact"/>
        </w:trPr>
        <w:tc>
          <w:tcPr>
            <w:tcW w:w="289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37"/>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292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866"/>
              <w:jc w:val="right"/>
              <w:rPr>
                <w:rFonts w:ascii="Times New Roman" w:hAnsi="Times New Roman" w:cs="Times New Roman" w:eastAsia="Times New Roman" w:hint="default"/>
                <w:sz w:val="18"/>
                <w:szCs w:val="18"/>
              </w:rPr>
            </w:pPr>
            <w:r>
              <w:rPr>
                <w:rFonts w:ascii="Times New Roman"/>
                <w:spacing w:val="-1"/>
                <w:sz w:val="18"/>
              </w:rPr>
              <w:t>544,039,670.44</w:t>
            </w:r>
          </w:p>
        </w:tc>
        <w:tc>
          <w:tcPr>
            <w:tcW w:w="276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866" w:right="0"/>
              <w:jc w:val="left"/>
              <w:rPr>
                <w:rFonts w:ascii="Times New Roman" w:hAnsi="Times New Roman" w:cs="Times New Roman" w:eastAsia="Times New Roman" w:hint="default"/>
                <w:sz w:val="18"/>
                <w:szCs w:val="18"/>
              </w:rPr>
            </w:pPr>
            <w:r>
              <w:rPr>
                <w:rFonts w:ascii="Times New Roman"/>
                <w:sz w:val="18"/>
              </w:rPr>
              <w:t>515,539,526.44</w:t>
            </w:r>
          </w:p>
        </w:tc>
      </w:tr>
      <w:tr>
        <w:trPr>
          <w:trHeight w:val="400"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7"/>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6"/>
              <w:jc w:val="right"/>
              <w:rPr>
                <w:rFonts w:ascii="Times New Roman" w:hAnsi="Times New Roman" w:cs="Times New Roman" w:eastAsia="Times New Roman" w:hint="default"/>
                <w:sz w:val="18"/>
                <w:szCs w:val="18"/>
              </w:rPr>
            </w:pPr>
            <w:r>
              <w:rPr>
                <w:rFonts w:ascii="Times New Roman"/>
                <w:spacing w:val="-1"/>
                <w:sz w:val="18"/>
              </w:rPr>
              <w:t>242,859.73</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181" w:right="0"/>
              <w:jc w:val="left"/>
              <w:rPr>
                <w:rFonts w:ascii="Times New Roman" w:hAnsi="Times New Roman" w:cs="Times New Roman" w:eastAsia="Times New Roman" w:hint="default"/>
                <w:sz w:val="18"/>
                <w:szCs w:val="18"/>
              </w:rPr>
            </w:pPr>
            <w:r>
              <w:rPr>
                <w:rFonts w:ascii="Times New Roman"/>
                <w:sz w:val="18"/>
              </w:rPr>
              <w:t>216,241.92</w:t>
            </w:r>
          </w:p>
        </w:tc>
      </w:tr>
      <w:tr>
        <w:trPr>
          <w:trHeight w:val="400"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9"/>
              <w:jc w:val="center"/>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6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544,282,530.17</w:t>
            </w:r>
            <w:r>
              <w:rPr>
                <w:rFonts w:ascii="Times New Roman"/>
                <w:spacing w:val="-1"/>
                <w:sz w:val="18"/>
              </w:rPr>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6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515,755,768.36</w:t>
            </w:r>
            <w:r>
              <w:rPr>
                <w:rFonts w:ascii="Times New Roman"/>
                <w:sz w:val="18"/>
              </w:rPr>
            </w:r>
          </w:p>
        </w:tc>
      </w:tr>
      <w:tr>
        <w:trPr>
          <w:trHeight w:val="401"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7"/>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6"/>
              <w:jc w:val="right"/>
              <w:rPr>
                <w:rFonts w:ascii="Times New Roman" w:hAnsi="Times New Roman" w:cs="Times New Roman" w:eastAsia="Times New Roman" w:hint="default"/>
                <w:sz w:val="18"/>
                <w:szCs w:val="18"/>
              </w:rPr>
            </w:pPr>
            <w:r>
              <w:rPr>
                <w:rFonts w:ascii="Times New Roman"/>
                <w:spacing w:val="-1"/>
                <w:sz w:val="18"/>
              </w:rPr>
              <w:t>235,770,667.04</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66" w:right="0"/>
              <w:jc w:val="left"/>
              <w:rPr>
                <w:rFonts w:ascii="Times New Roman" w:hAnsi="Times New Roman" w:cs="Times New Roman" w:eastAsia="Times New Roman" w:hint="default"/>
                <w:sz w:val="18"/>
                <w:szCs w:val="18"/>
              </w:rPr>
            </w:pPr>
            <w:r>
              <w:rPr>
                <w:rFonts w:ascii="Times New Roman"/>
                <w:sz w:val="18"/>
              </w:rPr>
              <w:t>281,439,807.55</w:t>
            </w:r>
          </w:p>
        </w:tc>
      </w:tr>
      <w:tr>
        <w:trPr>
          <w:trHeight w:val="314" w:hRule="exact"/>
        </w:trPr>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9"/>
              <w:jc w:val="center"/>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235,770,667.04</w:t>
            </w:r>
            <w:r>
              <w:rPr>
                <w:rFonts w:ascii="Times New Roman"/>
                <w:spacing w:val="-1"/>
                <w:sz w:val="18"/>
              </w:rPr>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6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281,439,807.55</w:t>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600" w:right="2166"/>
        <w:jc w:val="left"/>
      </w:pPr>
      <w:r>
        <w:rPr>
          <w:rFonts w:ascii="Times New Roman" w:hAnsi="Times New Roman" w:cs="Times New Roman" w:eastAsia="Times New Roman" w:hint="default"/>
        </w:rPr>
        <w:t>29. </w:t>
      </w:r>
      <w:r>
        <w:rPr>
          <w:rFonts w:ascii="Times New Roman" w:hAnsi="Times New Roman" w:cs="Times New Roman" w:eastAsia="Times New Roman" w:hint="default"/>
          <w:spacing w:val="1"/>
        </w:rPr>
        <w:t> </w:t>
      </w:r>
      <w:r>
        <w:rPr/>
        <w:t>营业税金及附加</w:t>
      </w:r>
    </w:p>
    <w:p>
      <w:pPr>
        <w:spacing w:line="240" w:lineRule="auto" w:before="8"/>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538"/>
        <w:gridCol w:w="1875"/>
        <w:gridCol w:w="1983"/>
        <w:gridCol w:w="2128"/>
      </w:tblGrid>
      <w:tr>
        <w:trPr>
          <w:trHeight w:val="275" w:hRule="exact"/>
        </w:trPr>
        <w:tc>
          <w:tcPr>
            <w:tcW w:w="2538" w:type="dxa"/>
            <w:tcBorders>
              <w:top w:val="nil" w:sz="6" w:space="0" w:color="auto"/>
              <w:left w:val="nil" w:sz="6" w:space="0" w:color="auto"/>
              <w:bottom w:val="single" w:sz="4" w:space="0" w:color="000000"/>
              <w:right w:val="nil" w:sz="6" w:space="0" w:color="auto"/>
            </w:tcBorders>
          </w:tcPr>
          <w:p>
            <w:pPr>
              <w:pStyle w:val="TableParagraph"/>
              <w:spacing w:line="180" w:lineRule="exact"/>
              <w:ind w:right="120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75" w:type="dxa"/>
            <w:tcBorders>
              <w:top w:val="nil" w:sz="6" w:space="0" w:color="auto"/>
              <w:left w:val="nil" w:sz="6" w:space="0" w:color="auto"/>
              <w:bottom w:val="single" w:sz="4" w:space="0" w:color="000000"/>
              <w:right w:val="nil" w:sz="6" w:space="0" w:color="auto"/>
            </w:tcBorders>
          </w:tcPr>
          <w:p>
            <w:pPr>
              <w:pStyle w:val="TableParagraph"/>
              <w:spacing w:line="180" w:lineRule="exact"/>
              <w:ind w:right="621"/>
              <w:jc w:val="righ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sz w:val="18"/>
                <w:szCs w:val="18"/>
              </w:rPr>
            </w:r>
          </w:p>
        </w:tc>
        <w:tc>
          <w:tcPr>
            <w:tcW w:w="1983" w:type="dxa"/>
            <w:tcBorders>
              <w:top w:val="nil" w:sz="6" w:space="0" w:color="auto"/>
              <w:left w:val="nil" w:sz="6" w:space="0" w:color="auto"/>
              <w:bottom w:val="single" w:sz="4" w:space="0" w:color="000000"/>
              <w:right w:val="nil" w:sz="6" w:space="0" w:color="auto"/>
            </w:tcBorders>
          </w:tcPr>
          <w:p>
            <w:pPr>
              <w:pStyle w:val="TableParagraph"/>
              <w:spacing w:line="180" w:lineRule="exact"/>
              <w:ind w:left="54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128" w:type="dxa"/>
            <w:tcBorders>
              <w:top w:val="nil" w:sz="6" w:space="0" w:color="auto"/>
              <w:left w:val="nil" w:sz="6" w:space="0" w:color="auto"/>
              <w:bottom w:val="single" w:sz="4" w:space="0" w:color="000000"/>
              <w:right w:val="nil" w:sz="6" w:space="0" w:color="auto"/>
            </w:tcBorders>
          </w:tcPr>
          <w:p>
            <w:pPr>
              <w:pStyle w:val="TableParagraph"/>
              <w:spacing w:line="194"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计缴标准（</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30" w:hRule="exact"/>
        </w:trPr>
        <w:tc>
          <w:tcPr>
            <w:tcW w:w="253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87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546"/>
              <w:jc w:val="right"/>
              <w:rPr>
                <w:rFonts w:ascii="Times New Roman" w:hAnsi="Times New Roman" w:cs="Times New Roman" w:eastAsia="Times New Roman" w:hint="default"/>
                <w:sz w:val="18"/>
                <w:szCs w:val="18"/>
              </w:rPr>
            </w:pPr>
            <w:r>
              <w:rPr>
                <w:rFonts w:ascii="Times New Roman"/>
                <w:spacing w:val="-1"/>
                <w:sz w:val="18"/>
              </w:rPr>
              <w:t>250,372.80</w:t>
            </w:r>
          </w:p>
        </w:tc>
        <w:tc>
          <w:tcPr>
            <w:tcW w:w="198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455"/>
              <w:jc w:val="right"/>
              <w:rPr>
                <w:rFonts w:ascii="Times New Roman" w:hAnsi="Times New Roman" w:cs="Times New Roman" w:eastAsia="Times New Roman" w:hint="default"/>
                <w:sz w:val="18"/>
                <w:szCs w:val="18"/>
              </w:rPr>
            </w:pPr>
            <w:r>
              <w:rPr>
                <w:rFonts w:ascii="Times New Roman"/>
                <w:spacing w:val="-1"/>
                <w:sz w:val="18"/>
              </w:rPr>
              <w:t>338,606.98</w:t>
            </w:r>
          </w:p>
        </w:tc>
        <w:tc>
          <w:tcPr>
            <w:tcW w:w="212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53" w:right="0"/>
              <w:jc w:val="center"/>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46"/>
              <w:jc w:val="right"/>
              <w:rPr>
                <w:rFonts w:ascii="Times New Roman" w:hAnsi="Times New Roman" w:cs="Times New Roman" w:eastAsia="Times New Roman" w:hint="default"/>
                <w:sz w:val="18"/>
                <w:szCs w:val="18"/>
              </w:rPr>
            </w:pPr>
            <w:r>
              <w:rPr>
                <w:rFonts w:ascii="Times New Roman"/>
                <w:spacing w:val="-1"/>
                <w:sz w:val="18"/>
              </w:rPr>
              <w:t>746,944.63</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55"/>
              <w:jc w:val="right"/>
              <w:rPr>
                <w:rFonts w:ascii="Times New Roman" w:hAnsi="Times New Roman" w:cs="Times New Roman" w:eastAsia="Times New Roman" w:hint="default"/>
                <w:sz w:val="18"/>
                <w:szCs w:val="18"/>
              </w:rPr>
            </w:pPr>
            <w:r>
              <w:rPr>
                <w:rFonts w:ascii="Times New Roman"/>
                <w:spacing w:val="-1"/>
                <w:sz w:val="18"/>
              </w:rPr>
              <w:t>416,942.48</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755" w:hRule="exact"/>
        </w:trPr>
        <w:tc>
          <w:tcPr>
            <w:tcW w:w="2538" w:type="dxa"/>
            <w:tcBorders>
              <w:top w:val="nil" w:sz="6" w:space="0" w:color="auto"/>
              <w:left w:val="nil" w:sz="6" w:space="0" w:color="auto"/>
              <w:bottom w:val="nil" w:sz="6" w:space="0" w:color="auto"/>
              <w:right w:val="nil" w:sz="6" w:space="0" w:color="auto"/>
            </w:tcBorders>
          </w:tcPr>
          <w:p>
            <w:pPr>
              <w:pStyle w:val="TableParagraph"/>
              <w:spacing w:line="364" w:lineRule="auto" w:before="51"/>
              <w:ind w:left="108" w:right="347"/>
              <w:jc w:val="left"/>
              <w:rPr>
                <w:rFonts w:ascii="宋体" w:hAnsi="宋体" w:cs="宋体" w:eastAsia="宋体" w:hint="default"/>
                <w:sz w:val="18"/>
                <w:szCs w:val="18"/>
              </w:rPr>
            </w:pPr>
            <w:r>
              <w:rPr>
                <w:rFonts w:ascii="宋体" w:hAnsi="宋体" w:cs="宋体" w:eastAsia="宋体" w:hint="default"/>
                <w:spacing w:val="8"/>
                <w:sz w:val="18"/>
                <w:szCs w:val="18"/>
              </w:rPr>
              <w:t>教育费附加及地方教育附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加</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46"/>
              <w:jc w:val="right"/>
              <w:rPr>
                <w:rFonts w:ascii="Times New Roman" w:hAnsi="Times New Roman" w:cs="Times New Roman" w:eastAsia="Times New Roman" w:hint="default"/>
                <w:sz w:val="18"/>
                <w:szCs w:val="18"/>
              </w:rPr>
            </w:pPr>
            <w:r>
              <w:rPr>
                <w:rFonts w:ascii="Times New Roman"/>
                <w:spacing w:val="-1"/>
                <w:sz w:val="18"/>
              </w:rPr>
              <w:t>548,223.29</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455"/>
              <w:jc w:val="right"/>
              <w:rPr>
                <w:rFonts w:ascii="Times New Roman" w:hAnsi="Times New Roman" w:cs="Times New Roman" w:eastAsia="Times New Roman" w:hint="default"/>
                <w:sz w:val="18"/>
                <w:szCs w:val="18"/>
              </w:rPr>
            </w:pPr>
            <w:r>
              <w:rPr>
                <w:rFonts w:ascii="Times New Roman"/>
                <w:spacing w:val="-1"/>
                <w:sz w:val="18"/>
              </w:rPr>
              <w:t>305,618.51</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5</w:t>
            </w:r>
          </w:p>
        </w:tc>
      </w:tr>
      <w:tr>
        <w:trPr>
          <w:trHeight w:val="300" w:hRule="exact"/>
        </w:trPr>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06"/>
              <w:jc w:val="right"/>
              <w:rPr>
                <w:rFonts w:ascii="宋体" w:hAnsi="宋体" w:cs="宋体" w:eastAsia="宋体" w:hint="default"/>
                <w:sz w:val="18"/>
                <w:szCs w:val="18"/>
              </w:rPr>
            </w:pPr>
            <w:r>
              <w:rPr>
                <w:rFonts w:ascii="宋体" w:hAnsi="宋体" w:cs="宋体" w:eastAsia="宋体" w:hint="default"/>
                <w:sz w:val="18"/>
                <w:szCs w:val="18"/>
              </w:rPr>
              <w:t>合计</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4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1,545,540.72</w:t>
            </w:r>
            <w:r>
              <w:rPr>
                <w:rFonts w:ascii="Times New Roman"/>
                <w:spacing w:val="-1"/>
                <w:sz w:val="18"/>
              </w:rPr>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5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1,061,167.97</w:t>
            </w:r>
            <w:r>
              <w:rPr>
                <w:rFonts w:ascii="Times New Roman"/>
                <w:spacing w:val="-1"/>
                <w:sz w:val="18"/>
              </w:rPr>
            </w:r>
          </w:p>
        </w:tc>
        <w:tc>
          <w:tcPr>
            <w:tcW w:w="2128"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9"/>
          <w:szCs w:val="29"/>
        </w:rPr>
      </w:pPr>
    </w:p>
    <w:p>
      <w:pPr>
        <w:pStyle w:val="BodyText"/>
        <w:spacing w:line="240" w:lineRule="auto" w:before="44"/>
        <w:ind w:left="600" w:right="2166"/>
        <w:jc w:val="left"/>
      </w:pPr>
      <w:r>
        <w:rPr>
          <w:rFonts w:ascii="Times New Roman" w:hAnsi="Times New Roman" w:cs="Times New Roman" w:eastAsia="Times New Roman" w:hint="default"/>
        </w:rPr>
        <w:t>30. </w:t>
      </w:r>
      <w:r>
        <w:rPr>
          <w:rFonts w:ascii="Times New Roman" w:hAnsi="Times New Roman" w:cs="Times New Roman" w:eastAsia="Times New Roman" w:hint="default"/>
          <w:spacing w:val="1"/>
        </w:rPr>
        <w:t> </w:t>
      </w:r>
      <w:r>
        <w:rPr/>
        <w:t>销售费用</w:t>
      </w:r>
    </w:p>
    <w:p>
      <w:pPr>
        <w:spacing w:line="240" w:lineRule="auto" w:before="9"/>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751"/>
        <w:gridCol w:w="3015"/>
        <w:gridCol w:w="2816"/>
      </w:tblGrid>
      <w:tr>
        <w:trPr>
          <w:trHeight w:val="275" w:hRule="exact"/>
        </w:trPr>
        <w:tc>
          <w:tcPr>
            <w:tcW w:w="2751" w:type="dxa"/>
            <w:tcBorders>
              <w:top w:val="nil" w:sz="6" w:space="0" w:color="auto"/>
              <w:left w:val="nil" w:sz="6" w:space="0" w:color="auto"/>
              <w:bottom w:val="single" w:sz="4" w:space="0" w:color="000000"/>
              <w:right w:val="nil" w:sz="6" w:space="0" w:color="auto"/>
            </w:tcBorders>
          </w:tcPr>
          <w:p>
            <w:pPr>
              <w:pStyle w:val="TableParagraph"/>
              <w:spacing w:line="180" w:lineRule="exact"/>
              <w:ind w:right="10"/>
              <w:jc w:val="center"/>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3015" w:type="dxa"/>
            <w:tcBorders>
              <w:top w:val="nil" w:sz="6" w:space="0" w:color="auto"/>
              <w:left w:val="nil" w:sz="6" w:space="0" w:color="auto"/>
              <w:bottom w:val="single" w:sz="4" w:space="0" w:color="000000"/>
              <w:right w:val="nil" w:sz="6" w:space="0" w:color="auto"/>
            </w:tcBorders>
          </w:tcPr>
          <w:p>
            <w:pPr>
              <w:pStyle w:val="TableParagraph"/>
              <w:spacing w:line="180" w:lineRule="exact"/>
              <w:ind w:left="62"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816" w:type="dxa"/>
            <w:tcBorders>
              <w:top w:val="nil" w:sz="6" w:space="0" w:color="auto"/>
              <w:left w:val="nil" w:sz="6" w:space="0" w:color="auto"/>
              <w:bottom w:val="single" w:sz="4" w:space="0" w:color="000000"/>
              <w:right w:val="nil" w:sz="6" w:space="0" w:color="auto"/>
            </w:tcBorders>
          </w:tcPr>
          <w:p>
            <w:pPr>
              <w:pStyle w:val="TableParagraph"/>
              <w:spacing w:line="180" w:lineRule="exact"/>
              <w:ind w:left="93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12" w:hRule="exact"/>
        </w:trPr>
        <w:tc>
          <w:tcPr>
            <w:tcW w:w="275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559"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015"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867"/>
              <w:jc w:val="right"/>
              <w:rPr>
                <w:rFonts w:ascii="Times New Roman" w:hAnsi="Times New Roman" w:cs="Times New Roman" w:eastAsia="Times New Roman" w:hint="default"/>
                <w:sz w:val="18"/>
                <w:szCs w:val="18"/>
              </w:rPr>
            </w:pPr>
            <w:r>
              <w:rPr>
                <w:rFonts w:ascii="Times New Roman"/>
                <w:spacing w:val="-1"/>
                <w:sz w:val="18"/>
              </w:rPr>
              <w:t>16,823,800.42</w:t>
            </w:r>
          </w:p>
        </w:tc>
        <w:tc>
          <w:tcPr>
            <w:tcW w:w="281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768"/>
              <w:jc w:val="right"/>
              <w:rPr>
                <w:rFonts w:ascii="Times New Roman" w:hAnsi="Times New Roman" w:cs="Times New Roman" w:eastAsia="Times New Roman" w:hint="default"/>
                <w:sz w:val="18"/>
                <w:szCs w:val="18"/>
              </w:rPr>
            </w:pPr>
            <w:r>
              <w:rPr>
                <w:rFonts w:ascii="Times New Roman"/>
                <w:spacing w:val="-1"/>
                <w:sz w:val="18"/>
              </w:rPr>
              <w:t>16,681,716.66</w:t>
            </w:r>
          </w:p>
        </w:tc>
      </w:tr>
      <w:tr>
        <w:trPr>
          <w:trHeight w:val="40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59"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6"/>
              <w:jc w:val="right"/>
              <w:rPr>
                <w:rFonts w:ascii="Times New Roman" w:hAnsi="Times New Roman" w:cs="Times New Roman" w:eastAsia="Times New Roman" w:hint="default"/>
                <w:sz w:val="18"/>
                <w:szCs w:val="18"/>
              </w:rPr>
            </w:pPr>
            <w:r>
              <w:rPr>
                <w:rFonts w:ascii="Times New Roman"/>
                <w:spacing w:val="-1"/>
                <w:sz w:val="18"/>
              </w:rPr>
              <w:t>3,828,992.20</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8"/>
              <w:jc w:val="right"/>
              <w:rPr>
                <w:rFonts w:ascii="Times New Roman" w:hAnsi="Times New Roman" w:cs="Times New Roman" w:eastAsia="Times New Roman" w:hint="default"/>
                <w:sz w:val="18"/>
                <w:szCs w:val="18"/>
              </w:rPr>
            </w:pPr>
            <w:r>
              <w:rPr>
                <w:rFonts w:ascii="Times New Roman"/>
                <w:spacing w:val="-1"/>
                <w:sz w:val="18"/>
              </w:rPr>
              <w:t>3,112,483.03</w:t>
            </w:r>
          </w:p>
        </w:tc>
      </w:tr>
      <w:tr>
        <w:trPr>
          <w:trHeight w:val="40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559" w:right="0"/>
              <w:jc w:val="left"/>
              <w:rPr>
                <w:rFonts w:ascii="宋体" w:hAnsi="宋体" w:cs="宋体" w:eastAsia="宋体" w:hint="default"/>
                <w:sz w:val="18"/>
                <w:szCs w:val="18"/>
              </w:rPr>
            </w:pPr>
            <w:r>
              <w:rPr>
                <w:rFonts w:ascii="宋体" w:hAnsi="宋体" w:cs="宋体" w:eastAsia="宋体" w:hint="default"/>
                <w:sz w:val="18"/>
                <w:szCs w:val="18"/>
              </w:rPr>
              <w:t>发行费</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67"/>
              <w:jc w:val="right"/>
              <w:rPr>
                <w:rFonts w:ascii="Times New Roman" w:hAnsi="Times New Roman" w:cs="Times New Roman" w:eastAsia="Times New Roman" w:hint="default"/>
                <w:sz w:val="18"/>
                <w:szCs w:val="18"/>
              </w:rPr>
            </w:pPr>
            <w:r>
              <w:rPr>
                <w:rFonts w:ascii="Times New Roman"/>
                <w:spacing w:val="-1"/>
                <w:sz w:val="18"/>
              </w:rPr>
              <w:t>2,371,847.00</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768"/>
              <w:jc w:val="right"/>
              <w:rPr>
                <w:rFonts w:ascii="Times New Roman" w:hAnsi="Times New Roman" w:cs="Times New Roman" w:eastAsia="Times New Roman" w:hint="default"/>
                <w:sz w:val="18"/>
                <w:szCs w:val="18"/>
              </w:rPr>
            </w:pPr>
            <w:r>
              <w:rPr>
                <w:rFonts w:ascii="Times New Roman"/>
                <w:spacing w:val="-1"/>
                <w:sz w:val="18"/>
              </w:rPr>
              <w:t>5,384,125.65</w:t>
            </w:r>
          </w:p>
        </w:tc>
      </w:tr>
      <w:tr>
        <w:trPr>
          <w:trHeight w:val="401"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59"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7"/>
              <w:jc w:val="right"/>
              <w:rPr>
                <w:rFonts w:ascii="Times New Roman" w:hAnsi="Times New Roman" w:cs="Times New Roman" w:eastAsia="Times New Roman" w:hint="default"/>
                <w:sz w:val="18"/>
                <w:szCs w:val="18"/>
              </w:rPr>
            </w:pPr>
            <w:r>
              <w:rPr>
                <w:rFonts w:ascii="Times New Roman"/>
                <w:spacing w:val="-1"/>
                <w:sz w:val="18"/>
              </w:rPr>
              <w:t>1,932,842.87</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8"/>
              <w:jc w:val="right"/>
              <w:rPr>
                <w:rFonts w:ascii="Times New Roman" w:hAnsi="Times New Roman" w:cs="Times New Roman" w:eastAsia="Times New Roman" w:hint="default"/>
                <w:sz w:val="18"/>
                <w:szCs w:val="18"/>
              </w:rPr>
            </w:pPr>
            <w:r>
              <w:rPr>
                <w:rFonts w:ascii="Times New Roman"/>
                <w:spacing w:val="-1"/>
                <w:sz w:val="18"/>
              </w:rPr>
              <w:t>2,655,115.25</w:t>
            </w:r>
          </w:p>
        </w:tc>
      </w:tr>
      <w:tr>
        <w:trPr>
          <w:trHeight w:val="40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59"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7"/>
              <w:jc w:val="right"/>
              <w:rPr>
                <w:rFonts w:ascii="Times New Roman" w:hAnsi="Times New Roman" w:cs="Times New Roman" w:eastAsia="Times New Roman" w:hint="default"/>
                <w:sz w:val="18"/>
                <w:szCs w:val="18"/>
              </w:rPr>
            </w:pPr>
            <w:r>
              <w:rPr>
                <w:rFonts w:ascii="Times New Roman"/>
                <w:spacing w:val="-1"/>
                <w:sz w:val="18"/>
              </w:rPr>
              <w:t>3,495,614.31</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8"/>
              <w:jc w:val="right"/>
              <w:rPr>
                <w:rFonts w:ascii="Times New Roman" w:hAnsi="Times New Roman" w:cs="Times New Roman" w:eastAsia="Times New Roman" w:hint="default"/>
                <w:sz w:val="18"/>
                <w:szCs w:val="18"/>
              </w:rPr>
            </w:pPr>
            <w:r>
              <w:rPr>
                <w:rFonts w:ascii="Times New Roman"/>
                <w:spacing w:val="-1"/>
                <w:sz w:val="18"/>
              </w:rPr>
              <w:t>3,476,213.62</w:t>
            </w:r>
          </w:p>
        </w:tc>
      </w:tr>
      <w:tr>
        <w:trPr>
          <w:trHeight w:val="40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559"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67"/>
              <w:jc w:val="right"/>
              <w:rPr>
                <w:rFonts w:ascii="Times New Roman" w:hAnsi="Times New Roman" w:cs="Times New Roman" w:eastAsia="Times New Roman" w:hint="default"/>
                <w:sz w:val="18"/>
                <w:szCs w:val="18"/>
              </w:rPr>
            </w:pPr>
            <w:r>
              <w:rPr>
                <w:rFonts w:ascii="Times New Roman"/>
                <w:spacing w:val="-1"/>
                <w:sz w:val="18"/>
              </w:rPr>
              <w:t>1,875,528.83</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768"/>
              <w:jc w:val="right"/>
              <w:rPr>
                <w:rFonts w:ascii="Times New Roman" w:hAnsi="Times New Roman" w:cs="Times New Roman" w:eastAsia="Times New Roman" w:hint="default"/>
                <w:sz w:val="18"/>
                <w:szCs w:val="18"/>
              </w:rPr>
            </w:pPr>
            <w:r>
              <w:rPr>
                <w:rFonts w:ascii="Times New Roman"/>
                <w:spacing w:val="-1"/>
                <w:sz w:val="18"/>
              </w:rPr>
              <w:t>1,520,930.06</w:t>
            </w:r>
          </w:p>
        </w:tc>
      </w:tr>
      <w:tr>
        <w:trPr>
          <w:trHeight w:val="401"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59"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6"/>
              <w:jc w:val="right"/>
              <w:rPr>
                <w:rFonts w:ascii="Times New Roman" w:hAnsi="Times New Roman" w:cs="Times New Roman" w:eastAsia="Times New Roman" w:hint="default"/>
                <w:sz w:val="18"/>
                <w:szCs w:val="18"/>
              </w:rPr>
            </w:pPr>
            <w:r>
              <w:rPr>
                <w:rFonts w:ascii="Times New Roman"/>
                <w:spacing w:val="-1"/>
                <w:sz w:val="18"/>
              </w:rPr>
              <w:t>883,589.20</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8"/>
              <w:jc w:val="right"/>
              <w:rPr>
                <w:rFonts w:ascii="Times New Roman" w:hAnsi="Times New Roman" w:cs="Times New Roman" w:eastAsia="Times New Roman" w:hint="default"/>
                <w:sz w:val="18"/>
                <w:szCs w:val="18"/>
              </w:rPr>
            </w:pPr>
            <w:r>
              <w:rPr>
                <w:rFonts w:ascii="Times New Roman"/>
                <w:spacing w:val="-1"/>
                <w:sz w:val="18"/>
              </w:rPr>
              <w:t>2,205,679.52</w:t>
            </w:r>
          </w:p>
        </w:tc>
      </w:tr>
      <w:tr>
        <w:trPr>
          <w:trHeight w:val="40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59"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7"/>
              <w:jc w:val="right"/>
              <w:rPr>
                <w:rFonts w:ascii="Times New Roman" w:hAnsi="Times New Roman" w:cs="Times New Roman" w:eastAsia="Times New Roman" w:hint="default"/>
                <w:sz w:val="18"/>
                <w:szCs w:val="18"/>
              </w:rPr>
            </w:pPr>
            <w:r>
              <w:rPr>
                <w:rFonts w:ascii="Times New Roman"/>
                <w:spacing w:val="-1"/>
                <w:sz w:val="18"/>
              </w:rPr>
              <w:t>5,310,776.53</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8"/>
              <w:jc w:val="right"/>
              <w:rPr>
                <w:rFonts w:ascii="Times New Roman" w:hAnsi="Times New Roman" w:cs="Times New Roman" w:eastAsia="Times New Roman" w:hint="default"/>
                <w:sz w:val="18"/>
                <w:szCs w:val="18"/>
              </w:rPr>
            </w:pPr>
            <w:r>
              <w:rPr>
                <w:rFonts w:ascii="Times New Roman"/>
                <w:spacing w:val="-1"/>
                <w:sz w:val="18"/>
              </w:rPr>
              <w:t>4,533,869.98</w:t>
            </w:r>
          </w:p>
        </w:tc>
      </w:tr>
      <w:tr>
        <w:trPr>
          <w:trHeight w:val="40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559"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67"/>
              <w:jc w:val="right"/>
              <w:rPr>
                <w:rFonts w:ascii="Times New Roman" w:hAnsi="Times New Roman" w:cs="Times New Roman" w:eastAsia="Times New Roman" w:hint="default"/>
                <w:sz w:val="18"/>
                <w:szCs w:val="18"/>
              </w:rPr>
            </w:pPr>
            <w:r>
              <w:rPr>
                <w:rFonts w:ascii="Times New Roman"/>
                <w:spacing w:val="-1"/>
                <w:sz w:val="18"/>
              </w:rPr>
              <w:t>2,717,417.29</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768"/>
              <w:jc w:val="right"/>
              <w:rPr>
                <w:rFonts w:ascii="Times New Roman" w:hAnsi="Times New Roman" w:cs="Times New Roman" w:eastAsia="Times New Roman" w:hint="default"/>
                <w:sz w:val="18"/>
                <w:szCs w:val="18"/>
              </w:rPr>
            </w:pPr>
            <w:r>
              <w:rPr>
                <w:rFonts w:ascii="Times New Roman"/>
                <w:spacing w:val="-1"/>
                <w:sz w:val="18"/>
              </w:rPr>
              <w:t>1,849,888.18</w:t>
            </w:r>
          </w:p>
        </w:tc>
      </w:tr>
      <w:tr>
        <w:trPr>
          <w:trHeight w:val="401"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59"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4"/>
              <w:jc w:val="right"/>
              <w:rPr>
                <w:rFonts w:ascii="Times New Roman" w:hAnsi="Times New Roman" w:cs="Times New Roman" w:eastAsia="Times New Roman" w:hint="default"/>
                <w:sz w:val="18"/>
                <w:szCs w:val="18"/>
              </w:rPr>
            </w:pPr>
            <w:r>
              <w:rPr>
                <w:rFonts w:ascii="Times New Roman"/>
                <w:sz w:val="18"/>
              </w:rPr>
              <w:t>877,246.93</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8"/>
              <w:jc w:val="right"/>
              <w:rPr>
                <w:rFonts w:ascii="Times New Roman" w:hAnsi="Times New Roman" w:cs="Times New Roman" w:eastAsia="Times New Roman" w:hint="default"/>
                <w:sz w:val="18"/>
                <w:szCs w:val="18"/>
              </w:rPr>
            </w:pPr>
            <w:r>
              <w:rPr>
                <w:rFonts w:ascii="Times New Roman"/>
                <w:spacing w:val="-1"/>
                <w:sz w:val="18"/>
              </w:rPr>
              <w:t>704,589.25</w:t>
            </w:r>
          </w:p>
        </w:tc>
      </w:tr>
      <w:tr>
        <w:trPr>
          <w:trHeight w:val="419"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7"/>
              <w:jc w:val="right"/>
              <w:rPr>
                <w:rFonts w:ascii="Times New Roman" w:hAnsi="Times New Roman" w:cs="Times New Roman" w:eastAsia="Times New Roman" w:hint="default"/>
                <w:sz w:val="18"/>
                <w:szCs w:val="18"/>
              </w:rPr>
            </w:pPr>
            <w:r>
              <w:rPr>
                <w:rFonts w:ascii="Times New Roman"/>
                <w:spacing w:val="-1"/>
                <w:sz w:val="18"/>
              </w:rPr>
              <w:t>1,866,353.24</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8"/>
              <w:jc w:val="right"/>
              <w:rPr>
                <w:rFonts w:ascii="Times New Roman" w:hAnsi="Times New Roman" w:cs="Times New Roman" w:eastAsia="Times New Roman" w:hint="default"/>
                <w:sz w:val="18"/>
                <w:szCs w:val="18"/>
              </w:rPr>
            </w:pPr>
            <w:r>
              <w:rPr>
                <w:rFonts w:ascii="Times New Roman"/>
                <w:spacing w:val="-1"/>
                <w:sz w:val="18"/>
              </w:rPr>
              <w:t>1,597,948.96</w:t>
            </w:r>
          </w:p>
        </w:tc>
      </w:tr>
      <w:tr>
        <w:trPr>
          <w:trHeight w:val="294"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2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41,984,008.82</w:t>
            </w:r>
            <w:r>
              <w:rPr>
                <w:rFonts w:ascii="Times New Roman"/>
                <w:sz w:val="18"/>
              </w:rPr>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86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43,722,560.16</w:t>
            </w:r>
            <w:r>
              <w:rPr>
                <w:rFonts w:ascii="Times New Roman"/>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600" w:right="2166"/>
        <w:jc w:val="left"/>
      </w:pPr>
      <w:r>
        <w:rPr>
          <w:rFonts w:ascii="Times New Roman" w:hAnsi="Times New Roman" w:cs="Times New Roman" w:eastAsia="Times New Roman" w:hint="default"/>
        </w:rPr>
        <w:t>31. </w:t>
      </w:r>
      <w:r>
        <w:rPr>
          <w:rFonts w:ascii="Times New Roman" w:hAnsi="Times New Roman" w:cs="Times New Roman" w:eastAsia="Times New Roman" w:hint="default"/>
          <w:spacing w:val="1"/>
        </w:rPr>
        <w:t> </w:t>
      </w:r>
      <w:r>
        <w:rPr/>
        <w:t>管理费用</w:t>
      </w: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784"/>
        <w:gridCol w:w="3063"/>
        <w:gridCol w:w="2734"/>
      </w:tblGrid>
      <w:tr>
        <w:trPr>
          <w:trHeight w:val="273" w:hRule="exact"/>
        </w:trPr>
        <w:tc>
          <w:tcPr>
            <w:tcW w:w="2784" w:type="dxa"/>
            <w:tcBorders>
              <w:top w:val="nil" w:sz="6" w:space="0" w:color="auto"/>
              <w:left w:val="nil" w:sz="6" w:space="0" w:color="auto"/>
              <w:bottom w:val="single" w:sz="4" w:space="0" w:color="000000"/>
              <w:right w:val="nil" w:sz="6" w:space="0" w:color="auto"/>
            </w:tcBorders>
          </w:tcPr>
          <w:p>
            <w:pPr>
              <w:pStyle w:val="TableParagraph"/>
              <w:spacing w:line="180" w:lineRule="exact"/>
              <w:ind w:right="44"/>
              <w:jc w:val="center"/>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3063" w:type="dxa"/>
            <w:tcBorders>
              <w:top w:val="nil" w:sz="6" w:space="0" w:color="auto"/>
              <w:left w:val="nil" w:sz="6" w:space="0" w:color="auto"/>
              <w:bottom w:val="single" w:sz="4" w:space="0" w:color="000000"/>
              <w:right w:val="nil" w:sz="6" w:space="0" w:color="auto"/>
            </w:tcBorders>
          </w:tcPr>
          <w:p>
            <w:pPr>
              <w:pStyle w:val="TableParagraph"/>
              <w:spacing w:line="180" w:lineRule="exact"/>
              <w:ind w:right="5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34" w:type="dxa"/>
            <w:tcBorders>
              <w:top w:val="nil" w:sz="6" w:space="0" w:color="auto"/>
              <w:left w:val="nil" w:sz="6" w:space="0" w:color="auto"/>
              <w:bottom w:val="single" w:sz="4" w:space="0" w:color="000000"/>
              <w:right w:val="nil" w:sz="6" w:space="0" w:color="auto"/>
            </w:tcBorders>
          </w:tcPr>
          <w:p>
            <w:pPr>
              <w:pStyle w:val="TableParagraph"/>
              <w:spacing w:line="180" w:lineRule="exact"/>
              <w:ind w:left="85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6" w:hRule="exact"/>
        </w:trPr>
        <w:tc>
          <w:tcPr>
            <w:tcW w:w="278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839"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06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176" w:right="0"/>
              <w:jc w:val="left"/>
              <w:rPr>
                <w:rFonts w:ascii="Times New Roman" w:hAnsi="Times New Roman" w:cs="Times New Roman" w:eastAsia="Times New Roman" w:hint="default"/>
                <w:sz w:val="18"/>
                <w:szCs w:val="18"/>
              </w:rPr>
            </w:pPr>
            <w:r>
              <w:rPr>
                <w:rFonts w:ascii="Times New Roman"/>
                <w:sz w:val="18"/>
              </w:rPr>
              <w:t>47,693,614.55</w:t>
            </w:r>
          </w:p>
        </w:tc>
        <w:tc>
          <w:tcPr>
            <w:tcW w:w="273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974" w:right="0"/>
              <w:jc w:val="left"/>
              <w:rPr>
                <w:rFonts w:ascii="Times New Roman" w:hAnsi="Times New Roman" w:cs="Times New Roman" w:eastAsia="Times New Roman" w:hint="default"/>
                <w:sz w:val="18"/>
                <w:szCs w:val="18"/>
              </w:rPr>
            </w:pPr>
            <w:r>
              <w:rPr>
                <w:rFonts w:ascii="Times New Roman"/>
                <w:sz w:val="18"/>
              </w:rPr>
              <w:t>33,050,765.22</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480" w:bottom="1160" w:left="1560" w:right="1560"/>
        </w:sectPr>
      </w:pPr>
    </w:p>
    <w:p>
      <w:pPr>
        <w:spacing w:line="240" w:lineRule="auto" w:before="7"/>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789"/>
        <w:gridCol w:w="3058"/>
        <w:gridCol w:w="2734"/>
      </w:tblGrid>
      <w:tr>
        <w:trPr>
          <w:trHeight w:val="275" w:hRule="exact"/>
        </w:trPr>
        <w:tc>
          <w:tcPr>
            <w:tcW w:w="2789" w:type="dxa"/>
            <w:tcBorders>
              <w:top w:val="nil" w:sz="6" w:space="0" w:color="auto"/>
              <w:left w:val="nil" w:sz="6" w:space="0" w:color="auto"/>
              <w:bottom w:val="single" w:sz="4" w:space="0" w:color="000000"/>
              <w:right w:val="nil" w:sz="6" w:space="0" w:color="auto"/>
            </w:tcBorders>
          </w:tcPr>
          <w:p>
            <w:pPr>
              <w:pStyle w:val="TableParagraph"/>
              <w:spacing w:line="180" w:lineRule="exact"/>
              <w:ind w:right="49"/>
              <w:jc w:val="center"/>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3058" w:type="dxa"/>
            <w:tcBorders>
              <w:top w:val="nil" w:sz="6" w:space="0" w:color="auto"/>
              <w:left w:val="nil" w:sz="6" w:space="0" w:color="auto"/>
              <w:bottom w:val="single" w:sz="4" w:space="0" w:color="000000"/>
              <w:right w:val="nil" w:sz="6" w:space="0" w:color="auto"/>
            </w:tcBorders>
          </w:tcPr>
          <w:p>
            <w:pPr>
              <w:pStyle w:val="TableParagraph"/>
              <w:spacing w:line="180" w:lineRule="exact"/>
              <w:ind w:right="55"/>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34" w:type="dxa"/>
            <w:tcBorders>
              <w:top w:val="nil" w:sz="6" w:space="0" w:color="auto"/>
              <w:left w:val="nil" w:sz="6" w:space="0" w:color="auto"/>
              <w:bottom w:val="single" w:sz="4" w:space="0" w:color="000000"/>
              <w:right w:val="nil" w:sz="6" w:space="0" w:color="auto"/>
            </w:tcBorders>
          </w:tcPr>
          <w:p>
            <w:pPr>
              <w:pStyle w:val="TableParagraph"/>
              <w:spacing w:line="180" w:lineRule="exact"/>
              <w:ind w:left="85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1" w:hRule="exact"/>
        </w:trPr>
        <w:tc>
          <w:tcPr>
            <w:tcW w:w="278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839"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05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852"/>
              <w:jc w:val="right"/>
              <w:rPr>
                <w:rFonts w:ascii="Times New Roman" w:hAnsi="Times New Roman" w:cs="Times New Roman" w:eastAsia="Times New Roman" w:hint="default"/>
                <w:sz w:val="18"/>
                <w:szCs w:val="18"/>
              </w:rPr>
            </w:pPr>
            <w:r>
              <w:rPr>
                <w:rFonts w:ascii="Times New Roman"/>
                <w:spacing w:val="-1"/>
                <w:sz w:val="18"/>
              </w:rPr>
              <w:t>3,274,497.46</w:t>
            </w:r>
          </w:p>
        </w:tc>
        <w:tc>
          <w:tcPr>
            <w:tcW w:w="273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723"/>
              <w:jc w:val="right"/>
              <w:rPr>
                <w:rFonts w:ascii="Times New Roman" w:hAnsi="Times New Roman" w:cs="Times New Roman" w:eastAsia="Times New Roman" w:hint="default"/>
                <w:sz w:val="18"/>
                <w:szCs w:val="18"/>
              </w:rPr>
            </w:pPr>
            <w:r>
              <w:rPr>
                <w:rFonts w:ascii="Times New Roman"/>
                <w:spacing w:val="-1"/>
                <w:sz w:val="18"/>
              </w:rPr>
              <w:t>2,543,575.92</w:t>
            </w:r>
          </w:p>
        </w:tc>
      </w:tr>
      <w:tr>
        <w:trPr>
          <w:trHeight w:val="400"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39"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50"/>
              <w:jc w:val="right"/>
              <w:rPr>
                <w:rFonts w:ascii="Times New Roman" w:hAnsi="Times New Roman" w:cs="Times New Roman" w:eastAsia="Times New Roman" w:hint="default"/>
                <w:sz w:val="18"/>
                <w:szCs w:val="18"/>
              </w:rPr>
            </w:pPr>
            <w:r>
              <w:rPr>
                <w:rFonts w:ascii="Times New Roman"/>
                <w:spacing w:val="-1"/>
                <w:sz w:val="18"/>
              </w:rPr>
              <w:t>2,542,424.11</w:t>
            </w: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23"/>
              <w:jc w:val="right"/>
              <w:rPr>
                <w:rFonts w:ascii="Times New Roman" w:hAnsi="Times New Roman" w:cs="Times New Roman" w:eastAsia="Times New Roman" w:hint="default"/>
                <w:sz w:val="18"/>
                <w:szCs w:val="18"/>
              </w:rPr>
            </w:pPr>
            <w:r>
              <w:rPr>
                <w:rFonts w:ascii="Times New Roman"/>
                <w:spacing w:val="-1"/>
                <w:sz w:val="18"/>
              </w:rPr>
              <w:t>2,303,430.56</w:t>
            </w:r>
          </w:p>
        </w:tc>
      </w:tr>
      <w:tr>
        <w:trPr>
          <w:trHeight w:val="400"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839"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52"/>
              <w:jc w:val="right"/>
              <w:rPr>
                <w:rFonts w:ascii="Times New Roman" w:hAnsi="Times New Roman" w:cs="Times New Roman" w:eastAsia="Times New Roman" w:hint="default"/>
                <w:sz w:val="18"/>
                <w:szCs w:val="18"/>
              </w:rPr>
            </w:pPr>
            <w:r>
              <w:rPr>
                <w:rFonts w:ascii="Times New Roman"/>
                <w:spacing w:val="-1"/>
                <w:sz w:val="18"/>
              </w:rPr>
              <w:t>4,315,492.33</w:t>
            </w: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23"/>
              <w:jc w:val="right"/>
              <w:rPr>
                <w:rFonts w:ascii="Times New Roman" w:hAnsi="Times New Roman" w:cs="Times New Roman" w:eastAsia="Times New Roman" w:hint="default"/>
                <w:sz w:val="18"/>
                <w:szCs w:val="18"/>
              </w:rPr>
            </w:pPr>
            <w:r>
              <w:rPr>
                <w:rFonts w:ascii="Times New Roman"/>
                <w:spacing w:val="-1"/>
                <w:sz w:val="18"/>
              </w:rPr>
              <w:t>3,332,861.50</w:t>
            </w:r>
          </w:p>
        </w:tc>
      </w:tr>
      <w:tr>
        <w:trPr>
          <w:trHeight w:val="401"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39"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51"/>
              <w:jc w:val="right"/>
              <w:rPr>
                <w:rFonts w:ascii="Times New Roman" w:hAnsi="Times New Roman" w:cs="Times New Roman" w:eastAsia="Times New Roman" w:hint="default"/>
                <w:sz w:val="18"/>
                <w:szCs w:val="18"/>
              </w:rPr>
            </w:pPr>
            <w:r>
              <w:rPr>
                <w:rFonts w:ascii="Times New Roman"/>
                <w:spacing w:val="-1"/>
                <w:sz w:val="18"/>
              </w:rPr>
              <w:t>6,402,462.02</w:t>
            </w: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23"/>
              <w:jc w:val="right"/>
              <w:rPr>
                <w:rFonts w:ascii="Times New Roman" w:hAnsi="Times New Roman" w:cs="Times New Roman" w:eastAsia="Times New Roman" w:hint="default"/>
                <w:sz w:val="18"/>
                <w:szCs w:val="18"/>
              </w:rPr>
            </w:pPr>
            <w:r>
              <w:rPr>
                <w:rFonts w:ascii="Times New Roman"/>
                <w:spacing w:val="-1"/>
                <w:sz w:val="18"/>
              </w:rPr>
              <w:t>2,284,197.58</w:t>
            </w:r>
          </w:p>
        </w:tc>
      </w:tr>
      <w:tr>
        <w:trPr>
          <w:trHeight w:val="400"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39"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52"/>
              <w:jc w:val="right"/>
              <w:rPr>
                <w:rFonts w:ascii="Times New Roman" w:hAnsi="Times New Roman" w:cs="Times New Roman" w:eastAsia="Times New Roman" w:hint="default"/>
                <w:sz w:val="18"/>
                <w:szCs w:val="18"/>
              </w:rPr>
            </w:pPr>
            <w:r>
              <w:rPr>
                <w:rFonts w:ascii="Times New Roman"/>
                <w:spacing w:val="-1"/>
                <w:sz w:val="18"/>
              </w:rPr>
              <w:t>3,109,203.35</w:t>
            </w: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23"/>
              <w:jc w:val="right"/>
              <w:rPr>
                <w:rFonts w:ascii="Times New Roman" w:hAnsi="Times New Roman" w:cs="Times New Roman" w:eastAsia="Times New Roman" w:hint="default"/>
                <w:sz w:val="18"/>
                <w:szCs w:val="18"/>
              </w:rPr>
            </w:pPr>
            <w:r>
              <w:rPr>
                <w:rFonts w:ascii="Times New Roman"/>
                <w:spacing w:val="-1"/>
                <w:sz w:val="18"/>
              </w:rPr>
              <w:t>2,922,730.92</w:t>
            </w:r>
          </w:p>
        </w:tc>
      </w:tr>
      <w:tr>
        <w:trPr>
          <w:trHeight w:val="400"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839"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52"/>
              <w:jc w:val="right"/>
              <w:rPr>
                <w:rFonts w:ascii="Times New Roman" w:hAnsi="Times New Roman" w:cs="Times New Roman" w:eastAsia="Times New Roman" w:hint="default"/>
                <w:sz w:val="18"/>
                <w:szCs w:val="18"/>
              </w:rPr>
            </w:pPr>
            <w:r>
              <w:rPr>
                <w:rFonts w:ascii="Times New Roman"/>
                <w:spacing w:val="-1"/>
                <w:sz w:val="18"/>
              </w:rPr>
              <w:t>905,024.26</w:t>
            </w: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22"/>
              <w:jc w:val="right"/>
              <w:rPr>
                <w:rFonts w:ascii="Times New Roman" w:hAnsi="Times New Roman" w:cs="Times New Roman" w:eastAsia="Times New Roman" w:hint="default"/>
                <w:sz w:val="18"/>
                <w:szCs w:val="18"/>
              </w:rPr>
            </w:pPr>
            <w:r>
              <w:rPr>
                <w:rFonts w:ascii="Times New Roman"/>
                <w:spacing w:val="-1"/>
                <w:sz w:val="18"/>
              </w:rPr>
              <w:t>810,192.07</w:t>
            </w:r>
          </w:p>
        </w:tc>
      </w:tr>
      <w:tr>
        <w:trPr>
          <w:trHeight w:val="401"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39"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52"/>
              <w:jc w:val="right"/>
              <w:rPr>
                <w:rFonts w:ascii="Times New Roman" w:hAnsi="Times New Roman" w:cs="Times New Roman" w:eastAsia="Times New Roman" w:hint="default"/>
                <w:sz w:val="18"/>
                <w:szCs w:val="18"/>
              </w:rPr>
            </w:pPr>
            <w:r>
              <w:rPr>
                <w:rFonts w:ascii="Times New Roman"/>
                <w:spacing w:val="-1"/>
                <w:sz w:val="18"/>
              </w:rPr>
              <w:t>2,282,949.89</w:t>
            </w: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23"/>
              <w:jc w:val="right"/>
              <w:rPr>
                <w:rFonts w:ascii="Times New Roman" w:hAnsi="Times New Roman" w:cs="Times New Roman" w:eastAsia="Times New Roman" w:hint="default"/>
                <w:sz w:val="18"/>
                <w:szCs w:val="18"/>
              </w:rPr>
            </w:pPr>
            <w:r>
              <w:rPr>
                <w:rFonts w:ascii="Times New Roman"/>
                <w:spacing w:val="-1"/>
                <w:sz w:val="18"/>
              </w:rPr>
              <w:t>2,034,698.09</w:t>
            </w:r>
          </w:p>
        </w:tc>
      </w:tr>
      <w:tr>
        <w:trPr>
          <w:trHeight w:val="400"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52"/>
              <w:jc w:val="right"/>
              <w:rPr>
                <w:rFonts w:ascii="Times New Roman" w:hAnsi="Times New Roman" w:cs="Times New Roman" w:eastAsia="Times New Roman" w:hint="default"/>
                <w:sz w:val="18"/>
                <w:szCs w:val="18"/>
              </w:rPr>
            </w:pPr>
            <w:r>
              <w:rPr>
                <w:rFonts w:ascii="Times New Roman"/>
                <w:spacing w:val="-1"/>
                <w:sz w:val="18"/>
              </w:rPr>
              <w:t>3,912,063.96</w:t>
            </w: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23"/>
              <w:jc w:val="right"/>
              <w:rPr>
                <w:rFonts w:ascii="Times New Roman" w:hAnsi="Times New Roman" w:cs="Times New Roman" w:eastAsia="Times New Roman" w:hint="default"/>
                <w:sz w:val="18"/>
                <w:szCs w:val="18"/>
              </w:rPr>
            </w:pPr>
            <w:r>
              <w:rPr>
                <w:rFonts w:ascii="Times New Roman"/>
                <w:spacing w:val="-1"/>
                <w:sz w:val="18"/>
              </w:rPr>
              <w:t>3,338,250.42</w:t>
            </w:r>
          </w:p>
        </w:tc>
      </w:tr>
      <w:tr>
        <w:trPr>
          <w:trHeight w:val="294"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5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74,437,731.93</w:t>
            </w:r>
            <w:r>
              <w:rPr>
                <w:rFonts w:ascii="Times New Roman"/>
                <w:spacing w:val="-1"/>
                <w:sz w:val="18"/>
              </w:rPr>
            </w:r>
          </w:p>
        </w:tc>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2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52,620,702.28</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600" w:right="2166"/>
        <w:jc w:val="left"/>
      </w:pPr>
      <w:r>
        <w:rPr/>
        <w:t>注：管理费用中研发费用明细</w:t>
      </w:r>
    </w:p>
    <w:p>
      <w:pPr>
        <w:spacing w:line="240" w:lineRule="auto" w:before="9"/>
        <w:rPr>
          <w:rFonts w:ascii="宋体" w:hAnsi="宋体" w:cs="宋体" w:eastAsia="宋体" w:hint="default"/>
          <w:sz w:val="25"/>
          <w:szCs w:val="25"/>
        </w:rPr>
      </w:pPr>
    </w:p>
    <w:tbl>
      <w:tblPr>
        <w:tblW w:w="0" w:type="auto"/>
        <w:jc w:val="left"/>
        <w:tblInd w:w="132" w:type="dxa"/>
        <w:tblLayout w:type="fixed"/>
        <w:tblCellMar>
          <w:top w:w="0" w:type="dxa"/>
          <w:left w:w="0" w:type="dxa"/>
          <w:bottom w:w="0" w:type="dxa"/>
          <w:right w:w="0" w:type="dxa"/>
        </w:tblCellMar>
        <w:tblLook w:val="01E0"/>
      </w:tblPr>
      <w:tblGrid>
        <w:gridCol w:w="2964"/>
        <w:gridCol w:w="2816"/>
        <w:gridCol w:w="2748"/>
      </w:tblGrid>
      <w:tr>
        <w:trPr>
          <w:trHeight w:val="272" w:hRule="exact"/>
        </w:trPr>
        <w:tc>
          <w:tcPr>
            <w:tcW w:w="2964" w:type="dxa"/>
            <w:tcBorders>
              <w:top w:val="nil" w:sz="6" w:space="0" w:color="auto"/>
              <w:left w:val="nil" w:sz="6" w:space="0" w:color="auto"/>
              <w:bottom w:val="single" w:sz="4" w:space="0" w:color="000000"/>
              <w:right w:val="nil" w:sz="6" w:space="0" w:color="auto"/>
            </w:tcBorders>
          </w:tcPr>
          <w:p>
            <w:pPr>
              <w:pStyle w:val="TableParagraph"/>
              <w:spacing w:line="180" w:lineRule="exact"/>
              <w:ind w:right="123"/>
              <w:jc w:val="center"/>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2816" w:type="dxa"/>
            <w:tcBorders>
              <w:top w:val="nil" w:sz="6" w:space="0" w:color="auto"/>
              <w:left w:val="nil" w:sz="6" w:space="0" w:color="auto"/>
              <w:bottom w:val="single" w:sz="4" w:space="0" w:color="000000"/>
              <w:right w:val="nil" w:sz="6" w:space="0" w:color="auto"/>
            </w:tcBorders>
          </w:tcPr>
          <w:p>
            <w:pPr>
              <w:pStyle w:val="TableParagraph"/>
              <w:spacing w:line="180" w:lineRule="exact"/>
              <w:ind w:left="84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48" w:type="dxa"/>
            <w:tcBorders>
              <w:top w:val="nil" w:sz="6" w:space="0" w:color="auto"/>
              <w:left w:val="nil" w:sz="6" w:space="0" w:color="auto"/>
              <w:bottom w:val="single" w:sz="4" w:space="0" w:color="000000"/>
              <w:right w:val="nil" w:sz="6" w:space="0" w:color="auto"/>
            </w:tcBorders>
          </w:tcPr>
          <w:p>
            <w:pPr>
              <w:pStyle w:val="TableParagraph"/>
              <w:spacing w:line="180" w:lineRule="exact"/>
              <w:ind w:left="87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1" w:hRule="exact"/>
        </w:trPr>
        <w:tc>
          <w:tcPr>
            <w:tcW w:w="296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806"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281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874"/>
              <w:jc w:val="right"/>
              <w:rPr>
                <w:rFonts w:ascii="Times New Roman" w:hAnsi="Times New Roman" w:cs="Times New Roman" w:eastAsia="Times New Roman" w:hint="default"/>
                <w:sz w:val="18"/>
                <w:szCs w:val="18"/>
              </w:rPr>
            </w:pPr>
            <w:r>
              <w:rPr>
                <w:rFonts w:ascii="Times New Roman"/>
                <w:spacing w:val="-1"/>
                <w:sz w:val="18"/>
              </w:rPr>
              <w:t>26,795,757.32</w:t>
            </w:r>
          </w:p>
        </w:tc>
        <w:tc>
          <w:tcPr>
            <w:tcW w:w="274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778"/>
              <w:jc w:val="right"/>
              <w:rPr>
                <w:rFonts w:ascii="Times New Roman" w:hAnsi="Times New Roman" w:cs="Times New Roman" w:eastAsia="Times New Roman" w:hint="default"/>
                <w:sz w:val="18"/>
                <w:szCs w:val="18"/>
              </w:rPr>
            </w:pPr>
            <w:r>
              <w:rPr>
                <w:rFonts w:ascii="Times New Roman"/>
                <w:spacing w:val="-1"/>
                <w:sz w:val="18"/>
              </w:rPr>
              <w:t>15,253,257.62</w:t>
            </w:r>
          </w:p>
        </w:tc>
      </w:tr>
      <w:tr>
        <w:trPr>
          <w:trHeight w:val="401"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06" w:right="0"/>
              <w:jc w:val="left"/>
              <w:rPr>
                <w:rFonts w:ascii="宋体" w:hAnsi="宋体" w:cs="宋体" w:eastAsia="宋体" w:hint="default"/>
                <w:sz w:val="18"/>
                <w:szCs w:val="18"/>
              </w:rPr>
            </w:pPr>
            <w:r>
              <w:rPr>
                <w:rFonts w:ascii="宋体" w:hAnsi="宋体" w:cs="宋体" w:eastAsia="宋体" w:hint="default"/>
                <w:sz w:val="18"/>
                <w:szCs w:val="18"/>
              </w:rPr>
              <w:t>房租</w:t>
            </w:r>
            <w:r>
              <w:rPr>
                <w:rFonts w:ascii="Times New Roman" w:hAnsi="Times New Roman" w:cs="Times New Roman" w:eastAsia="Times New Roman" w:hint="default"/>
                <w:sz w:val="18"/>
                <w:szCs w:val="18"/>
              </w:rPr>
              <w:t>/</w:t>
            </w:r>
            <w:r>
              <w:rPr>
                <w:rFonts w:ascii="宋体" w:hAnsi="宋体" w:cs="宋体" w:eastAsia="宋体" w:hint="default"/>
                <w:sz w:val="18"/>
                <w:szCs w:val="18"/>
              </w:rPr>
              <w:t>物业管理费</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73"/>
              <w:jc w:val="right"/>
              <w:rPr>
                <w:rFonts w:ascii="Times New Roman" w:hAnsi="Times New Roman" w:cs="Times New Roman" w:eastAsia="Times New Roman" w:hint="default"/>
                <w:sz w:val="18"/>
                <w:szCs w:val="18"/>
              </w:rPr>
            </w:pPr>
            <w:r>
              <w:rPr>
                <w:rFonts w:ascii="Times New Roman"/>
                <w:spacing w:val="-1"/>
                <w:sz w:val="18"/>
              </w:rPr>
              <w:t>1,828,151.24</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78"/>
              <w:jc w:val="right"/>
              <w:rPr>
                <w:rFonts w:ascii="Times New Roman" w:hAnsi="Times New Roman" w:cs="Times New Roman" w:eastAsia="Times New Roman" w:hint="default"/>
                <w:sz w:val="18"/>
                <w:szCs w:val="18"/>
              </w:rPr>
            </w:pPr>
            <w:r>
              <w:rPr>
                <w:rFonts w:ascii="Times New Roman"/>
                <w:spacing w:val="-1"/>
                <w:sz w:val="18"/>
              </w:rPr>
              <w:t>1,604,535.07</w:t>
            </w:r>
          </w:p>
        </w:tc>
      </w:tr>
      <w:tr>
        <w:trPr>
          <w:trHeight w:val="40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06"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74"/>
              <w:jc w:val="right"/>
              <w:rPr>
                <w:rFonts w:ascii="Times New Roman" w:hAnsi="Times New Roman" w:cs="Times New Roman" w:eastAsia="Times New Roman" w:hint="default"/>
                <w:sz w:val="18"/>
                <w:szCs w:val="18"/>
              </w:rPr>
            </w:pPr>
            <w:r>
              <w:rPr>
                <w:rFonts w:ascii="Times New Roman"/>
                <w:spacing w:val="-1"/>
                <w:sz w:val="18"/>
              </w:rPr>
              <w:t>1,334,314.18</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78"/>
              <w:jc w:val="right"/>
              <w:rPr>
                <w:rFonts w:ascii="Times New Roman" w:hAnsi="Times New Roman" w:cs="Times New Roman" w:eastAsia="Times New Roman" w:hint="default"/>
                <w:sz w:val="18"/>
                <w:szCs w:val="18"/>
              </w:rPr>
            </w:pPr>
            <w:r>
              <w:rPr>
                <w:rFonts w:ascii="Times New Roman"/>
                <w:spacing w:val="-1"/>
                <w:sz w:val="18"/>
              </w:rPr>
              <w:t>878,957.86</w:t>
            </w:r>
          </w:p>
        </w:tc>
      </w:tr>
      <w:tr>
        <w:trPr>
          <w:trHeight w:val="40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806"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74"/>
              <w:jc w:val="right"/>
              <w:rPr>
                <w:rFonts w:ascii="Times New Roman" w:hAnsi="Times New Roman" w:cs="Times New Roman" w:eastAsia="Times New Roman" w:hint="default"/>
                <w:sz w:val="18"/>
                <w:szCs w:val="18"/>
              </w:rPr>
            </w:pPr>
            <w:r>
              <w:rPr>
                <w:rFonts w:ascii="Times New Roman"/>
                <w:spacing w:val="-1"/>
                <w:sz w:val="18"/>
              </w:rPr>
              <w:t>841,895.75</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78"/>
              <w:jc w:val="right"/>
              <w:rPr>
                <w:rFonts w:ascii="Times New Roman" w:hAnsi="Times New Roman" w:cs="Times New Roman" w:eastAsia="Times New Roman" w:hint="default"/>
                <w:sz w:val="18"/>
                <w:szCs w:val="18"/>
              </w:rPr>
            </w:pPr>
            <w:r>
              <w:rPr>
                <w:rFonts w:ascii="Times New Roman"/>
                <w:spacing w:val="-1"/>
                <w:sz w:val="18"/>
              </w:rPr>
              <w:t>604,107.18</w:t>
            </w:r>
          </w:p>
        </w:tc>
      </w:tr>
      <w:tr>
        <w:trPr>
          <w:trHeight w:val="401"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06" w:right="0"/>
              <w:jc w:val="left"/>
              <w:rPr>
                <w:rFonts w:ascii="宋体" w:hAnsi="宋体" w:cs="宋体" w:eastAsia="宋体" w:hint="default"/>
                <w:sz w:val="18"/>
                <w:szCs w:val="18"/>
              </w:rPr>
            </w:pPr>
            <w:r>
              <w:rPr>
                <w:rFonts w:ascii="宋体" w:hAnsi="宋体" w:cs="宋体" w:eastAsia="宋体" w:hint="default"/>
                <w:sz w:val="18"/>
                <w:szCs w:val="18"/>
              </w:rPr>
              <w:t>差旅费及招待费</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74"/>
              <w:jc w:val="right"/>
              <w:rPr>
                <w:rFonts w:ascii="Times New Roman" w:hAnsi="Times New Roman" w:cs="Times New Roman" w:eastAsia="Times New Roman" w:hint="default"/>
                <w:sz w:val="18"/>
                <w:szCs w:val="18"/>
              </w:rPr>
            </w:pPr>
            <w:r>
              <w:rPr>
                <w:rFonts w:ascii="Times New Roman"/>
                <w:spacing w:val="-1"/>
                <w:sz w:val="18"/>
              </w:rPr>
              <w:t>134,038.20</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78"/>
              <w:jc w:val="right"/>
              <w:rPr>
                <w:rFonts w:ascii="Times New Roman" w:hAnsi="Times New Roman" w:cs="Times New Roman" w:eastAsia="Times New Roman" w:hint="default"/>
                <w:sz w:val="18"/>
                <w:szCs w:val="18"/>
              </w:rPr>
            </w:pPr>
            <w:r>
              <w:rPr>
                <w:rFonts w:ascii="Times New Roman"/>
                <w:spacing w:val="-1"/>
                <w:sz w:val="18"/>
              </w:rPr>
              <w:t>10,003.87</w:t>
            </w:r>
          </w:p>
        </w:tc>
      </w:tr>
      <w:tr>
        <w:trPr>
          <w:trHeight w:val="40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74"/>
              <w:jc w:val="right"/>
              <w:rPr>
                <w:rFonts w:ascii="Times New Roman" w:hAnsi="Times New Roman" w:cs="Times New Roman" w:eastAsia="Times New Roman" w:hint="default"/>
                <w:sz w:val="18"/>
                <w:szCs w:val="18"/>
              </w:rPr>
            </w:pPr>
            <w:r>
              <w:rPr>
                <w:rFonts w:ascii="Times New Roman"/>
                <w:spacing w:val="-1"/>
                <w:sz w:val="18"/>
              </w:rPr>
              <w:t>60,740.16</w:t>
            </w:r>
          </w:p>
        </w:tc>
        <w:tc>
          <w:tcPr>
            <w:tcW w:w="2748" w:type="dxa"/>
            <w:tcBorders>
              <w:top w:val="nil" w:sz="6" w:space="0" w:color="auto"/>
              <w:left w:val="nil" w:sz="6" w:space="0" w:color="auto"/>
              <w:bottom w:val="nil" w:sz="6" w:space="0" w:color="auto"/>
              <w:right w:val="nil" w:sz="6" w:space="0" w:color="auto"/>
            </w:tcBorders>
          </w:tcPr>
          <w:p>
            <w:pPr/>
          </w:p>
        </w:tc>
      </w:tr>
      <w:tr>
        <w:trPr>
          <w:trHeight w:val="294"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0"/>
              <w:jc w:val="center"/>
              <w:rPr>
                <w:rFonts w:ascii="宋体" w:hAnsi="宋体" w:cs="宋体" w:eastAsia="宋体" w:hint="default"/>
                <w:sz w:val="18"/>
                <w:szCs w:val="18"/>
              </w:rPr>
            </w:pPr>
            <w:r>
              <w:rPr>
                <w:rFonts w:ascii="宋体" w:hAnsi="宋体" w:cs="宋体" w:eastAsia="宋体" w:hint="default"/>
                <w:sz w:val="18"/>
                <w:szCs w:val="18"/>
              </w:rPr>
              <w:t>合计</w:t>
            </w: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7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30,994,896.85</w:t>
            </w:r>
            <w:r>
              <w:rPr>
                <w:rFonts w:ascii="Times New Roman"/>
                <w:spacing w:val="-1"/>
                <w:sz w:val="18"/>
              </w:rPr>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7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18,350,861.60</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600" w:right="2166"/>
        <w:jc w:val="left"/>
      </w:pPr>
      <w:r>
        <w:rPr>
          <w:rFonts w:ascii="Times New Roman" w:hAnsi="Times New Roman" w:cs="Times New Roman" w:eastAsia="Times New Roman" w:hint="default"/>
        </w:rPr>
        <w:t>32. </w:t>
      </w:r>
      <w:r>
        <w:rPr>
          <w:rFonts w:ascii="Times New Roman" w:hAnsi="Times New Roman" w:cs="Times New Roman" w:eastAsia="Times New Roman" w:hint="default"/>
          <w:spacing w:val="1"/>
        </w:rPr>
        <w:t> </w:t>
      </w:r>
      <w:r>
        <w:rPr/>
        <w:t>财务费用</w:t>
      </w: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784"/>
        <w:gridCol w:w="3040"/>
        <w:gridCol w:w="2757"/>
      </w:tblGrid>
      <w:tr>
        <w:trPr>
          <w:trHeight w:val="272" w:hRule="exact"/>
        </w:trPr>
        <w:tc>
          <w:tcPr>
            <w:tcW w:w="2784" w:type="dxa"/>
            <w:tcBorders>
              <w:top w:val="nil" w:sz="6" w:space="0" w:color="auto"/>
              <w:left w:val="nil" w:sz="6" w:space="0" w:color="auto"/>
              <w:bottom w:val="single" w:sz="4" w:space="0" w:color="000000"/>
              <w:right w:val="nil" w:sz="6" w:space="0" w:color="auto"/>
            </w:tcBorders>
          </w:tcPr>
          <w:p>
            <w:pPr>
              <w:pStyle w:val="TableParagraph"/>
              <w:spacing w:line="180" w:lineRule="exact"/>
              <w:ind w:right="44"/>
              <w:jc w:val="center"/>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3040" w:type="dxa"/>
            <w:tcBorders>
              <w:top w:val="nil" w:sz="6" w:space="0" w:color="auto"/>
              <w:left w:val="nil" w:sz="6" w:space="0" w:color="auto"/>
              <w:bottom w:val="single" w:sz="4" w:space="0" w:color="000000"/>
              <w:right w:val="nil" w:sz="6" w:space="0" w:color="auto"/>
            </w:tcBorders>
          </w:tcPr>
          <w:p>
            <w:pPr>
              <w:pStyle w:val="TableParagraph"/>
              <w:spacing w:line="180" w:lineRule="exact"/>
              <w:ind w:right="28"/>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57" w:type="dxa"/>
            <w:tcBorders>
              <w:top w:val="nil" w:sz="6" w:space="0" w:color="auto"/>
              <w:left w:val="nil" w:sz="6" w:space="0" w:color="auto"/>
              <w:bottom w:val="single" w:sz="4" w:space="0" w:color="000000"/>
              <w:right w:val="nil" w:sz="6" w:space="0" w:color="auto"/>
            </w:tcBorders>
          </w:tcPr>
          <w:p>
            <w:pPr>
              <w:pStyle w:val="TableParagraph"/>
              <w:spacing w:line="180" w:lineRule="exact"/>
              <w:ind w:left="87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2" w:hRule="exact"/>
        </w:trPr>
        <w:tc>
          <w:tcPr>
            <w:tcW w:w="278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利息支出</w:t>
            </w:r>
          </w:p>
        </w:tc>
        <w:tc>
          <w:tcPr>
            <w:tcW w:w="3040" w:type="dxa"/>
            <w:tcBorders>
              <w:top w:val="single" w:sz="4" w:space="0" w:color="000000"/>
              <w:left w:val="nil" w:sz="6" w:space="0" w:color="auto"/>
              <w:bottom w:val="nil" w:sz="6" w:space="0" w:color="auto"/>
              <w:right w:val="nil" w:sz="6" w:space="0" w:color="auto"/>
            </w:tcBorders>
          </w:tcPr>
          <w:p>
            <w:pPr/>
          </w:p>
        </w:tc>
        <w:tc>
          <w:tcPr>
            <w:tcW w:w="2757" w:type="dxa"/>
            <w:tcBorders>
              <w:top w:val="single" w:sz="4" w:space="0" w:color="000000"/>
              <w:left w:val="nil" w:sz="6" w:space="0" w:color="auto"/>
              <w:bottom w:val="nil" w:sz="6" w:space="0" w:color="auto"/>
              <w:right w:val="nil" w:sz="6" w:space="0" w:color="auto"/>
            </w:tcBorders>
          </w:tcPr>
          <w:p>
            <w:pPr/>
          </w:p>
        </w:tc>
      </w:tr>
      <w:tr>
        <w:trPr>
          <w:trHeight w:val="400"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51"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74"/>
              <w:jc w:val="right"/>
              <w:rPr>
                <w:rFonts w:ascii="Times New Roman" w:hAnsi="Times New Roman" w:cs="Times New Roman" w:eastAsia="Times New Roman" w:hint="default"/>
                <w:sz w:val="18"/>
                <w:szCs w:val="18"/>
              </w:rPr>
            </w:pPr>
            <w:r>
              <w:rPr>
                <w:rFonts w:ascii="Times New Roman"/>
                <w:spacing w:val="-1"/>
                <w:sz w:val="18"/>
              </w:rPr>
              <w:t>9,121,175.47</w:t>
            </w:r>
          </w:p>
        </w:tc>
        <w:tc>
          <w:tcPr>
            <w:tcW w:w="275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68"/>
              <w:jc w:val="right"/>
              <w:rPr>
                <w:rFonts w:ascii="Times New Roman" w:hAnsi="Times New Roman" w:cs="Times New Roman" w:eastAsia="Times New Roman" w:hint="default"/>
                <w:sz w:val="18"/>
                <w:szCs w:val="18"/>
              </w:rPr>
            </w:pPr>
            <w:r>
              <w:rPr>
                <w:rFonts w:ascii="Times New Roman"/>
                <w:spacing w:val="-1"/>
                <w:sz w:val="18"/>
              </w:rPr>
              <w:t>6,677,345.52</w:t>
            </w:r>
          </w:p>
        </w:tc>
      </w:tr>
      <w:tr>
        <w:trPr>
          <w:trHeight w:val="401"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汇兑损益</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74"/>
              <w:jc w:val="right"/>
              <w:rPr>
                <w:rFonts w:ascii="Times New Roman" w:hAnsi="Times New Roman" w:cs="Times New Roman" w:eastAsia="Times New Roman" w:hint="default"/>
                <w:sz w:val="18"/>
                <w:szCs w:val="18"/>
              </w:rPr>
            </w:pPr>
            <w:r>
              <w:rPr>
                <w:rFonts w:ascii="Times New Roman"/>
                <w:spacing w:val="-1"/>
                <w:sz w:val="18"/>
              </w:rPr>
              <w:t>1,385,405.39</w:t>
            </w:r>
          </w:p>
        </w:tc>
        <w:tc>
          <w:tcPr>
            <w:tcW w:w="275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68"/>
              <w:jc w:val="right"/>
              <w:rPr>
                <w:rFonts w:ascii="Times New Roman" w:hAnsi="Times New Roman" w:cs="Times New Roman" w:eastAsia="Times New Roman" w:hint="default"/>
                <w:sz w:val="18"/>
                <w:szCs w:val="18"/>
              </w:rPr>
            </w:pPr>
            <w:r>
              <w:rPr>
                <w:rFonts w:ascii="Times New Roman"/>
                <w:spacing w:val="-1"/>
                <w:sz w:val="18"/>
              </w:rPr>
              <w:t>1,229,637.13</w:t>
            </w:r>
          </w:p>
        </w:tc>
      </w:tr>
      <w:tr>
        <w:trPr>
          <w:trHeight w:val="400"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其他</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72"/>
              <w:jc w:val="right"/>
              <w:rPr>
                <w:rFonts w:ascii="Times New Roman" w:hAnsi="Times New Roman" w:cs="Times New Roman" w:eastAsia="Times New Roman" w:hint="default"/>
                <w:sz w:val="18"/>
                <w:szCs w:val="18"/>
              </w:rPr>
            </w:pPr>
            <w:r>
              <w:rPr>
                <w:rFonts w:ascii="Times New Roman"/>
                <w:spacing w:val="-1"/>
                <w:sz w:val="18"/>
              </w:rPr>
              <w:t>139,133.80</w:t>
            </w:r>
          </w:p>
        </w:tc>
        <w:tc>
          <w:tcPr>
            <w:tcW w:w="275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68"/>
              <w:jc w:val="right"/>
              <w:rPr>
                <w:rFonts w:ascii="Times New Roman" w:hAnsi="Times New Roman" w:cs="Times New Roman" w:eastAsia="Times New Roman" w:hint="default"/>
                <w:sz w:val="18"/>
                <w:szCs w:val="18"/>
              </w:rPr>
            </w:pPr>
            <w:r>
              <w:rPr>
                <w:rFonts w:ascii="Times New Roman"/>
                <w:spacing w:val="-1"/>
                <w:sz w:val="18"/>
              </w:rPr>
              <w:t>114,246.54</w:t>
            </w:r>
          </w:p>
        </w:tc>
      </w:tr>
      <w:tr>
        <w:trPr>
          <w:trHeight w:val="294"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7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72"/>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pacing w:val="-1"/>
                <w:sz w:val="18"/>
                <w:u w:val="thick" w:color="000000"/>
              </w:rPr>
              <w:t>-7,596,636.28</w:t>
            </w:r>
            <w:r>
              <w:rPr>
                <w:rFonts w:ascii="Times New Roman"/>
                <w:spacing w:val="-1"/>
                <w:sz w:val="18"/>
              </w:rPr>
            </w:r>
          </w:p>
        </w:tc>
        <w:tc>
          <w:tcPr>
            <w:tcW w:w="275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68"/>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-5,333,461.85</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600" w:right="2166"/>
        <w:jc w:val="left"/>
      </w:pPr>
      <w:r>
        <w:rPr>
          <w:rFonts w:ascii="Times New Roman" w:hAnsi="Times New Roman" w:cs="Times New Roman" w:eastAsia="Times New Roman" w:hint="default"/>
        </w:rPr>
        <w:t>33. </w:t>
      </w:r>
      <w:r>
        <w:rPr>
          <w:rFonts w:ascii="Times New Roman" w:hAnsi="Times New Roman" w:cs="Times New Roman" w:eastAsia="Times New Roman" w:hint="default"/>
          <w:spacing w:val="1"/>
        </w:rPr>
        <w:t> </w:t>
      </w:r>
      <w:r>
        <w:rPr/>
        <w:t>投资收益</w:t>
      </w:r>
    </w:p>
    <w:p>
      <w:pPr>
        <w:spacing w:line="240" w:lineRule="auto" w:before="8"/>
        <w:rPr>
          <w:rFonts w:ascii="宋体" w:hAnsi="宋体" w:cs="宋体" w:eastAsia="宋体" w:hint="default"/>
          <w:sz w:val="20"/>
          <w:szCs w:val="20"/>
        </w:rPr>
      </w:pPr>
    </w:p>
    <w:p>
      <w:pPr>
        <w:pStyle w:val="BodyText"/>
        <w:spacing w:line="240" w:lineRule="auto"/>
        <w:ind w:left="600" w:right="2166"/>
        <w:jc w:val="left"/>
      </w:pPr>
      <w:r>
        <w:rPr/>
        <w:t>（</w:t>
      </w:r>
      <w:r>
        <w:rPr>
          <w:rFonts w:ascii="Times New Roman" w:hAnsi="Times New Roman" w:cs="Times New Roman" w:eastAsia="Times New Roman" w:hint="default"/>
        </w:rPr>
        <w:t>1</w:t>
      </w:r>
      <w:r>
        <w:rPr/>
        <w:t>）按项目列示</w:t>
      </w: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734"/>
        <w:gridCol w:w="2693"/>
        <w:gridCol w:w="2154"/>
      </w:tblGrid>
      <w:tr>
        <w:trPr>
          <w:trHeight w:val="272" w:hRule="exact"/>
        </w:trPr>
        <w:tc>
          <w:tcPr>
            <w:tcW w:w="3734" w:type="dxa"/>
            <w:tcBorders>
              <w:top w:val="nil" w:sz="6" w:space="0" w:color="auto"/>
              <w:left w:val="nil" w:sz="6" w:space="0" w:color="auto"/>
              <w:bottom w:val="single" w:sz="4" w:space="0" w:color="000000"/>
              <w:right w:val="nil" w:sz="6" w:space="0" w:color="auto"/>
            </w:tcBorders>
          </w:tcPr>
          <w:p>
            <w:pPr>
              <w:pStyle w:val="TableParagraph"/>
              <w:spacing w:line="180" w:lineRule="exact"/>
              <w:ind w:left="1171"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2693" w:type="dxa"/>
            <w:tcBorders>
              <w:top w:val="nil" w:sz="6" w:space="0" w:color="auto"/>
              <w:left w:val="nil" w:sz="6" w:space="0" w:color="auto"/>
              <w:bottom w:val="single" w:sz="4" w:space="0" w:color="000000"/>
              <w:right w:val="nil" w:sz="6" w:space="0" w:color="auto"/>
            </w:tcBorders>
          </w:tcPr>
          <w:p>
            <w:pPr>
              <w:pStyle w:val="TableParagraph"/>
              <w:spacing w:line="180" w:lineRule="exact"/>
              <w:ind w:left="93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54" w:type="dxa"/>
            <w:tcBorders>
              <w:top w:val="nil" w:sz="6" w:space="0" w:color="auto"/>
              <w:left w:val="nil" w:sz="6" w:space="0" w:color="auto"/>
              <w:bottom w:val="single" w:sz="4" w:space="0" w:color="000000"/>
              <w:right w:val="nil" w:sz="6" w:space="0" w:color="auto"/>
            </w:tcBorders>
          </w:tcPr>
          <w:p>
            <w:pPr>
              <w:pStyle w:val="TableParagraph"/>
              <w:spacing w:line="180" w:lineRule="exact"/>
              <w:ind w:left="54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1" w:hRule="exact"/>
        </w:trPr>
        <w:tc>
          <w:tcPr>
            <w:tcW w:w="373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273" w:right="0"/>
              <w:jc w:val="left"/>
              <w:rPr>
                <w:rFonts w:ascii="Times New Roman" w:hAnsi="Times New Roman" w:cs="Times New Roman" w:eastAsia="Times New Roman" w:hint="default"/>
                <w:sz w:val="18"/>
                <w:szCs w:val="18"/>
              </w:rPr>
            </w:pPr>
            <w:r>
              <w:rPr>
                <w:rFonts w:ascii="Times New Roman"/>
                <w:sz w:val="18"/>
              </w:rPr>
              <w:t>-124,848.83</w:t>
            </w:r>
          </w:p>
        </w:tc>
        <w:tc>
          <w:tcPr>
            <w:tcW w:w="215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95"/>
              <w:jc w:val="right"/>
              <w:rPr>
                <w:rFonts w:ascii="Times New Roman" w:hAnsi="Times New Roman" w:cs="Times New Roman" w:eastAsia="Times New Roman" w:hint="default"/>
                <w:sz w:val="18"/>
                <w:szCs w:val="18"/>
              </w:rPr>
            </w:pPr>
            <w:r>
              <w:rPr>
                <w:rFonts w:ascii="Times New Roman"/>
                <w:spacing w:val="-1"/>
                <w:sz w:val="18"/>
              </w:rPr>
              <w:t>-24,756.64</w:t>
            </w:r>
          </w:p>
        </w:tc>
      </w:tr>
      <w:tr>
        <w:trPr>
          <w:trHeight w:val="296" w:hRule="exact"/>
        </w:trPr>
        <w:tc>
          <w:tcPr>
            <w:tcW w:w="37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693" w:type="dxa"/>
            <w:tcBorders>
              <w:top w:val="nil" w:sz="6" w:space="0" w:color="auto"/>
              <w:left w:val="nil" w:sz="6" w:space="0" w:color="auto"/>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95"/>
              <w:jc w:val="right"/>
              <w:rPr>
                <w:rFonts w:ascii="Times New Roman" w:hAnsi="Times New Roman" w:cs="Times New Roman" w:eastAsia="Times New Roman" w:hint="default"/>
                <w:sz w:val="18"/>
                <w:szCs w:val="18"/>
              </w:rPr>
            </w:pPr>
            <w:r>
              <w:rPr>
                <w:rFonts w:ascii="Times New Roman"/>
                <w:spacing w:val="-1"/>
                <w:sz w:val="18"/>
              </w:rPr>
              <w:t>287,675.08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480" w:bottom="1160" w:left="1560" w:right="1560"/>
        </w:sectPr>
      </w:pPr>
    </w:p>
    <w:p>
      <w:pPr>
        <w:spacing w:line="240" w:lineRule="auto" w:before="7"/>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045"/>
        <w:gridCol w:w="2382"/>
        <w:gridCol w:w="2154"/>
      </w:tblGrid>
      <w:tr>
        <w:trPr>
          <w:trHeight w:val="275" w:hRule="exact"/>
        </w:trPr>
        <w:tc>
          <w:tcPr>
            <w:tcW w:w="4045" w:type="dxa"/>
            <w:tcBorders>
              <w:top w:val="nil" w:sz="6" w:space="0" w:color="auto"/>
              <w:left w:val="nil" w:sz="6" w:space="0" w:color="auto"/>
              <w:bottom w:val="single" w:sz="4" w:space="0" w:color="000000"/>
              <w:right w:val="nil" w:sz="6" w:space="0" w:color="auto"/>
            </w:tcBorders>
          </w:tcPr>
          <w:p>
            <w:pPr>
              <w:pStyle w:val="TableParagraph"/>
              <w:spacing w:line="180" w:lineRule="exact"/>
              <w:ind w:left="1171"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2382" w:type="dxa"/>
            <w:tcBorders>
              <w:top w:val="nil" w:sz="6" w:space="0" w:color="auto"/>
              <w:left w:val="nil" w:sz="6" w:space="0" w:color="auto"/>
              <w:bottom w:val="single" w:sz="4" w:space="0" w:color="000000"/>
              <w:right w:val="nil" w:sz="6" w:space="0" w:color="auto"/>
            </w:tcBorders>
          </w:tcPr>
          <w:p>
            <w:pPr>
              <w:pStyle w:val="TableParagraph"/>
              <w:spacing w:line="180" w:lineRule="exact"/>
              <w:ind w:left="62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54" w:type="dxa"/>
            <w:tcBorders>
              <w:top w:val="nil" w:sz="6" w:space="0" w:color="auto"/>
              <w:left w:val="nil" w:sz="6" w:space="0" w:color="auto"/>
              <w:bottom w:val="single" w:sz="4" w:space="0" w:color="000000"/>
              <w:right w:val="nil" w:sz="6" w:space="0" w:color="auto"/>
            </w:tcBorders>
          </w:tcPr>
          <w:p>
            <w:pPr>
              <w:pStyle w:val="TableParagraph"/>
              <w:spacing w:line="180" w:lineRule="exact"/>
              <w:ind w:left="54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9" w:hRule="exact"/>
        </w:trPr>
        <w:tc>
          <w:tcPr>
            <w:tcW w:w="404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0"/>
              <w:jc w:val="left"/>
              <w:rPr>
                <w:rFonts w:ascii="宋体" w:hAnsi="宋体" w:cs="宋体" w:eastAsia="宋体" w:hint="default"/>
                <w:sz w:val="18"/>
                <w:szCs w:val="18"/>
              </w:rPr>
            </w:pPr>
            <w:r>
              <w:rPr>
                <w:rFonts w:ascii="宋体" w:hAnsi="宋体" w:cs="宋体" w:eastAsia="宋体" w:hint="default"/>
                <w:sz w:val="18"/>
                <w:szCs w:val="18"/>
              </w:rPr>
              <w:t>持有可供出售金融资产期间取得的投资收益</w:t>
            </w:r>
          </w:p>
        </w:tc>
        <w:tc>
          <w:tcPr>
            <w:tcW w:w="238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546"/>
              <w:jc w:val="right"/>
              <w:rPr>
                <w:rFonts w:ascii="Times New Roman" w:hAnsi="Times New Roman" w:cs="Times New Roman" w:eastAsia="Times New Roman" w:hint="default"/>
                <w:sz w:val="18"/>
                <w:szCs w:val="18"/>
              </w:rPr>
            </w:pPr>
            <w:r>
              <w:rPr>
                <w:rFonts w:ascii="Times New Roman"/>
                <w:spacing w:val="-1"/>
                <w:sz w:val="18"/>
              </w:rPr>
              <w:t>231,992.94</w:t>
            </w:r>
          </w:p>
        </w:tc>
        <w:tc>
          <w:tcPr>
            <w:tcW w:w="2154" w:type="dxa"/>
            <w:tcBorders>
              <w:top w:val="single" w:sz="4" w:space="0" w:color="000000"/>
              <w:left w:val="nil" w:sz="6" w:space="0" w:color="auto"/>
              <w:bottom w:val="nil" w:sz="6" w:space="0" w:color="auto"/>
              <w:right w:val="nil" w:sz="6" w:space="0" w:color="auto"/>
            </w:tcBorders>
          </w:tcPr>
          <w:p>
            <w:pPr/>
          </w:p>
        </w:tc>
      </w:tr>
      <w:tr>
        <w:trPr>
          <w:trHeight w:val="421"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548"/>
              <w:jc w:val="right"/>
              <w:rPr>
                <w:rFonts w:ascii="Times New Roman" w:hAnsi="Times New Roman" w:cs="Times New Roman" w:eastAsia="Times New Roman" w:hint="default"/>
                <w:sz w:val="18"/>
                <w:szCs w:val="18"/>
              </w:rPr>
            </w:pPr>
            <w:r>
              <w:rPr>
                <w:rFonts w:ascii="Times New Roman"/>
                <w:spacing w:val="-1"/>
                <w:sz w:val="18"/>
              </w:rPr>
              <w:t>23,967,846.25</w:t>
            </w:r>
          </w:p>
        </w:tc>
        <w:tc>
          <w:tcPr>
            <w:tcW w:w="2154" w:type="dxa"/>
            <w:tcBorders>
              <w:top w:val="nil" w:sz="6" w:space="0" w:color="auto"/>
              <w:left w:val="nil" w:sz="6" w:space="0" w:color="auto"/>
              <w:bottom w:val="nil" w:sz="6" w:space="0" w:color="auto"/>
              <w:right w:val="nil" w:sz="6" w:space="0" w:color="auto"/>
            </w:tcBorders>
          </w:tcPr>
          <w:p>
            <w:pPr/>
          </w:p>
        </w:tc>
      </w:tr>
      <w:tr>
        <w:trPr>
          <w:trHeight w:val="400"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46"/>
              <w:jc w:val="right"/>
              <w:rPr>
                <w:rFonts w:ascii="Times New Roman" w:hAnsi="Times New Roman" w:cs="Times New Roman" w:eastAsia="Times New Roman" w:hint="default"/>
                <w:sz w:val="18"/>
                <w:szCs w:val="18"/>
              </w:rPr>
            </w:pPr>
            <w:r>
              <w:rPr>
                <w:rFonts w:ascii="Times New Roman"/>
                <w:spacing w:val="-1"/>
                <w:sz w:val="18"/>
              </w:rPr>
              <w:t>2,110,349.39</w:t>
            </w: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96"/>
              <w:jc w:val="right"/>
              <w:rPr>
                <w:rFonts w:ascii="Times New Roman" w:hAnsi="Times New Roman" w:cs="Times New Roman" w:eastAsia="Times New Roman" w:hint="default"/>
                <w:sz w:val="18"/>
                <w:szCs w:val="18"/>
              </w:rPr>
            </w:pPr>
            <w:r>
              <w:rPr>
                <w:rFonts w:ascii="Times New Roman"/>
                <w:spacing w:val="-1"/>
                <w:sz w:val="18"/>
              </w:rPr>
              <w:t>1,528,008.44</w:t>
            </w:r>
          </w:p>
        </w:tc>
      </w:tr>
      <w:tr>
        <w:trPr>
          <w:trHeight w:val="295"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
              <w:jc w:val="center"/>
              <w:rPr>
                <w:rFonts w:ascii="宋体" w:hAnsi="宋体" w:cs="宋体" w:eastAsia="宋体" w:hint="default"/>
                <w:sz w:val="18"/>
                <w:szCs w:val="18"/>
              </w:rPr>
            </w:pPr>
            <w:r>
              <w:rPr>
                <w:rFonts w:ascii="宋体" w:hAnsi="宋体" w:cs="宋体" w:eastAsia="宋体" w:hint="default"/>
                <w:sz w:val="18"/>
                <w:szCs w:val="18"/>
              </w:rPr>
              <w:t>合计</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46"/>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pacing w:val="-1"/>
                <w:sz w:val="18"/>
                <w:u w:val="thick" w:color="000000"/>
              </w:rPr>
              <w:t>26,185,339.75</w:t>
            </w:r>
            <w:r>
              <w:rPr>
                <w:rFonts w:ascii="Times New Roman"/>
                <w:spacing w:val="-1"/>
                <w:sz w:val="18"/>
              </w:rPr>
            </w: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9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1,790,926.88</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600" w:right="0"/>
        <w:jc w:val="left"/>
      </w:pPr>
      <w:r>
        <w:rPr/>
        <w:t>（</w:t>
      </w:r>
      <w:r>
        <w:rPr>
          <w:rFonts w:ascii="Times New Roman" w:hAnsi="Times New Roman" w:cs="Times New Roman" w:eastAsia="Times New Roman" w:hint="default"/>
        </w:rPr>
        <w:t>2</w:t>
      </w:r>
      <w:r>
        <w:rPr/>
        <w:t>）按权益法核算的长期股权投资按投资投资单位分项列示投资收益</w:t>
      </w: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3438"/>
        <w:gridCol w:w="1517"/>
        <w:gridCol w:w="1294"/>
        <w:gridCol w:w="2508"/>
      </w:tblGrid>
      <w:tr>
        <w:trPr>
          <w:trHeight w:val="279" w:hRule="exact"/>
        </w:trPr>
        <w:tc>
          <w:tcPr>
            <w:tcW w:w="3438" w:type="dxa"/>
            <w:tcBorders>
              <w:top w:val="nil" w:sz="6" w:space="0" w:color="auto"/>
              <w:left w:val="nil" w:sz="6" w:space="0" w:color="auto"/>
              <w:bottom w:val="single" w:sz="8" w:space="0" w:color="000000"/>
              <w:right w:val="nil" w:sz="6" w:space="0" w:color="auto"/>
            </w:tcBorders>
          </w:tcPr>
          <w:p>
            <w:pPr>
              <w:pStyle w:val="TableParagraph"/>
              <w:spacing w:line="180" w:lineRule="exact"/>
              <w:ind w:right="86"/>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517" w:type="dxa"/>
            <w:tcBorders>
              <w:top w:val="nil" w:sz="6" w:space="0" w:color="auto"/>
              <w:left w:val="nil" w:sz="6" w:space="0" w:color="auto"/>
              <w:bottom w:val="single" w:sz="8" w:space="0" w:color="000000"/>
              <w:right w:val="nil" w:sz="6" w:space="0" w:color="auto"/>
            </w:tcBorders>
          </w:tcPr>
          <w:p>
            <w:pPr>
              <w:pStyle w:val="TableParagraph"/>
              <w:spacing w:line="180" w:lineRule="exact"/>
              <w:ind w:left="270"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294" w:type="dxa"/>
            <w:tcBorders>
              <w:top w:val="nil" w:sz="6" w:space="0" w:color="auto"/>
              <w:left w:val="nil" w:sz="6" w:space="0" w:color="auto"/>
              <w:bottom w:val="single" w:sz="8" w:space="0" w:color="000000"/>
              <w:right w:val="nil" w:sz="6" w:space="0" w:color="auto"/>
            </w:tcBorders>
          </w:tcPr>
          <w:p>
            <w:pPr>
              <w:pStyle w:val="TableParagraph"/>
              <w:spacing w:line="180" w:lineRule="exact"/>
              <w:ind w:left="179"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2508" w:type="dxa"/>
            <w:tcBorders>
              <w:top w:val="nil" w:sz="6" w:space="0" w:color="auto"/>
              <w:left w:val="nil" w:sz="6" w:space="0" w:color="auto"/>
              <w:bottom w:val="single" w:sz="8" w:space="0" w:color="000000"/>
              <w:right w:val="nil" w:sz="6" w:space="0" w:color="auto"/>
            </w:tcBorders>
          </w:tcPr>
          <w:p>
            <w:pPr>
              <w:pStyle w:val="TableParagraph"/>
              <w:spacing w:line="180"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本期比上期增减变动的原因</w:t>
            </w:r>
            <w:r>
              <w:rPr>
                <w:rFonts w:ascii="宋体" w:hAnsi="宋体" w:cs="宋体" w:eastAsia="宋体" w:hint="default"/>
                <w:sz w:val="18"/>
                <w:szCs w:val="18"/>
              </w:rPr>
            </w:r>
          </w:p>
        </w:tc>
      </w:tr>
      <w:tr>
        <w:trPr>
          <w:trHeight w:val="436" w:hRule="exact"/>
        </w:trPr>
        <w:tc>
          <w:tcPr>
            <w:tcW w:w="3438" w:type="dxa"/>
            <w:tcBorders>
              <w:top w:val="single" w:sz="8" w:space="0" w:color="000000"/>
              <w:left w:val="nil" w:sz="6" w:space="0" w:color="auto"/>
              <w:bottom w:val="nil" w:sz="6" w:space="0" w:color="auto"/>
              <w:right w:val="nil" w:sz="6" w:space="0" w:color="auto"/>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江苏凤凰天舟新媒体发展有限责任公司</w:t>
            </w:r>
          </w:p>
        </w:tc>
        <w:tc>
          <w:tcPr>
            <w:tcW w:w="1517" w:type="dxa"/>
            <w:tcBorders>
              <w:top w:val="single" w:sz="8" w:space="0" w:color="000000"/>
              <w:left w:val="nil" w:sz="6" w:space="0" w:color="auto"/>
              <w:bottom w:val="nil" w:sz="6" w:space="0" w:color="auto"/>
              <w:right w:val="nil" w:sz="6" w:space="0" w:color="auto"/>
            </w:tcBorders>
          </w:tcPr>
          <w:p>
            <w:pPr/>
          </w:p>
        </w:tc>
        <w:tc>
          <w:tcPr>
            <w:tcW w:w="1294"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62"/>
              <w:jc w:val="right"/>
              <w:rPr>
                <w:rFonts w:ascii="Times New Roman" w:hAnsi="Times New Roman" w:cs="Times New Roman" w:eastAsia="Times New Roman" w:hint="default"/>
                <w:sz w:val="18"/>
                <w:szCs w:val="18"/>
              </w:rPr>
            </w:pPr>
            <w:r>
              <w:rPr>
                <w:rFonts w:ascii="Times New Roman"/>
                <w:spacing w:val="-1"/>
                <w:sz w:val="18"/>
              </w:rPr>
              <w:t>-24,756.64</w:t>
            </w:r>
          </w:p>
        </w:tc>
        <w:tc>
          <w:tcPr>
            <w:tcW w:w="2508" w:type="dxa"/>
            <w:tcBorders>
              <w:top w:val="single" w:sz="8" w:space="0" w:color="000000"/>
              <w:left w:val="nil" w:sz="6" w:space="0" w:color="auto"/>
              <w:bottom w:val="nil" w:sz="6" w:space="0" w:color="auto"/>
              <w:right w:val="nil" w:sz="6" w:space="0" w:color="auto"/>
            </w:tcBorders>
          </w:tcPr>
          <w:p>
            <w:pPr>
              <w:pStyle w:val="TableParagraph"/>
              <w:spacing w:line="240" w:lineRule="auto" w:before="76"/>
              <w:ind w:left="64" w:right="0"/>
              <w:jc w:val="left"/>
              <w:rPr>
                <w:rFonts w:ascii="宋体" w:hAnsi="宋体" w:cs="宋体" w:eastAsia="宋体" w:hint="default"/>
                <w:sz w:val="18"/>
                <w:szCs w:val="18"/>
              </w:rPr>
            </w:pPr>
            <w:r>
              <w:rPr>
                <w:rFonts w:ascii="宋体" w:hAnsi="宋体" w:cs="宋体" w:eastAsia="宋体" w:hint="default"/>
                <w:sz w:val="18"/>
                <w:szCs w:val="18"/>
              </w:rPr>
              <w:t>已在上期处置转让股权</w:t>
            </w:r>
          </w:p>
        </w:tc>
      </w:tr>
      <w:tr>
        <w:trPr>
          <w:trHeight w:val="401"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北京海德拉科技有限公司</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7"/>
              <w:jc w:val="right"/>
              <w:rPr>
                <w:rFonts w:ascii="Times New Roman" w:hAnsi="Times New Roman" w:cs="Times New Roman" w:eastAsia="Times New Roman" w:hint="default"/>
                <w:sz w:val="18"/>
                <w:szCs w:val="18"/>
              </w:rPr>
            </w:pPr>
            <w:r>
              <w:rPr>
                <w:rFonts w:ascii="Times New Roman"/>
                <w:spacing w:val="-1"/>
                <w:sz w:val="18"/>
              </w:rPr>
              <w:t>-124,848.83</w:t>
            </w:r>
          </w:p>
        </w:tc>
        <w:tc>
          <w:tcPr>
            <w:tcW w:w="1294"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4" w:right="0"/>
              <w:jc w:val="left"/>
              <w:rPr>
                <w:rFonts w:ascii="宋体" w:hAnsi="宋体" w:cs="宋体" w:eastAsia="宋体" w:hint="default"/>
                <w:sz w:val="18"/>
                <w:szCs w:val="18"/>
              </w:rPr>
            </w:pPr>
            <w:r>
              <w:rPr>
                <w:rFonts w:ascii="宋体" w:hAnsi="宋体" w:cs="宋体" w:eastAsia="宋体" w:hint="default"/>
                <w:sz w:val="18"/>
                <w:szCs w:val="18"/>
              </w:rPr>
              <w:t>本期新增投资项目</w:t>
            </w:r>
          </w:p>
        </w:tc>
      </w:tr>
      <w:tr>
        <w:trPr>
          <w:trHeight w:val="295" w:hRule="exact"/>
        </w:trPr>
        <w:tc>
          <w:tcPr>
            <w:tcW w:w="34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6"/>
              <w:jc w:val="center"/>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7"/>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-124,848.83</w:t>
            </w:r>
            <w:r>
              <w:rPr>
                <w:rFonts w:ascii="Times New Roman"/>
                <w:spacing w:val="-1"/>
                <w:sz w:val="18"/>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2"/>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-24,756.64</w:t>
            </w:r>
            <w:r>
              <w:rPr>
                <w:rFonts w:ascii="Times New Roman"/>
                <w:spacing w:val="-1"/>
                <w:sz w:val="18"/>
              </w:rPr>
            </w:r>
          </w:p>
        </w:tc>
        <w:tc>
          <w:tcPr>
            <w:tcW w:w="2508"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9"/>
          <w:szCs w:val="29"/>
        </w:rPr>
      </w:pPr>
    </w:p>
    <w:p>
      <w:pPr>
        <w:pStyle w:val="BodyText"/>
        <w:spacing w:line="240" w:lineRule="auto" w:before="44"/>
        <w:ind w:left="780" w:right="0"/>
        <w:jc w:val="left"/>
      </w:pPr>
      <w:r>
        <w:rPr>
          <w:rFonts w:ascii="Times New Roman" w:hAnsi="Times New Roman" w:cs="Times New Roman" w:eastAsia="Times New Roman" w:hint="default"/>
        </w:rPr>
        <w:t>34.</w:t>
      </w:r>
      <w:r>
        <w:rPr/>
        <w:t>资产减值损失</w:t>
      </w: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783"/>
        <w:gridCol w:w="3041"/>
        <w:gridCol w:w="2757"/>
      </w:tblGrid>
      <w:tr>
        <w:trPr>
          <w:trHeight w:val="275" w:hRule="exact"/>
        </w:trPr>
        <w:tc>
          <w:tcPr>
            <w:tcW w:w="2783" w:type="dxa"/>
            <w:tcBorders>
              <w:top w:val="nil" w:sz="6" w:space="0" w:color="auto"/>
              <w:left w:val="nil" w:sz="6" w:space="0" w:color="auto"/>
              <w:bottom w:val="single" w:sz="4" w:space="0" w:color="000000"/>
              <w:right w:val="nil" w:sz="6" w:space="0" w:color="auto"/>
            </w:tcBorders>
          </w:tcPr>
          <w:p>
            <w:pPr>
              <w:pStyle w:val="TableParagraph"/>
              <w:tabs>
                <w:tab w:pos="492" w:val="left" w:leader="none"/>
              </w:tabs>
              <w:spacing w:line="180" w:lineRule="exact"/>
              <w:ind w:left="72"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041" w:type="dxa"/>
            <w:tcBorders>
              <w:top w:val="nil" w:sz="6" w:space="0" w:color="auto"/>
              <w:left w:val="nil" w:sz="6" w:space="0" w:color="auto"/>
              <w:bottom w:val="single" w:sz="4" w:space="0" w:color="000000"/>
              <w:right w:val="nil" w:sz="6" w:space="0" w:color="auto"/>
            </w:tcBorders>
          </w:tcPr>
          <w:p>
            <w:pPr>
              <w:pStyle w:val="TableParagraph"/>
              <w:spacing w:line="180" w:lineRule="exact"/>
              <w:ind w:right="28"/>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57" w:type="dxa"/>
            <w:tcBorders>
              <w:top w:val="nil" w:sz="6" w:space="0" w:color="auto"/>
              <w:left w:val="nil" w:sz="6" w:space="0" w:color="auto"/>
              <w:bottom w:val="single" w:sz="4" w:space="0" w:color="000000"/>
              <w:right w:val="nil" w:sz="6" w:space="0" w:color="auto"/>
            </w:tcBorders>
          </w:tcPr>
          <w:p>
            <w:pPr>
              <w:pStyle w:val="TableParagraph"/>
              <w:spacing w:line="180" w:lineRule="exact"/>
              <w:ind w:left="87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0" w:hRule="exact"/>
        </w:trPr>
        <w:tc>
          <w:tcPr>
            <w:tcW w:w="278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坏账损失</w:t>
            </w:r>
          </w:p>
        </w:tc>
        <w:tc>
          <w:tcPr>
            <w:tcW w:w="304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873"/>
              <w:jc w:val="right"/>
              <w:rPr>
                <w:rFonts w:ascii="Times New Roman" w:hAnsi="Times New Roman" w:cs="Times New Roman" w:eastAsia="Times New Roman" w:hint="default"/>
                <w:sz w:val="18"/>
                <w:szCs w:val="18"/>
              </w:rPr>
            </w:pPr>
            <w:r>
              <w:rPr>
                <w:rFonts w:ascii="Times New Roman"/>
                <w:spacing w:val="-1"/>
                <w:sz w:val="18"/>
              </w:rPr>
              <w:t>10,495,136.44</w:t>
            </w:r>
          </w:p>
        </w:tc>
        <w:tc>
          <w:tcPr>
            <w:tcW w:w="275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768"/>
              <w:jc w:val="right"/>
              <w:rPr>
                <w:rFonts w:ascii="Times New Roman" w:hAnsi="Times New Roman" w:cs="Times New Roman" w:eastAsia="Times New Roman" w:hint="default"/>
                <w:sz w:val="18"/>
                <w:szCs w:val="18"/>
              </w:rPr>
            </w:pPr>
            <w:r>
              <w:rPr>
                <w:rFonts w:ascii="Times New Roman"/>
                <w:spacing w:val="-1"/>
                <w:sz w:val="18"/>
              </w:rPr>
              <w:t>4,340,718.23</w:t>
            </w:r>
          </w:p>
        </w:tc>
      </w:tr>
      <w:tr>
        <w:trPr>
          <w:trHeight w:val="400"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存货跌价损失</w:t>
            </w:r>
          </w:p>
        </w:tc>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72"/>
              <w:jc w:val="right"/>
              <w:rPr>
                <w:rFonts w:ascii="Times New Roman" w:hAnsi="Times New Roman" w:cs="Times New Roman" w:eastAsia="Times New Roman" w:hint="default"/>
                <w:sz w:val="18"/>
                <w:szCs w:val="18"/>
              </w:rPr>
            </w:pPr>
            <w:r>
              <w:rPr>
                <w:rFonts w:ascii="Times New Roman"/>
                <w:spacing w:val="-1"/>
                <w:sz w:val="18"/>
              </w:rPr>
              <w:t>7,098,539.99</w:t>
            </w:r>
          </w:p>
        </w:tc>
        <w:tc>
          <w:tcPr>
            <w:tcW w:w="275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68"/>
              <w:jc w:val="right"/>
              <w:rPr>
                <w:rFonts w:ascii="Times New Roman" w:hAnsi="Times New Roman" w:cs="Times New Roman" w:eastAsia="Times New Roman" w:hint="default"/>
                <w:sz w:val="18"/>
                <w:szCs w:val="18"/>
              </w:rPr>
            </w:pPr>
            <w:r>
              <w:rPr>
                <w:rFonts w:ascii="Times New Roman"/>
                <w:spacing w:val="-1"/>
                <w:sz w:val="18"/>
              </w:rPr>
              <w:t>3,940,464.70</w:t>
            </w:r>
          </w:p>
        </w:tc>
      </w:tr>
      <w:tr>
        <w:trPr>
          <w:trHeight w:val="295"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17,593,676.43</w:t>
            </w:r>
            <w:r>
              <w:rPr>
                <w:rFonts w:ascii="Times New Roman"/>
                <w:spacing w:val="-1"/>
                <w:sz w:val="18"/>
              </w:rPr>
            </w:r>
          </w:p>
        </w:tc>
        <w:tc>
          <w:tcPr>
            <w:tcW w:w="275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6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8,281,182.93</w:t>
            </w:r>
            <w:r>
              <w:rPr>
                <w:rFonts w:ascii="Times New Roman"/>
                <w:spacing w:val="-1"/>
                <w:sz w:val="18"/>
              </w:rPr>
            </w:r>
          </w:p>
        </w:tc>
      </w:tr>
    </w:tbl>
    <w:p>
      <w:pPr>
        <w:spacing w:line="240" w:lineRule="auto" w:before="13"/>
        <w:rPr>
          <w:rFonts w:ascii="宋体" w:hAnsi="宋体" w:cs="宋体" w:eastAsia="宋体" w:hint="default"/>
          <w:sz w:val="29"/>
          <w:szCs w:val="29"/>
        </w:rPr>
      </w:pPr>
    </w:p>
    <w:p>
      <w:pPr>
        <w:pStyle w:val="BodyText"/>
        <w:spacing w:line="240" w:lineRule="auto" w:before="44"/>
        <w:ind w:left="600" w:right="0"/>
        <w:jc w:val="left"/>
      </w:pPr>
      <w:r>
        <w:rPr>
          <w:rFonts w:ascii="Times New Roman" w:hAnsi="Times New Roman" w:cs="Times New Roman" w:eastAsia="Times New Roman" w:hint="default"/>
        </w:rPr>
        <w:t>35. </w:t>
      </w:r>
      <w:r>
        <w:rPr>
          <w:rFonts w:ascii="Times New Roman" w:hAnsi="Times New Roman" w:cs="Times New Roman" w:eastAsia="Times New Roman" w:hint="default"/>
          <w:spacing w:val="1"/>
        </w:rPr>
        <w:t> </w:t>
      </w:r>
      <w:r>
        <w:rPr/>
        <w:t>营业外收入</w:t>
      </w:r>
    </w:p>
    <w:p>
      <w:pPr>
        <w:spacing w:line="240" w:lineRule="auto" w:before="5"/>
        <w:rPr>
          <w:rFonts w:ascii="宋体" w:hAnsi="宋体" w:cs="宋体" w:eastAsia="宋体" w:hint="default"/>
          <w:sz w:val="20"/>
          <w:szCs w:val="20"/>
        </w:rPr>
      </w:pPr>
    </w:p>
    <w:p>
      <w:pPr>
        <w:pStyle w:val="BodyText"/>
        <w:spacing w:line="240" w:lineRule="auto"/>
        <w:ind w:left="600" w:right="0"/>
        <w:jc w:val="left"/>
      </w:pPr>
      <w:r>
        <w:rPr/>
        <w:t>（</w:t>
      </w:r>
      <w:r>
        <w:rPr>
          <w:rFonts w:ascii="Times New Roman" w:hAnsi="Times New Roman" w:cs="Times New Roman" w:eastAsia="Times New Roman" w:hint="default"/>
        </w:rPr>
        <w:t>1</w:t>
      </w:r>
      <w:r>
        <w:rPr/>
        <w:t>）按项目列示</w:t>
      </w: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634"/>
        <w:gridCol w:w="1813"/>
        <w:gridCol w:w="1535"/>
        <w:gridCol w:w="2599"/>
      </w:tblGrid>
      <w:tr>
        <w:trPr>
          <w:trHeight w:val="275" w:hRule="exact"/>
        </w:trPr>
        <w:tc>
          <w:tcPr>
            <w:tcW w:w="2634" w:type="dxa"/>
            <w:tcBorders>
              <w:top w:val="nil" w:sz="6" w:space="0" w:color="auto"/>
              <w:left w:val="nil" w:sz="6" w:space="0" w:color="auto"/>
              <w:bottom w:val="single" w:sz="4" w:space="0" w:color="000000"/>
              <w:right w:val="nil" w:sz="6" w:space="0" w:color="auto"/>
            </w:tcBorders>
          </w:tcPr>
          <w:p>
            <w:pPr>
              <w:pStyle w:val="TableParagraph"/>
              <w:tabs>
                <w:tab w:pos="478" w:val="left" w:leader="none"/>
              </w:tabs>
              <w:spacing w:line="180" w:lineRule="exact"/>
              <w:ind w:left="58"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813" w:type="dxa"/>
            <w:tcBorders>
              <w:top w:val="nil" w:sz="6" w:space="0" w:color="auto"/>
              <w:left w:val="nil" w:sz="6" w:space="0" w:color="auto"/>
              <w:bottom w:val="single" w:sz="4" w:space="0" w:color="000000"/>
              <w:right w:val="nil" w:sz="6" w:space="0" w:color="auto"/>
            </w:tcBorders>
          </w:tcPr>
          <w:p>
            <w:pPr>
              <w:pStyle w:val="TableParagraph"/>
              <w:spacing w:line="180" w:lineRule="exact"/>
              <w:ind w:left="45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535" w:type="dxa"/>
            <w:tcBorders>
              <w:top w:val="nil" w:sz="6" w:space="0" w:color="auto"/>
              <w:left w:val="nil" w:sz="6" w:space="0" w:color="auto"/>
              <w:bottom w:val="single" w:sz="4" w:space="0" w:color="000000"/>
              <w:right w:val="nil" w:sz="6" w:space="0" w:color="auto"/>
            </w:tcBorders>
          </w:tcPr>
          <w:p>
            <w:pPr>
              <w:pStyle w:val="TableParagraph"/>
              <w:spacing w:line="180" w:lineRule="exact"/>
              <w:ind w:left="34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599" w:type="dxa"/>
            <w:tcBorders>
              <w:top w:val="nil" w:sz="6" w:space="0" w:color="auto"/>
              <w:left w:val="nil" w:sz="6" w:space="0" w:color="auto"/>
              <w:bottom w:val="single" w:sz="4" w:space="0" w:color="000000"/>
              <w:right w:val="nil" w:sz="6" w:space="0" w:color="auto"/>
            </w:tcBorders>
          </w:tcPr>
          <w:p>
            <w:pPr>
              <w:pStyle w:val="TableParagraph"/>
              <w:spacing w:line="180" w:lineRule="exact"/>
              <w:ind w:left="182"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431" w:hRule="exact"/>
        </w:trPr>
        <w:tc>
          <w:tcPr>
            <w:tcW w:w="263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非流动资产处置利得小计</w:t>
            </w:r>
          </w:p>
        </w:tc>
        <w:tc>
          <w:tcPr>
            <w:tcW w:w="181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4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
                <w:sz w:val="18"/>
                <w:u w:val="single" w:color="000000"/>
              </w:rPr>
              <w:t> </w:t>
            </w:r>
            <w:r>
              <w:rPr>
                <w:rFonts w:ascii="Times New Roman"/>
                <w:spacing w:val="-1"/>
                <w:sz w:val="18"/>
                <w:u w:val="single" w:color="000000"/>
              </w:rPr>
              <w:t>52,172.33</w:t>
            </w:r>
            <w:r>
              <w:rPr>
                <w:rFonts w:ascii="Times New Roman"/>
                <w:spacing w:val="-1"/>
                <w:sz w:val="18"/>
              </w:rPr>
            </w:r>
          </w:p>
        </w:tc>
        <w:tc>
          <w:tcPr>
            <w:tcW w:w="153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8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22,619.27</w:t>
            </w:r>
            <w:r>
              <w:rPr>
                <w:rFonts w:ascii="Times New Roman"/>
                <w:spacing w:val="-1"/>
                <w:sz w:val="18"/>
              </w:rPr>
            </w:r>
          </w:p>
        </w:tc>
        <w:tc>
          <w:tcPr>
            <w:tcW w:w="259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28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
                <w:sz w:val="18"/>
                <w:u w:val="single" w:color="000000"/>
              </w:rPr>
              <w:t> </w:t>
            </w:r>
            <w:r>
              <w:rPr>
                <w:rFonts w:ascii="Times New Roman"/>
                <w:sz w:val="18"/>
                <w:u w:val="single" w:color="000000"/>
              </w:rPr>
              <w:t>52,172.33</w:t>
            </w:r>
            <w:r>
              <w:rPr>
                <w:rFonts w:ascii="Times New Roman"/>
                <w:sz w:val="18"/>
              </w:rPr>
            </w:r>
          </w:p>
        </w:tc>
      </w:tr>
      <w:tr>
        <w:trPr>
          <w:trHeight w:val="401"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9"/>
              <w:jc w:val="right"/>
              <w:rPr>
                <w:rFonts w:ascii="Times New Roman" w:hAnsi="Times New Roman" w:cs="Times New Roman" w:eastAsia="Times New Roman" w:hint="default"/>
                <w:sz w:val="18"/>
                <w:szCs w:val="18"/>
              </w:rPr>
            </w:pPr>
            <w:r>
              <w:rPr>
                <w:rFonts w:ascii="Times New Roman"/>
                <w:spacing w:val="-1"/>
                <w:sz w:val="18"/>
              </w:rPr>
              <w:t>52,172.33</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0"/>
              <w:jc w:val="right"/>
              <w:rPr>
                <w:rFonts w:ascii="Times New Roman" w:hAnsi="Times New Roman" w:cs="Times New Roman" w:eastAsia="Times New Roman" w:hint="default"/>
                <w:sz w:val="18"/>
                <w:szCs w:val="18"/>
              </w:rPr>
            </w:pPr>
            <w:r>
              <w:rPr>
                <w:rFonts w:ascii="Times New Roman"/>
                <w:spacing w:val="-1"/>
                <w:sz w:val="18"/>
              </w:rPr>
              <w:t>22,619.27</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377" w:right="0"/>
              <w:jc w:val="left"/>
              <w:rPr>
                <w:rFonts w:ascii="Times New Roman" w:hAnsi="Times New Roman" w:cs="Times New Roman" w:eastAsia="Times New Roman" w:hint="default"/>
                <w:sz w:val="18"/>
                <w:szCs w:val="18"/>
              </w:rPr>
            </w:pPr>
            <w:r>
              <w:rPr>
                <w:rFonts w:ascii="Times New Roman"/>
                <w:sz w:val="18"/>
              </w:rPr>
              <w:t>52,172.33</w:t>
            </w:r>
          </w:p>
        </w:tc>
      </w:tr>
      <w:tr>
        <w:trPr>
          <w:trHeight w:val="400"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债务重组利得</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9"/>
              <w:jc w:val="right"/>
              <w:rPr>
                <w:rFonts w:ascii="Times New Roman" w:hAnsi="Times New Roman" w:cs="Times New Roman" w:eastAsia="Times New Roman" w:hint="default"/>
                <w:sz w:val="18"/>
                <w:szCs w:val="18"/>
              </w:rPr>
            </w:pPr>
            <w:r>
              <w:rPr>
                <w:rFonts w:ascii="Times New Roman"/>
                <w:spacing w:val="-1"/>
                <w:sz w:val="18"/>
              </w:rPr>
              <w:t>29,927.40</w:t>
            </w:r>
          </w:p>
        </w:tc>
        <w:tc>
          <w:tcPr>
            <w:tcW w:w="1535" w:type="dxa"/>
            <w:tcBorders>
              <w:top w:val="nil" w:sz="6" w:space="0" w:color="auto"/>
              <w:left w:val="nil" w:sz="6" w:space="0" w:color="auto"/>
              <w:bottom w:val="nil" w:sz="6" w:space="0" w:color="auto"/>
              <w:right w:val="nil" w:sz="6" w:space="0" w:color="auto"/>
            </w:tcBorders>
          </w:tcPr>
          <w:p>
            <w:pP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377" w:right="0"/>
              <w:jc w:val="left"/>
              <w:rPr>
                <w:rFonts w:ascii="Times New Roman" w:hAnsi="Times New Roman" w:cs="Times New Roman" w:eastAsia="Times New Roman" w:hint="default"/>
                <w:sz w:val="18"/>
                <w:szCs w:val="18"/>
              </w:rPr>
            </w:pPr>
            <w:r>
              <w:rPr>
                <w:rFonts w:ascii="Times New Roman"/>
                <w:sz w:val="18"/>
              </w:rPr>
              <w:t>29,927.40</w:t>
            </w:r>
          </w:p>
        </w:tc>
      </w:tr>
      <w:tr>
        <w:trPr>
          <w:trHeight w:val="400"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政府补助</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50"/>
              <w:jc w:val="right"/>
              <w:rPr>
                <w:rFonts w:ascii="Times New Roman" w:hAnsi="Times New Roman" w:cs="Times New Roman" w:eastAsia="Times New Roman" w:hint="default"/>
                <w:sz w:val="18"/>
                <w:szCs w:val="18"/>
              </w:rPr>
            </w:pPr>
            <w:r>
              <w:rPr>
                <w:rFonts w:ascii="Times New Roman"/>
                <w:spacing w:val="-1"/>
                <w:sz w:val="18"/>
              </w:rPr>
              <w:t>14,686,190.85</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0"/>
              <w:jc w:val="right"/>
              <w:rPr>
                <w:rFonts w:ascii="Times New Roman" w:hAnsi="Times New Roman" w:cs="Times New Roman" w:eastAsia="Times New Roman" w:hint="default"/>
                <w:sz w:val="18"/>
                <w:szCs w:val="18"/>
              </w:rPr>
            </w:pPr>
            <w:r>
              <w:rPr>
                <w:rFonts w:ascii="Times New Roman"/>
                <w:spacing w:val="-1"/>
                <w:sz w:val="18"/>
              </w:rPr>
              <w:t>8,037,845.22</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13" w:right="0"/>
              <w:jc w:val="left"/>
              <w:rPr>
                <w:rFonts w:ascii="Times New Roman" w:hAnsi="Times New Roman" w:cs="Times New Roman" w:eastAsia="Times New Roman" w:hint="default"/>
                <w:sz w:val="18"/>
                <w:szCs w:val="18"/>
              </w:rPr>
            </w:pPr>
            <w:r>
              <w:rPr>
                <w:rFonts w:ascii="Times New Roman"/>
                <w:sz w:val="18"/>
              </w:rPr>
              <w:t>14,686,190.85</w:t>
            </w:r>
          </w:p>
        </w:tc>
      </w:tr>
      <w:tr>
        <w:trPr>
          <w:trHeight w:val="401"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其他</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9"/>
              <w:jc w:val="right"/>
              <w:rPr>
                <w:rFonts w:ascii="Times New Roman" w:hAnsi="Times New Roman" w:cs="Times New Roman" w:eastAsia="Times New Roman" w:hint="default"/>
                <w:sz w:val="18"/>
                <w:szCs w:val="18"/>
              </w:rPr>
            </w:pPr>
            <w:r>
              <w:rPr>
                <w:rFonts w:ascii="Times New Roman"/>
                <w:spacing w:val="-1"/>
                <w:sz w:val="18"/>
              </w:rPr>
              <w:t>209.78</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0"/>
              <w:jc w:val="right"/>
              <w:rPr>
                <w:rFonts w:ascii="Times New Roman" w:hAnsi="Times New Roman" w:cs="Times New Roman" w:eastAsia="Times New Roman" w:hint="default"/>
                <w:sz w:val="18"/>
                <w:szCs w:val="18"/>
              </w:rPr>
            </w:pPr>
            <w:r>
              <w:rPr>
                <w:rFonts w:ascii="Times New Roman"/>
                <w:w w:val="95"/>
                <w:sz w:val="18"/>
              </w:rPr>
              <w:t>2,380.81</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653" w:right="0"/>
              <w:jc w:val="left"/>
              <w:rPr>
                <w:rFonts w:ascii="Times New Roman" w:hAnsi="Times New Roman" w:cs="Times New Roman" w:eastAsia="Times New Roman" w:hint="default"/>
                <w:sz w:val="18"/>
                <w:szCs w:val="18"/>
              </w:rPr>
            </w:pPr>
            <w:r>
              <w:rPr>
                <w:rFonts w:ascii="Times New Roman"/>
                <w:sz w:val="18"/>
              </w:rPr>
              <w:t>209.78</w:t>
            </w:r>
          </w:p>
        </w:tc>
      </w:tr>
      <w:tr>
        <w:trPr>
          <w:trHeight w:val="295"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5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14,768,500.36</w:t>
            </w:r>
            <w:r>
              <w:rPr>
                <w:rFonts w:ascii="Times New Roman"/>
                <w:spacing w:val="-1"/>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8,062,845.30</w:t>
            </w:r>
            <w:r>
              <w:rPr>
                <w:rFonts w:ascii="Times New Roman"/>
                <w:spacing w:val="-1"/>
                <w:sz w:val="18"/>
              </w:rPr>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11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14,768,500.36</w:t>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600" w:right="0"/>
        <w:jc w:val="left"/>
      </w:pPr>
      <w:r>
        <w:rPr/>
        <w:t>（</w:t>
      </w:r>
      <w:r>
        <w:rPr>
          <w:rFonts w:ascii="Times New Roman" w:hAnsi="Times New Roman" w:cs="Times New Roman" w:eastAsia="Times New Roman" w:hint="default"/>
        </w:rPr>
        <w:t>2</w:t>
      </w:r>
      <w:r>
        <w:rPr/>
        <w:t>）政府补助明细</w:t>
      </w:r>
    </w:p>
    <w:p>
      <w:pPr>
        <w:spacing w:line="240" w:lineRule="auto" w:before="4"/>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926"/>
        <w:gridCol w:w="1350"/>
        <w:gridCol w:w="1079"/>
        <w:gridCol w:w="3443"/>
      </w:tblGrid>
      <w:tr>
        <w:trPr>
          <w:trHeight w:val="243" w:hRule="exact"/>
        </w:trPr>
        <w:tc>
          <w:tcPr>
            <w:tcW w:w="2926" w:type="dxa"/>
            <w:tcBorders>
              <w:top w:val="nil" w:sz="6" w:space="0" w:color="auto"/>
              <w:left w:val="nil" w:sz="6" w:space="0" w:color="auto"/>
              <w:bottom w:val="single" w:sz="8" w:space="0" w:color="000000"/>
              <w:right w:val="nil" w:sz="6" w:space="0" w:color="auto"/>
            </w:tcBorders>
          </w:tcPr>
          <w:p>
            <w:pPr>
              <w:pStyle w:val="TableParagraph"/>
              <w:spacing w:line="151" w:lineRule="exact"/>
              <w:ind w:left="117"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350" w:type="dxa"/>
            <w:tcBorders>
              <w:top w:val="nil" w:sz="6" w:space="0" w:color="auto"/>
              <w:left w:val="nil" w:sz="6" w:space="0" w:color="auto"/>
              <w:bottom w:val="single" w:sz="8" w:space="0" w:color="000000"/>
              <w:right w:val="nil" w:sz="6" w:space="0" w:color="auto"/>
            </w:tcBorders>
          </w:tcPr>
          <w:p>
            <w:pPr>
              <w:pStyle w:val="TableParagraph"/>
              <w:spacing w:line="151" w:lineRule="exact"/>
              <w:ind w:left="391" w:right="0"/>
              <w:jc w:val="left"/>
              <w:rPr>
                <w:rFonts w:ascii="宋体" w:hAnsi="宋体" w:cs="宋体" w:eastAsia="宋体" w:hint="default"/>
                <w:sz w:val="15"/>
                <w:szCs w:val="15"/>
              </w:rPr>
            </w:pPr>
            <w:r>
              <w:rPr>
                <w:rFonts w:ascii="宋体" w:hAnsi="宋体" w:cs="宋体" w:eastAsia="宋体" w:hint="default"/>
                <w:b/>
                <w:bCs/>
                <w:sz w:val="15"/>
                <w:szCs w:val="15"/>
              </w:rPr>
              <w:t>本期金额</w:t>
            </w:r>
            <w:r>
              <w:rPr>
                <w:rFonts w:ascii="宋体" w:hAnsi="宋体" w:cs="宋体" w:eastAsia="宋体" w:hint="default"/>
                <w:sz w:val="15"/>
                <w:szCs w:val="15"/>
              </w:rPr>
            </w:r>
          </w:p>
        </w:tc>
        <w:tc>
          <w:tcPr>
            <w:tcW w:w="1079" w:type="dxa"/>
            <w:tcBorders>
              <w:top w:val="nil" w:sz="6" w:space="0" w:color="auto"/>
              <w:left w:val="nil" w:sz="6" w:space="0" w:color="auto"/>
              <w:bottom w:val="single" w:sz="8" w:space="0" w:color="000000"/>
              <w:right w:val="nil" w:sz="6" w:space="0" w:color="auto"/>
            </w:tcBorders>
          </w:tcPr>
          <w:p>
            <w:pPr>
              <w:pStyle w:val="TableParagraph"/>
              <w:spacing w:line="151" w:lineRule="exact"/>
              <w:ind w:left="198" w:right="0"/>
              <w:jc w:val="left"/>
              <w:rPr>
                <w:rFonts w:ascii="宋体" w:hAnsi="宋体" w:cs="宋体" w:eastAsia="宋体" w:hint="default"/>
                <w:sz w:val="15"/>
                <w:szCs w:val="15"/>
              </w:rPr>
            </w:pPr>
            <w:r>
              <w:rPr>
                <w:rFonts w:ascii="宋体" w:hAnsi="宋体" w:cs="宋体" w:eastAsia="宋体" w:hint="default"/>
                <w:b/>
                <w:bCs/>
                <w:sz w:val="15"/>
                <w:szCs w:val="15"/>
              </w:rPr>
              <w:t>上期金额</w:t>
            </w:r>
            <w:r>
              <w:rPr>
                <w:rFonts w:ascii="宋体" w:hAnsi="宋体" w:cs="宋体" w:eastAsia="宋体" w:hint="default"/>
                <w:sz w:val="15"/>
                <w:szCs w:val="15"/>
              </w:rPr>
            </w:r>
          </w:p>
        </w:tc>
        <w:tc>
          <w:tcPr>
            <w:tcW w:w="3443" w:type="dxa"/>
            <w:tcBorders>
              <w:top w:val="nil" w:sz="6" w:space="0" w:color="auto"/>
              <w:left w:val="nil" w:sz="6" w:space="0" w:color="auto"/>
              <w:bottom w:val="single" w:sz="8" w:space="0" w:color="000000"/>
              <w:right w:val="nil" w:sz="6" w:space="0" w:color="auto"/>
            </w:tcBorders>
          </w:tcPr>
          <w:p>
            <w:pPr>
              <w:pStyle w:val="TableParagraph"/>
              <w:spacing w:line="151" w:lineRule="exact"/>
              <w:ind w:right="1"/>
              <w:jc w:val="center"/>
              <w:rPr>
                <w:rFonts w:ascii="宋体" w:hAnsi="宋体" w:cs="宋体" w:eastAsia="宋体" w:hint="default"/>
                <w:sz w:val="15"/>
                <w:szCs w:val="15"/>
              </w:rPr>
            </w:pPr>
            <w:r>
              <w:rPr>
                <w:rFonts w:ascii="宋体" w:hAnsi="宋体" w:cs="宋体" w:eastAsia="宋体" w:hint="default"/>
                <w:b/>
                <w:bCs/>
                <w:sz w:val="15"/>
                <w:szCs w:val="15"/>
              </w:rPr>
              <w:t>来源和依据</w:t>
            </w:r>
            <w:r>
              <w:rPr>
                <w:rFonts w:ascii="宋体" w:hAnsi="宋体" w:cs="宋体" w:eastAsia="宋体" w:hint="default"/>
                <w:sz w:val="15"/>
                <w:szCs w:val="15"/>
              </w:rPr>
            </w:r>
          </w:p>
        </w:tc>
      </w:tr>
      <w:tr>
        <w:trPr>
          <w:trHeight w:val="353" w:hRule="exact"/>
        </w:trPr>
        <w:tc>
          <w:tcPr>
            <w:tcW w:w="2926" w:type="dxa"/>
            <w:tcBorders>
              <w:top w:val="single" w:sz="8" w:space="0" w:color="000000"/>
              <w:left w:val="nil" w:sz="6" w:space="0" w:color="auto"/>
              <w:bottom w:val="nil" w:sz="6" w:space="0" w:color="auto"/>
              <w:right w:val="nil" w:sz="6" w:space="0" w:color="auto"/>
            </w:tcBorders>
          </w:tcPr>
          <w:p>
            <w:pPr>
              <w:pStyle w:val="TableParagraph"/>
              <w:spacing w:line="240" w:lineRule="auto" w:before="4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增值税退税</w:t>
            </w:r>
          </w:p>
        </w:tc>
        <w:tc>
          <w:tcPr>
            <w:tcW w:w="1350" w:type="dxa"/>
            <w:tcBorders>
              <w:top w:val="single" w:sz="8" w:space="0" w:color="000000"/>
              <w:left w:val="nil" w:sz="6" w:space="0" w:color="auto"/>
              <w:bottom w:val="nil" w:sz="6" w:space="0" w:color="auto"/>
              <w:right w:val="nil" w:sz="6" w:space="0" w:color="auto"/>
            </w:tcBorders>
          </w:tcPr>
          <w:p>
            <w:pPr>
              <w:pStyle w:val="TableParagraph"/>
              <w:spacing w:line="240" w:lineRule="auto" w:before="71"/>
              <w:ind w:right="182"/>
              <w:jc w:val="right"/>
              <w:rPr>
                <w:rFonts w:ascii="Times New Roman" w:hAnsi="Times New Roman" w:cs="Times New Roman" w:eastAsia="Times New Roman" w:hint="default"/>
                <w:sz w:val="15"/>
                <w:szCs w:val="15"/>
              </w:rPr>
            </w:pPr>
            <w:r>
              <w:rPr>
                <w:rFonts w:ascii="Times New Roman"/>
                <w:spacing w:val="-1"/>
                <w:sz w:val="15"/>
              </w:rPr>
              <w:t>7,819,524.18</w:t>
            </w:r>
          </w:p>
        </w:tc>
        <w:tc>
          <w:tcPr>
            <w:tcW w:w="1079" w:type="dxa"/>
            <w:tcBorders>
              <w:top w:val="single" w:sz="8" w:space="0" w:color="000000"/>
              <w:left w:val="nil" w:sz="6" w:space="0" w:color="auto"/>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15"/>
                <w:szCs w:val="15"/>
              </w:rPr>
            </w:pPr>
            <w:r>
              <w:rPr>
                <w:rFonts w:ascii="Times New Roman"/>
                <w:spacing w:val="-1"/>
                <w:sz w:val="15"/>
              </w:rPr>
              <w:t>1,121,178.56</w:t>
            </w:r>
          </w:p>
        </w:tc>
        <w:tc>
          <w:tcPr>
            <w:tcW w:w="3443" w:type="dxa"/>
            <w:tcBorders>
              <w:top w:val="single" w:sz="8" w:space="0" w:color="000000"/>
              <w:left w:val="nil" w:sz="6" w:space="0" w:color="auto"/>
              <w:bottom w:val="nil" w:sz="6" w:space="0" w:color="auto"/>
              <w:right w:val="nil" w:sz="6" w:space="0" w:color="auto"/>
            </w:tcBorders>
          </w:tcPr>
          <w:p>
            <w:pPr>
              <w:pStyle w:val="TableParagraph"/>
              <w:spacing w:line="240" w:lineRule="auto" w:before="41"/>
              <w:ind w:left="106" w:right="0"/>
              <w:jc w:val="left"/>
              <w:rPr>
                <w:rFonts w:ascii="宋体" w:hAnsi="宋体" w:cs="宋体" w:eastAsia="宋体" w:hint="default"/>
                <w:sz w:val="15"/>
                <w:szCs w:val="15"/>
              </w:rPr>
            </w:pPr>
            <w:r>
              <w:rPr>
                <w:rFonts w:ascii="宋体" w:hAnsi="宋体" w:cs="宋体" w:eastAsia="宋体" w:hint="default"/>
                <w:sz w:val="15"/>
                <w:szCs w:val="15"/>
              </w:rPr>
              <w:t>财税</w:t>
            </w:r>
            <w:r>
              <w:rPr>
                <w:rFonts w:ascii="Times New Roman" w:hAnsi="Times New Roman" w:cs="Times New Roman" w:eastAsia="Times New Roman" w:hint="default"/>
                <w:sz w:val="15"/>
                <w:szCs w:val="15"/>
              </w:rPr>
              <w:t>[2013]87</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号通知</w:t>
            </w:r>
          </w:p>
        </w:tc>
      </w:tr>
      <w:tr>
        <w:trPr>
          <w:trHeight w:val="682"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35"/>
                <w:sz w:val="15"/>
                <w:szCs w:val="15"/>
              </w:rPr>
              <w:t> </w:t>
            </w:r>
            <w:r>
              <w:rPr>
                <w:rFonts w:ascii="宋体" w:hAnsi="宋体" w:cs="宋体" w:eastAsia="宋体" w:hint="default"/>
                <w:sz w:val="15"/>
                <w:szCs w:val="15"/>
              </w:rPr>
              <w:t>国家重点文化企业扶持基金</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2"/>
              <w:jc w:val="right"/>
              <w:rPr>
                <w:rFonts w:ascii="Times New Roman" w:hAnsi="Times New Roman" w:cs="Times New Roman" w:eastAsia="Times New Roman" w:hint="default"/>
                <w:sz w:val="15"/>
                <w:szCs w:val="15"/>
              </w:rPr>
            </w:pPr>
            <w:r>
              <w:rPr>
                <w:rFonts w:ascii="Times New Roman"/>
                <w:spacing w:val="-1"/>
                <w:sz w:val="15"/>
              </w:rPr>
              <w:t>3,450,000.00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2,900,000.00</w:t>
            </w:r>
          </w:p>
        </w:tc>
        <w:tc>
          <w:tcPr>
            <w:tcW w:w="3443" w:type="dxa"/>
            <w:tcBorders>
              <w:top w:val="nil" w:sz="6" w:space="0" w:color="auto"/>
              <w:left w:val="nil" w:sz="6" w:space="0" w:color="auto"/>
              <w:bottom w:val="nil" w:sz="6" w:space="0" w:color="auto"/>
              <w:right w:val="nil" w:sz="6" w:space="0" w:color="auto"/>
            </w:tcBorders>
          </w:tcPr>
          <w:p>
            <w:pPr>
              <w:pStyle w:val="TableParagraph"/>
              <w:spacing w:line="372" w:lineRule="auto" w:before="57"/>
              <w:ind w:left="106" w:right="106"/>
              <w:jc w:val="left"/>
              <w:rPr>
                <w:rFonts w:ascii="宋体" w:hAnsi="宋体" w:cs="宋体" w:eastAsia="宋体" w:hint="default"/>
                <w:sz w:val="15"/>
                <w:szCs w:val="15"/>
              </w:rPr>
            </w:pPr>
            <w:r>
              <w:rPr>
                <w:rFonts w:ascii="宋体" w:hAnsi="宋体" w:cs="宋体" w:eastAsia="宋体" w:hint="default"/>
                <w:sz w:val="15"/>
                <w:szCs w:val="15"/>
              </w:rPr>
              <w:t>《关于做好</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年文化服务出口奖励资金申报工</w:t>
            </w:r>
            <w:r>
              <w:rPr>
                <w:rFonts w:ascii="宋体" w:hAnsi="宋体" w:cs="宋体" w:eastAsia="宋体" w:hint="default"/>
                <w:w w:val="100"/>
                <w:sz w:val="15"/>
                <w:szCs w:val="15"/>
              </w:rPr>
              <w:t> </w:t>
            </w:r>
            <w:r>
              <w:rPr>
                <w:rFonts w:ascii="宋体" w:hAnsi="宋体" w:cs="宋体" w:eastAsia="宋体" w:hint="default"/>
                <w:sz w:val="15"/>
                <w:szCs w:val="15"/>
              </w:rPr>
              <w:t>作的通知》（商服贸一函【</w:t>
            </w:r>
            <w:r>
              <w:rPr>
                <w:rFonts w:ascii="Times New Roman" w:hAnsi="Times New Roman" w:cs="Times New Roman" w:eastAsia="Times New Roman" w:hint="default"/>
                <w:sz w:val="15"/>
                <w:szCs w:val="15"/>
              </w:rPr>
              <w:t>2014</w:t>
            </w:r>
            <w:r>
              <w:rPr>
                <w:rFonts w:ascii="宋体" w:hAnsi="宋体" w:cs="宋体" w:eastAsia="宋体" w:hint="default"/>
                <w:sz w:val="15"/>
                <w:szCs w:val="15"/>
              </w:rPr>
              <w:t>】</w:t>
            </w:r>
            <w:r>
              <w:rPr>
                <w:rFonts w:ascii="Times New Roman" w:hAnsi="Times New Roman" w:cs="Times New Roman" w:eastAsia="Times New Roman" w:hint="default"/>
                <w:sz w:val="15"/>
                <w:szCs w:val="15"/>
              </w:rPr>
              <w:t>26</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号）</w:t>
            </w:r>
          </w:p>
        </w:tc>
      </w:tr>
      <w:tr>
        <w:trPr>
          <w:trHeight w:val="360"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3. 2013</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年中央文化产业发展专项资金</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82"/>
              <w:jc w:val="right"/>
              <w:rPr>
                <w:rFonts w:ascii="Times New Roman" w:hAnsi="Times New Roman" w:cs="Times New Roman" w:eastAsia="Times New Roman" w:hint="default"/>
                <w:sz w:val="15"/>
                <w:szCs w:val="15"/>
              </w:rPr>
            </w:pPr>
            <w:r>
              <w:rPr>
                <w:rFonts w:ascii="Times New Roman"/>
                <w:spacing w:val="-1"/>
                <w:sz w:val="15"/>
              </w:rPr>
              <w:t>1,666,666.67</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Times New Roman" w:hAnsi="Times New Roman" w:cs="Times New Roman" w:eastAsia="Times New Roman" w:hint="default"/>
                <w:sz w:val="15"/>
                <w:szCs w:val="15"/>
              </w:rPr>
            </w:pPr>
            <w:r>
              <w:rPr>
                <w:rFonts w:ascii="Times New Roman"/>
                <w:spacing w:val="-1"/>
                <w:sz w:val="15"/>
              </w:rPr>
              <w:t>1,666,666.66</w:t>
            </w:r>
          </w:p>
        </w:tc>
        <w:tc>
          <w:tcPr>
            <w:tcW w:w="344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6" w:right="0"/>
              <w:jc w:val="left"/>
              <w:rPr>
                <w:rFonts w:ascii="宋体" w:hAnsi="宋体" w:cs="宋体" w:eastAsia="宋体" w:hint="default"/>
                <w:sz w:val="15"/>
                <w:szCs w:val="15"/>
              </w:rPr>
            </w:pPr>
            <w:r>
              <w:rPr>
                <w:rFonts w:ascii="宋体" w:hAnsi="宋体" w:cs="宋体" w:eastAsia="宋体" w:hint="default"/>
                <w:sz w:val="15"/>
                <w:szCs w:val="15"/>
              </w:rPr>
              <w:t>湘财文资指</w:t>
            </w:r>
            <w:r>
              <w:rPr>
                <w:rFonts w:ascii="Times New Roman" w:hAnsi="Times New Roman" w:cs="Times New Roman" w:eastAsia="Times New Roman" w:hint="default"/>
                <w:sz w:val="15"/>
                <w:szCs w:val="15"/>
              </w:rPr>
              <w:t>[2013]4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号</w:t>
            </w:r>
          </w:p>
        </w:tc>
      </w:tr>
      <w:tr>
        <w:trPr>
          <w:trHeight w:val="273"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文化创新发展专项资金</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82"/>
              <w:jc w:val="right"/>
              <w:rPr>
                <w:rFonts w:ascii="Times New Roman" w:hAnsi="Times New Roman" w:cs="Times New Roman" w:eastAsia="Times New Roman" w:hint="default"/>
                <w:sz w:val="15"/>
                <w:szCs w:val="15"/>
              </w:rPr>
            </w:pPr>
            <w:r>
              <w:rPr>
                <w:rFonts w:ascii="Times New Roman"/>
                <w:spacing w:val="-1"/>
                <w:sz w:val="15"/>
              </w:rPr>
              <w:t>750,000.00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5"/>
                <w:szCs w:val="15"/>
              </w:rPr>
            </w:pPr>
            <w:r>
              <w:rPr>
                <w:rFonts w:ascii="Times New Roman"/>
                <w:spacing w:val="-1"/>
                <w:sz w:val="15"/>
              </w:rPr>
              <w:t>750,000.00</w:t>
            </w:r>
          </w:p>
        </w:tc>
        <w:tc>
          <w:tcPr>
            <w:tcW w:w="344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6" w:right="0"/>
              <w:jc w:val="left"/>
              <w:rPr>
                <w:rFonts w:ascii="宋体" w:hAnsi="宋体" w:cs="宋体" w:eastAsia="宋体" w:hint="default"/>
                <w:sz w:val="15"/>
                <w:szCs w:val="15"/>
              </w:rPr>
            </w:pPr>
            <w:r>
              <w:rPr>
                <w:rFonts w:ascii="宋体" w:hAnsi="宋体" w:cs="宋体" w:eastAsia="宋体" w:hint="default"/>
                <w:w w:val="100"/>
                <w:sz w:val="15"/>
                <w:szCs w:val="15"/>
              </w:rPr>
              <w:t>《北</w:t>
            </w:r>
            <w:r>
              <w:rPr>
                <w:rFonts w:ascii="宋体" w:hAnsi="宋体" w:cs="宋体" w:eastAsia="宋体" w:hint="default"/>
                <w:spacing w:val="-3"/>
                <w:w w:val="100"/>
                <w:sz w:val="15"/>
                <w:szCs w:val="15"/>
              </w:rPr>
              <w:t>京</w:t>
            </w:r>
            <w:r>
              <w:rPr>
                <w:rFonts w:ascii="宋体" w:hAnsi="宋体" w:cs="宋体" w:eastAsia="宋体" w:hint="default"/>
                <w:w w:val="100"/>
                <w:sz w:val="15"/>
                <w:szCs w:val="15"/>
              </w:rPr>
              <w:t>市</w:t>
            </w:r>
            <w:r>
              <w:rPr>
                <w:rFonts w:ascii="宋体" w:hAnsi="宋体" w:cs="宋体" w:eastAsia="宋体" w:hint="default"/>
                <w:spacing w:val="-3"/>
                <w:w w:val="100"/>
                <w:sz w:val="15"/>
                <w:szCs w:val="15"/>
              </w:rPr>
              <w:t>文</w:t>
            </w:r>
            <w:r>
              <w:rPr>
                <w:rFonts w:ascii="宋体" w:hAnsi="宋体" w:cs="宋体" w:eastAsia="宋体" w:hint="default"/>
                <w:w w:val="100"/>
                <w:sz w:val="15"/>
                <w:szCs w:val="15"/>
              </w:rPr>
              <w:t>化</w:t>
            </w:r>
            <w:r>
              <w:rPr>
                <w:rFonts w:ascii="宋体" w:hAnsi="宋体" w:cs="宋体" w:eastAsia="宋体" w:hint="default"/>
                <w:spacing w:val="-3"/>
                <w:w w:val="100"/>
                <w:sz w:val="15"/>
                <w:szCs w:val="15"/>
              </w:rPr>
              <w:t>创</w:t>
            </w:r>
            <w:r>
              <w:rPr>
                <w:rFonts w:ascii="宋体" w:hAnsi="宋体" w:cs="宋体" w:eastAsia="宋体" w:hint="default"/>
                <w:w w:val="100"/>
                <w:sz w:val="15"/>
                <w:szCs w:val="15"/>
              </w:rPr>
              <w:t>新</w:t>
            </w:r>
            <w:r>
              <w:rPr>
                <w:rFonts w:ascii="宋体" w:hAnsi="宋体" w:cs="宋体" w:eastAsia="宋体" w:hint="default"/>
                <w:spacing w:val="-3"/>
                <w:w w:val="100"/>
                <w:sz w:val="15"/>
                <w:szCs w:val="15"/>
              </w:rPr>
              <w:t>发</w:t>
            </w:r>
            <w:r>
              <w:rPr>
                <w:rFonts w:ascii="宋体" w:hAnsi="宋体" w:cs="宋体" w:eastAsia="宋体" w:hint="default"/>
                <w:w w:val="100"/>
                <w:sz w:val="15"/>
                <w:szCs w:val="15"/>
              </w:rPr>
              <w:t>展</w:t>
            </w:r>
            <w:r>
              <w:rPr>
                <w:rFonts w:ascii="宋体" w:hAnsi="宋体" w:cs="宋体" w:eastAsia="宋体" w:hint="default"/>
                <w:spacing w:val="-3"/>
                <w:w w:val="100"/>
                <w:sz w:val="15"/>
                <w:szCs w:val="15"/>
              </w:rPr>
              <w:t>专</w:t>
            </w:r>
            <w:r>
              <w:rPr>
                <w:rFonts w:ascii="宋体" w:hAnsi="宋体" w:cs="宋体" w:eastAsia="宋体" w:hint="default"/>
                <w:w w:val="100"/>
                <w:sz w:val="15"/>
                <w:szCs w:val="15"/>
              </w:rPr>
              <w:t>项</w:t>
            </w:r>
            <w:r>
              <w:rPr>
                <w:rFonts w:ascii="宋体" w:hAnsi="宋体" w:cs="宋体" w:eastAsia="宋体" w:hint="default"/>
                <w:spacing w:val="-3"/>
                <w:w w:val="100"/>
                <w:sz w:val="15"/>
                <w:szCs w:val="15"/>
              </w:rPr>
              <w:t>资</w:t>
            </w:r>
            <w:r>
              <w:rPr>
                <w:rFonts w:ascii="宋体" w:hAnsi="宋体" w:cs="宋体" w:eastAsia="宋体" w:hint="default"/>
                <w:w w:val="100"/>
                <w:sz w:val="15"/>
                <w:szCs w:val="15"/>
              </w:rPr>
              <w:t>金</w:t>
            </w:r>
            <w:r>
              <w:rPr>
                <w:rFonts w:ascii="宋体" w:hAnsi="宋体" w:cs="宋体" w:eastAsia="宋体" w:hint="default"/>
                <w:spacing w:val="-3"/>
                <w:w w:val="100"/>
                <w:sz w:val="15"/>
                <w:szCs w:val="15"/>
              </w:rPr>
              <w:t>管理</w:t>
            </w:r>
            <w:r>
              <w:rPr>
                <w:rFonts w:ascii="宋体" w:hAnsi="宋体" w:cs="宋体" w:eastAsia="宋体" w:hint="default"/>
                <w:w w:val="100"/>
                <w:sz w:val="15"/>
                <w:szCs w:val="15"/>
              </w:rPr>
              <w:t>办</w:t>
            </w:r>
            <w:r>
              <w:rPr>
                <w:rFonts w:ascii="宋体" w:hAnsi="宋体" w:cs="宋体" w:eastAsia="宋体" w:hint="default"/>
                <w:spacing w:val="-77"/>
                <w:w w:val="100"/>
                <w:sz w:val="15"/>
                <w:szCs w:val="15"/>
              </w:rPr>
              <w:t>法</w:t>
            </w:r>
            <w:r>
              <w:rPr>
                <w:rFonts w:ascii="宋体" w:hAnsi="宋体" w:cs="宋体" w:eastAsia="宋体" w:hint="default"/>
                <w:w w:val="100"/>
                <w:sz w:val="15"/>
                <w:szCs w:val="15"/>
              </w:rPr>
              <w:t>（</w:t>
            </w:r>
            <w:r>
              <w:rPr>
                <w:rFonts w:ascii="宋体" w:hAnsi="宋体" w:cs="宋体" w:eastAsia="宋体" w:hint="default"/>
                <w:spacing w:val="-3"/>
                <w:w w:val="100"/>
                <w:sz w:val="15"/>
                <w:szCs w:val="15"/>
              </w:rPr>
              <w:t>试</w:t>
            </w:r>
            <w:r>
              <w:rPr>
                <w:rFonts w:ascii="宋体" w:hAnsi="宋体" w:cs="宋体" w:eastAsia="宋体" w:hint="default"/>
                <w:w w:val="100"/>
                <w:sz w:val="15"/>
                <w:szCs w:val="15"/>
              </w:rPr>
              <w:t>行</w:t>
            </w:r>
            <w:r>
              <w:rPr>
                <w:rFonts w:ascii="宋体" w:hAnsi="宋体" w:cs="宋体" w:eastAsia="宋体" w:hint="default"/>
                <w:spacing w:val="-77"/>
                <w:w w:val="100"/>
                <w:sz w:val="15"/>
                <w:szCs w:val="15"/>
              </w:rPr>
              <w:t>）</w:t>
            </w:r>
            <w:r>
              <w:rPr>
                <w:rFonts w:ascii="宋体" w:hAnsi="宋体" w:cs="宋体" w:eastAsia="宋体" w:hint="default"/>
                <w:w w:val="100"/>
                <w:sz w:val="15"/>
                <w:szCs w:val="15"/>
              </w:rPr>
              <w:t>》</w:t>
            </w:r>
          </w:p>
        </w:tc>
      </w:tr>
    </w:tbl>
    <w:p>
      <w:pPr>
        <w:spacing w:after="0" w:line="240" w:lineRule="auto"/>
        <w:jc w:val="left"/>
        <w:rPr>
          <w:rFonts w:ascii="宋体" w:hAnsi="宋体" w:cs="宋体" w:eastAsia="宋体" w:hint="default"/>
          <w:sz w:val="15"/>
          <w:szCs w:val="15"/>
        </w:rPr>
        <w:sectPr>
          <w:pgSz w:w="11910" w:h="16840"/>
          <w:pgMar w:header="0" w:footer="979" w:top="1480" w:bottom="1160" w:left="1560" w:right="1300"/>
        </w:sectPr>
      </w:pPr>
    </w:p>
    <w:p>
      <w:pPr>
        <w:spacing w:line="240" w:lineRule="auto" w:before="10"/>
        <w:rPr>
          <w:rFonts w:ascii="宋体" w:hAnsi="宋体" w:cs="宋体" w:eastAsia="宋体" w:hint="default"/>
          <w:sz w:val="6"/>
          <w:szCs w:val="6"/>
        </w:rPr>
      </w:pPr>
    </w:p>
    <w:tbl>
      <w:tblPr>
        <w:tblW w:w="0" w:type="auto"/>
        <w:jc w:val="left"/>
        <w:tblInd w:w="252" w:type="dxa"/>
        <w:tblLayout w:type="fixed"/>
        <w:tblCellMar>
          <w:top w:w="0" w:type="dxa"/>
          <w:left w:w="0" w:type="dxa"/>
          <w:bottom w:w="0" w:type="dxa"/>
          <w:right w:w="0" w:type="dxa"/>
        </w:tblCellMar>
        <w:tblLook w:val="01E0"/>
      </w:tblPr>
      <w:tblGrid>
        <w:gridCol w:w="3083"/>
        <w:gridCol w:w="1192"/>
        <w:gridCol w:w="1079"/>
        <w:gridCol w:w="3443"/>
      </w:tblGrid>
      <w:tr>
        <w:trPr>
          <w:trHeight w:val="243" w:hRule="exact"/>
        </w:trPr>
        <w:tc>
          <w:tcPr>
            <w:tcW w:w="3083" w:type="dxa"/>
            <w:tcBorders>
              <w:top w:val="nil" w:sz="6" w:space="0" w:color="auto"/>
              <w:left w:val="nil" w:sz="6" w:space="0" w:color="auto"/>
              <w:bottom w:val="single" w:sz="8" w:space="0" w:color="000000"/>
              <w:right w:val="nil" w:sz="6" w:space="0" w:color="auto"/>
            </w:tcBorders>
          </w:tcPr>
          <w:p>
            <w:pPr>
              <w:pStyle w:val="TableParagraph"/>
              <w:spacing w:line="151" w:lineRule="exact"/>
              <w:ind w:right="37"/>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192" w:type="dxa"/>
            <w:tcBorders>
              <w:top w:val="nil" w:sz="6" w:space="0" w:color="auto"/>
              <w:left w:val="nil" w:sz="6" w:space="0" w:color="auto"/>
              <w:bottom w:val="single" w:sz="8" w:space="0" w:color="000000"/>
              <w:right w:val="nil" w:sz="6" w:space="0" w:color="auto"/>
            </w:tcBorders>
          </w:tcPr>
          <w:p>
            <w:pPr>
              <w:pStyle w:val="TableParagraph"/>
              <w:spacing w:line="151" w:lineRule="exact"/>
              <w:ind w:left="234" w:right="0"/>
              <w:jc w:val="left"/>
              <w:rPr>
                <w:rFonts w:ascii="宋体" w:hAnsi="宋体" w:cs="宋体" w:eastAsia="宋体" w:hint="default"/>
                <w:sz w:val="15"/>
                <w:szCs w:val="15"/>
              </w:rPr>
            </w:pPr>
            <w:r>
              <w:rPr>
                <w:rFonts w:ascii="宋体" w:hAnsi="宋体" w:cs="宋体" w:eastAsia="宋体" w:hint="default"/>
                <w:b/>
                <w:bCs/>
                <w:sz w:val="15"/>
                <w:szCs w:val="15"/>
              </w:rPr>
              <w:t>本期金额</w:t>
            </w:r>
            <w:r>
              <w:rPr>
                <w:rFonts w:ascii="宋体" w:hAnsi="宋体" w:cs="宋体" w:eastAsia="宋体" w:hint="default"/>
                <w:sz w:val="15"/>
                <w:szCs w:val="15"/>
              </w:rPr>
            </w:r>
          </w:p>
        </w:tc>
        <w:tc>
          <w:tcPr>
            <w:tcW w:w="1079" w:type="dxa"/>
            <w:tcBorders>
              <w:top w:val="nil" w:sz="6" w:space="0" w:color="auto"/>
              <w:left w:val="nil" w:sz="6" w:space="0" w:color="auto"/>
              <w:bottom w:val="single" w:sz="8" w:space="0" w:color="000000"/>
              <w:right w:val="nil" w:sz="6" w:space="0" w:color="auto"/>
            </w:tcBorders>
          </w:tcPr>
          <w:p>
            <w:pPr>
              <w:pStyle w:val="TableParagraph"/>
              <w:spacing w:line="151" w:lineRule="exact"/>
              <w:ind w:left="198" w:right="0"/>
              <w:jc w:val="left"/>
              <w:rPr>
                <w:rFonts w:ascii="宋体" w:hAnsi="宋体" w:cs="宋体" w:eastAsia="宋体" w:hint="default"/>
                <w:sz w:val="15"/>
                <w:szCs w:val="15"/>
              </w:rPr>
            </w:pPr>
            <w:r>
              <w:rPr>
                <w:rFonts w:ascii="宋体" w:hAnsi="宋体" w:cs="宋体" w:eastAsia="宋体" w:hint="default"/>
                <w:b/>
                <w:bCs/>
                <w:sz w:val="15"/>
                <w:szCs w:val="15"/>
              </w:rPr>
              <w:t>上期金额</w:t>
            </w:r>
            <w:r>
              <w:rPr>
                <w:rFonts w:ascii="宋体" w:hAnsi="宋体" w:cs="宋体" w:eastAsia="宋体" w:hint="default"/>
                <w:sz w:val="15"/>
                <w:szCs w:val="15"/>
              </w:rPr>
            </w:r>
          </w:p>
        </w:tc>
        <w:tc>
          <w:tcPr>
            <w:tcW w:w="3443" w:type="dxa"/>
            <w:tcBorders>
              <w:top w:val="nil" w:sz="6" w:space="0" w:color="auto"/>
              <w:left w:val="nil" w:sz="6" w:space="0" w:color="auto"/>
              <w:bottom w:val="single" w:sz="8" w:space="0" w:color="000000"/>
              <w:right w:val="nil" w:sz="6" w:space="0" w:color="auto"/>
            </w:tcBorders>
          </w:tcPr>
          <w:p>
            <w:pPr>
              <w:pStyle w:val="TableParagraph"/>
              <w:spacing w:line="151" w:lineRule="exact"/>
              <w:ind w:right="1"/>
              <w:jc w:val="center"/>
              <w:rPr>
                <w:rFonts w:ascii="宋体" w:hAnsi="宋体" w:cs="宋体" w:eastAsia="宋体" w:hint="default"/>
                <w:sz w:val="15"/>
                <w:szCs w:val="15"/>
              </w:rPr>
            </w:pPr>
            <w:r>
              <w:rPr>
                <w:rFonts w:ascii="宋体" w:hAnsi="宋体" w:cs="宋体" w:eastAsia="宋体" w:hint="default"/>
                <w:b/>
                <w:bCs/>
                <w:sz w:val="15"/>
                <w:szCs w:val="15"/>
              </w:rPr>
              <w:t>来源和依据</w:t>
            </w:r>
            <w:r>
              <w:rPr>
                <w:rFonts w:ascii="宋体" w:hAnsi="宋体" w:cs="宋体" w:eastAsia="宋体" w:hint="default"/>
                <w:sz w:val="15"/>
                <w:szCs w:val="15"/>
              </w:rPr>
            </w:r>
          </w:p>
        </w:tc>
      </w:tr>
      <w:tr>
        <w:trPr>
          <w:trHeight w:val="353" w:hRule="exact"/>
        </w:trPr>
        <w:tc>
          <w:tcPr>
            <w:tcW w:w="3083" w:type="dxa"/>
            <w:tcBorders>
              <w:top w:val="single" w:sz="8" w:space="0" w:color="000000"/>
              <w:left w:val="nil" w:sz="6" w:space="0" w:color="auto"/>
              <w:bottom w:val="nil" w:sz="6" w:space="0" w:color="auto"/>
              <w:right w:val="nil" w:sz="6" w:space="0" w:color="auto"/>
            </w:tcBorders>
          </w:tcPr>
          <w:p>
            <w:pPr/>
          </w:p>
        </w:tc>
        <w:tc>
          <w:tcPr>
            <w:tcW w:w="1192" w:type="dxa"/>
            <w:tcBorders>
              <w:top w:val="single" w:sz="8" w:space="0" w:color="000000"/>
              <w:left w:val="nil" w:sz="6" w:space="0" w:color="auto"/>
              <w:bottom w:val="nil" w:sz="6" w:space="0" w:color="auto"/>
              <w:right w:val="nil" w:sz="6" w:space="0" w:color="auto"/>
            </w:tcBorders>
          </w:tcPr>
          <w:p>
            <w:pPr/>
          </w:p>
        </w:tc>
        <w:tc>
          <w:tcPr>
            <w:tcW w:w="1079" w:type="dxa"/>
            <w:tcBorders>
              <w:top w:val="single" w:sz="8" w:space="0" w:color="000000"/>
              <w:left w:val="nil" w:sz="6" w:space="0" w:color="auto"/>
              <w:bottom w:val="nil" w:sz="6" w:space="0" w:color="auto"/>
              <w:right w:val="nil" w:sz="6" w:space="0" w:color="auto"/>
            </w:tcBorders>
          </w:tcPr>
          <w:p>
            <w:pPr/>
          </w:p>
        </w:tc>
        <w:tc>
          <w:tcPr>
            <w:tcW w:w="3443" w:type="dxa"/>
            <w:tcBorders>
              <w:top w:val="single" w:sz="8" w:space="0" w:color="000000"/>
              <w:left w:val="nil" w:sz="6" w:space="0" w:color="auto"/>
              <w:bottom w:val="nil" w:sz="6" w:space="0" w:color="auto"/>
              <w:right w:val="nil" w:sz="6" w:space="0" w:color="auto"/>
            </w:tcBorders>
          </w:tcPr>
          <w:p>
            <w:pPr>
              <w:pStyle w:val="TableParagraph"/>
              <w:spacing w:line="240" w:lineRule="auto" w:before="41"/>
              <w:ind w:left="106" w:right="0"/>
              <w:jc w:val="left"/>
              <w:rPr>
                <w:rFonts w:ascii="宋体" w:hAnsi="宋体" w:cs="宋体" w:eastAsia="宋体" w:hint="default"/>
                <w:sz w:val="15"/>
                <w:szCs w:val="15"/>
              </w:rPr>
            </w:pPr>
            <w:r>
              <w:rPr>
                <w:rFonts w:ascii="宋体" w:hAnsi="宋体" w:cs="宋体" w:eastAsia="宋体" w:hint="default"/>
                <w:sz w:val="15"/>
                <w:szCs w:val="15"/>
              </w:rPr>
              <w:t>（京财文【</w:t>
            </w:r>
            <w:r>
              <w:rPr>
                <w:rFonts w:ascii="Times New Roman" w:hAnsi="Times New Roman" w:cs="Times New Roman" w:eastAsia="Times New Roman" w:hint="default"/>
                <w:sz w:val="15"/>
                <w:szCs w:val="15"/>
              </w:rPr>
              <w:t>2012</w:t>
            </w:r>
            <w:r>
              <w:rPr>
                <w:rFonts w:ascii="宋体" w:hAnsi="宋体" w:cs="宋体" w:eastAsia="宋体" w:hint="default"/>
                <w:sz w:val="15"/>
                <w:szCs w:val="15"/>
              </w:rPr>
              <w:t>】</w:t>
            </w:r>
            <w:r>
              <w:rPr>
                <w:rFonts w:ascii="Times New Roman" w:hAnsi="Times New Roman" w:cs="Times New Roman" w:eastAsia="Times New Roman" w:hint="default"/>
                <w:sz w:val="15"/>
                <w:szCs w:val="15"/>
              </w:rPr>
              <w:t>1440</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号）</w:t>
            </w:r>
          </w:p>
        </w:tc>
      </w:tr>
      <w:tr>
        <w:trPr>
          <w:trHeight w:val="680"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文化创新发展专项资金</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2"/>
              <w:jc w:val="right"/>
              <w:rPr>
                <w:rFonts w:ascii="Times New Roman" w:hAnsi="Times New Roman" w:cs="Times New Roman" w:eastAsia="Times New Roman" w:hint="default"/>
                <w:sz w:val="15"/>
                <w:szCs w:val="15"/>
              </w:rPr>
            </w:pPr>
            <w:r>
              <w:rPr>
                <w:rFonts w:ascii="Times New Roman"/>
                <w:spacing w:val="-1"/>
                <w:sz w:val="15"/>
              </w:rPr>
              <w:t>500,000.00</w:t>
            </w:r>
          </w:p>
        </w:tc>
        <w:tc>
          <w:tcPr>
            <w:tcW w:w="1079" w:type="dxa"/>
            <w:tcBorders>
              <w:top w:val="nil" w:sz="6" w:space="0" w:color="auto"/>
              <w:left w:val="nil" w:sz="6" w:space="0" w:color="auto"/>
              <w:bottom w:val="nil" w:sz="6" w:space="0" w:color="auto"/>
              <w:right w:val="nil" w:sz="6" w:space="0" w:color="auto"/>
            </w:tcBorders>
          </w:tcPr>
          <w:p>
            <w:pPr/>
          </w:p>
        </w:tc>
        <w:tc>
          <w:tcPr>
            <w:tcW w:w="344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6" w:right="0"/>
              <w:jc w:val="left"/>
              <w:rPr>
                <w:rFonts w:ascii="宋体" w:hAnsi="宋体" w:cs="宋体" w:eastAsia="宋体" w:hint="default"/>
                <w:sz w:val="15"/>
                <w:szCs w:val="15"/>
              </w:rPr>
            </w:pPr>
            <w:r>
              <w:rPr>
                <w:rFonts w:ascii="宋体" w:hAnsi="宋体" w:cs="宋体" w:eastAsia="宋体" w:hint="default"/>
                <w:sz w:val="15"/>
                <w:szCs w:val="15"/>
              </w:rPr>
              <w:t>《关于拨付</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年北京市文化创新发展专项资金</w:t>
            </w:r>
          </w:p>
          <w:p>
            <w:pPr>
              <w:pStyle w:val="TableParagraph"/>
              <w:spacing w:line="240" w:lineRule="auto" w:before="114"/>
              <w:ind w:left="106" w:right="0"/>
              <w:jc w:val="left"/>
              <w:rPr>
                <w:rFonts w:ascii="宋体" w:hAnsi="宋体" w:cs="宋体" w:eastAsia="宋体" w:hint="default"/>
                <w:sz w:val="15"/>
                <w:szCs w:val="15"/>
              </w:rPr>
            </w:pPr>
            <w:r>
              <w:rPr>
                <w:rFonts w:ascii="宋体" w:hAnsi="宋体" w:cs="宋体" w:eastAsia="宋体" w:hint="default"/>
                <w:sz w:val="15"/>
                <w:szCs w:val="15"/>
              </w:rPr>
              <w:t>（产业类）的预通知》</w:t>
            </w:r>
          </w:p>
        </w:tc>
      </w:tr>
      <w:tr>
        <w:trPr>
          <w:trHeight w:val="679"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369" w:lineRule="auto" w:before="59"/>
              <w:ind w:left="108" w:right="232"/>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湖南省</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年第一批移动互联网产业发</w:t>
            </w:r>
            <w:r>
              <w:rPr>
                <w:rFonts w:ascii="宋体" w:hAnsi="宋体" w:cs="宋体" w:eastAsia="宋体" w:hint="default"/>
                <w:w w:val="100"/>
                <w:sz w:val="15"/>
                <w:szCs w:val="15"/>
              </w:rPr>
              <w:t> </w:t>
            </w:r>
            <w:r>
              <w:rPr>
                <w:rFonts w:ascii="宋体" w:hAnsi="宋体" w:cs="宋体" w:eastAsia="宋体" w:hint="default"/>
                <w:sz w:val="15"/>
                <w:szCs w:val="15"/>
              </w:rPr>
              <w:t>展专项资金（足球大逆袭项目）</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2"/>
              <w:jc w:val="right"/>
              <w:rPr>
                <w:rFonts w:ascii="Times New Roman" w:hAnsi="Times New Roman" w:cs="Times New Roman" w:eastAsia="Times New Roman" w:hint="default"/>
                <w:sz w:val="15"/>
                <w:szCs w:val="15"/>
              </w:rPr>
            </w:pPr>
            <w:r>
              <w:rPr>
                <w:rFonts w:ascii="Times New Roman"/>
                <w:spacing w:val="-1"/>
                <w:sz w:val="15"/>
              </w:rPr>
              <w:t>250,000.00</w:t>
            </w:r>
          </w:p>
        </w:tc>
        <w:tc>
          <w:tcPr>
            <w:tcW w:w="1079" w:type="dxa"/>
            <w:tcBorders>
              <w:top w:val="nil" w:sz="6" w:space="0" w:color="auto"/>
              <w:left w:val="nil" w:sz="6" w:space="0" w:color="auto"/>
              <w:bottom w:val="nil" w:sz="6" w:space="0" w:color="auto"/>
              <w:right w:val="nil" w:sz="6" w:space="0" w:color="auto"/>
            </w:tcBorders>
          </w:tcPr>
          <w:p>
            <w:pPr/>
          </w:p>
        </w:tc>
        <w:tc>
          <w:tcPr>
            <w:tcW w:w="34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6" w:right="0"/>
              <w:jc w:val="left"/>
              <w:rPr>
                <w:rFonts w:ascii="宋体" w:hAnsi="宋体" w:cs="宋体" w:eastAsia="宋体" w:hint="default"/>
                <w:sz w:val="15"/>
                <w:szCs w:val="15"/>
              </w:rPr>
            </w:pPr>
            <w:r>
              <w:rPr>
                <w:rFonts w:ascii="宋体" w:hAnsi="宋体" w:cs="宋体" w:eastAsia="宋体" w:hint="default"/>
                <w:sz w:val="15"/>
                <w:szCs w:val="15"/>
              </w:rPr>
              <w:t>长财企指</w:t>
            </w:r>
            <w:r>
              <w:rPr>
                <w:rFonts w:ascii="Times New Roman" w:hAnsi="Times New Roman" w:cs="Times New Roman" w:eastAsia="Times New Roman" w:hint="default"/>
                <w:sz w:val="15"/>
                <w:szCs w:val="15"/>
              </w:rPr>
              <w:t>[2015]69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号</w:t>
            </w:r>
          </w:p>
        </w:tc>
      </w:tr>
      <w:tr>
        <w:trPr>
          <w:trHeight w:val="679"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369" w:lineRule="auto" w:before="59"/>
              <w:ind w:left="108" w:right="143"/>
              <w:jc w:val="left"/>
              <w:rPr>
                <w:rFonts w:ascii="宋体" w:hAnsi="宋体" w:cs="宋体" w:eastAsia="宋体" w:hint="default"/>
                <w:sz w:val="15"/>
                <w:szCs w:val="15"/>
              </w:rPr>
            </w:pPr>
            <w:r>
              <w:rPr>
                <w:rFonts w:ascii="Times New Roman" w:hAnsi="Times New Roman" w:cs="Times New Roman" w:eastAsia="Times New Roman" w:hint="default"/>
                <w:sz w:val="15"/>
                <w:szCs w:val="15"/>
              </w:rPr>
              <w:t>7.2015</w:t>
            </w:r>
            <w:r>
              <w:rPr>
                <w:rFonts w:ascii="Times New Roman" w:hAnsi="Times New Roman" w:cs="Times New Roman" w:eastAsia="Times New Roman" w:hint="default"/>
                <w:spacing w:val="16"/>
                <w:sz w:val="15"/>
                <w:szCs w:val="15"/>
              </w:rPr>
              <w:t> </w:t>
            </w:r>
            <w:r>
              <w:rPr>
                <w:rFonts w:ascii="宋体" w:hAnsi="宋体" w:cs="宋体" w:eastAsia="宋体" w:hint="default"/>
                <w:spacing w:val="-3"/>
                <w:sz w:val="15"/>
                <w:szCs w:val="15"/>
              </w:rPr>
              <w:t>年文化产业引导资金（话剧进校园项</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目）</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2"/>
              <w:jc w:val="right"/>
              <w:rPr>
                <w:rFonts w:ascii="Times New Roman" w:hAnsi="Times New Roman" w:cs="Times New Roman" w:eastAsia="Times New Roman" w:hint="default"/>
                <w:sz w:val="15"/>
                <w:szCs w:val="15"/>
              </w:rPr>
            </w:pPr>
            <w:r>
              <w:rPr>
                <w:rFonts w:ascii="Times New Roman"/>
                <w:spacing w:val="-1"/>
                <w:sz w:val="15"/>
              </w:rPr>
              <w:t>250,000.00</w:t>
            </w:r>
          </w:p>
        </w:tc>
        <w:tc>
          <w:tcPr>
            <w:tcW w:w="1079" w:type="dxa"/>
            <w:tcBorders>
              <w:top w:val="nil" w:sz="6" w:space="0" w:color="auto"/>
              <w:left w:val="nil" w:sz="6" w:space="0" w:color="auto"/>
              <w:bottom w:val="nil" w:sz="6" w:space="0" w:color="auto"/>
              <w:right w:val="nil" w:sz="6" w:space="0" w:color="auto"/>
            </w:tcBorders>
          </w:tcPr>
          <w:p>
            <w:pPr/>
          </w:p>
        </w:tc>
        <w:tc>
          <w:tcPr>
            <w:tcW w:w="34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6" w:right="0"/>
              <w:jc w:val="left"/>
              <w:rPr>
                <w:rFonts w:ascii="宋体" w:hAnsi="宋体" w:cs="宋体" w:eastAsia="宋体" w:hint="default"/>
                <w:sz w:val="15"/>
                <w:szCs w:val="15"/>
              </w:rPr>
            </w:pPr>
            <w:r>
              <w:rPr>
                <w:rFonts w:ascii="宋体" w:hAnsi="宋体" w:cs="宋体" w:eastAsia="宋体" w:hint="default"/>
                <w:sz w:val="15"/>
                <w:szCs w:val="15"/>
              </w:rPr>
              <w:t>长财教指</w:t>
            </w:r>
            <w:r>
              <w:rPr>
                <w:rFonts w:ascii="Times New Roman" w:hAnsi="Times New Roman" w:cs="Times New Roman" w:eastAsia="Times New Roman" w:hint="default"/>
                <w:sz w:val="15"/>
                <w:szCs w:val="15"/>
              </w:rPr>
              <w:t>[2015]36</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号</w:t>
            </w:r>
          </w:p>
        </w:tc>
      </w:tr>
      <w:tr>
        <w:trPr>
          <w:trHeight w:val="684"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372" w:lineRule="auto" w:before="59"/>
              <w:ind w:left="108" w:right="145"/>
              <w:jc w:val="left"/>
              <w:rPr>
                <w:rFonts w:ascii="宋体" w:hAnsi="宋体" w:cs="宋体" w:eastAsia="宋体" w:hint="default"/>
                <w:sz w:val="15"/>
                <w:szCs w:val="15"/>
              </w:rPr>
            </w:pP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长沙市国库集中支付局中共长沙市委宣</w:t>
            </w:r>
            <w:r>
              <w:rPr>
                <w:rFonts w:ascii="宋体" w:hAnsi="宋体" w:cs="宋体" w:eastAsia="宋体" w:hint="default"/>
                <w:w w:val="100"/>
                <w:sz w:val="15"/>
                <w:szCs w:val="15"/>
              </w:rPr>
              <w:t> </w:t>
            </w:r>
            <w:r>
              <w:rPr>
                <w:rFonts w:ascii="宋体" w:hAnsi="宋体" w:cs="宋体" w:eastAsia="宋体" w:hint="default"/>
                <w:spacing w:val="-8"/>
                <w:sz w:val="15"/>
                <w:szCs w:val="15"/>
              </w:rPr>
              <w:t>传部（机关）</w:t>
            </w:r>
            <w:r>
              <w:rPr>
                <w:rFonts w:ascii="Times New Roman" w:hAnsi="Times New Roman" w:cs="Times New Roman" w:eastAsia="Times New Roman" w:hint="default"/>
                <w:spacing w:val="-8"/>
                <w:sz w:val="15"/>
                <w:szCs w:val="15"/>
              </w:rPr>
              <w:t>2014</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年省级文化产业引导资金</w:t>
            </w:r>
          </w:p>
        </w:tc>
        <w:tc>
          <w:tcPr>
            <w:tcW w:w="1192"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1,000,000.00</w:t>
            </w:r>
          </w:p>
        </w:tc>
        <w:tc>
          <w:tcPr>
            <w:tcW w:w="3443" w:type="dxa"/>
            <w:tcBorders>
              <w:top w:val="nil" w:sz="6" w:space="0" w:color="auto"/>
              <w:left w:val="nil" w:sz="6" w:space="0" w:color="auto"/>
              <w:bottom w:val="nil" w:sz="6" w:space="0" w:color="auto"/>
              <w:right w:val="nil" w:sz="6" w:space="0" w:color="auto"/>
            </w:tcBorders>
          </w:tcPr>
          <w:p>
            <w:pPr>
              <w:pStyle w:val="TableParagraph"/>
              <w:spacing w:line="372" w:lineRule="auto" w:before="59"/>
              <w:ind w:left="106" w:right="32"/>
              <w:jc w:val="left"/>
              <w:rPr>
                <w:rFonts w:ascii="宋体" w:hAnsi="宋体" w:cs="宋体" w:eastAsia="宋体" w:hint="default"/>
                <w:sz w:val="15"/>
                <w:szCs w:val="15"/>
              </w:rPr>
            </w:pPr>
            <w:r>
              <w:rPr>
                <w:rFonts w:ascii="宋体" w:hAnsi="宋体" w:cs="宋体" w:eastAsia="宋体" w:hint="default"/>
                <w:sz w:val="15"/>
                <w:szCs w:val="15"/>
              </w:rPr>
              <w:t>长财教指</w:t>
            </w:r>
            <w:r>
              <w:rPr>
                <w:rFonts w:ascii="Times New Roman" w:hAnsi="Times New Roman" w:cs="Times New Roman" w:eastAsia="Times New Roman" w:hint="default"/>
                <w:sz w:val="15"/>
                <w:szCs w:val="15"/>
              </w:rPr>
              <w:t>[2014]87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号《关于下达</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年省级文化</w:t>
            </w:r>
            <w:r>
              <w:rPr>
                <w:rFonts w:ascii="宋体" w:hAnsi="宋体" w:cs="宋体" w:eastAsia="宋体" w:hint="default"/>
                <w:w w:val="100"/>
                <w:sz w:val="15"/>
                <w:szCs w:val="15"/>
              </w:rPr>
              <w:t> </w:t>
            </w:r>
            <w:r>
              <w:rPr>
                <w:rFonts w:ascii="宋体" w:hAnsi="宋体" w:cs="宋体" w:eastAsia="宋体" w:hint="default"/>
                <w:spacing w:val="-2"/>
                <w:sz w:val="15"/>
                <w:szCs w:val="15"/>
              </w:rPr>
              <w:t>产业引导资金的通知》（并购神奇时代贷款贴息）</w:t>
            </w:r>
          </w:p>
        </w:tc>
      </w:tr>
      <w:tr>
        <w:trPr>
          <w:trHeight w:val="679"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369" w:lineRule="auto" w:before="57"/>
              <w:ind w:left="108" w:right="145"/>
              <w:jc w:val="left"/>
              <w:rPr>
                <w:rFonts w:ascii="宋体" w:hAnsi="宋体" w:cs="宋体" w:eastAsia="宋体" w:hint="default"/>
                <w:sz w:val="15"/>
                <w:szCs w:val="15"/>
              </w:rPr>
            </w:pP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37"/>
                <w:sz w:val="15"/>
                <w:szCs w:val="15"/>
              </w:rPr>
              <w:t> </w:t>
            </w:r>
            <w:r>
              <w:rPr>
                <w:rFonts w:ascii="宋体" w:hAnsi="宋体" w:cs="宋体" w:eastAsia="宋体" w:hint="default"/>
                <w:sz w:val="15"/>
                <w:szCs w:val="15"/>
              </w:rPr>
              <w:t>长沙市国库集中支付局中共长沙市委宣</w:t>
            </w:r>
            <w:r>
              <w:rPr>
                <w:rFonts w:ascii="宋体" w:hAnsi="宋体" w:cs="宋体" w:eastAsia="宋体" w:hint="default"/>
                <w:w w:val="100"/>
                <w:sz w:val="15"/>
                <w:szCs w:val="15"/>
              </w:rPr>
              <w:t> </w:t>
            </w:r>
            <w:r>
              <w:rPr>
                <w:rFonts w:ascii="宋体" w:hAnsi="宋体" w:cs="宋体" w:eastAsia="宋体" w:hint="default"/>
                <w:spacing w:val="-8"/>
                <w:sz w:val="15"/>
                <w:szCs w:val="15"/>
              </w:rPr>
              <w:t>传部（机关）</w:t>
            </w:r>
            <w:r>
              <w:rPr>
                <w:rFonts w:ascii="Times New Roman" w:hAnsi="Times New Roman" w:cs="Times New Roman" w:eastAsia="Times New Roman" w:hint="default"/>
                <w:spacing w:val="-8"/>
                <w:sz w:val="15"/>
                <w:szCs w:val="15"/>
              </w:rPr>
              <w:t>2014</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年市级文化产业引导资金</w:t>
            </w:r>
          </w:p>
        </w:tc>
        <w:tc>
          <w:tcPr>
            <w:tcW w:w="1192"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500,000.00</w:t>
            </w:r>
          </w:p>
        </w:tc>
        <w:tc>
          <w:tcPr>
            <w:tcW w:w="3443" w:type="dxa"/>
            <w:tcBorders>
              <w:top w:val="nil" w:sz="6" w:space="0" w:color="auto"/>
              <w:left w:val="nil" w:sz="6" w:space="0" w:color="auto"/>
              <w:bottom w:val="nil" w:sz="6" w:space="0" w:color="auto"/>
              <w:right w:val="nil" w:sz="6" w:space="0" w:color="auto"/>
            </w:tcBorders>
          </w:tcPr>
          <w:p>
            <w:pPr>
              <w:pStyle w:val="TableParagraph"/>
              <w:spacing w:line="369" w:lineRule="auto" w:before="57"/>
              <w:ind w:left="106" w:right="120"/>
              <w:jc w:val="left"/>
              <w:rPr>
                <w:rFonts w:ascii="宋体" w:hAnsi="宋体" w:cs="宋体" w:eastAsia="宋体" w:hint="default"/>
                <w:sz w:val="15"/>
                <w:szCs w:val="15"/>
              </w:rPr>
            </w:pPr>
            <w:r>
              <w:rPr>
                <w:rFonts w:ascii="宋体" w:hAnsi="宋体" w:cs="宋体" w:eastAsia="宋体" w:hint="default"/>
                <w:sz w:val="15"/>
                <w:szCs w:val="15"/>
              </w:rPr>
              <w:t>长财教指</w:t>
            </w:r>
            <w:r>
              <w:rPr>
                <w:rFonts w:ascii="Times New Roman" w:hAnsi="Times New Roman" w:cs="Times New Roman" w:eastAsia="Times New Roman" w:hint="default"/>
                <w:sz w:val="15"/>
                <w:szCs w:val="15"/>
              </w:rPr>
              <w:t>[2014]99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号《关于下达</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年文化产业</w:t>
            </w:r>
            <w:r>
              <w:rPr>
                <w:rFonts w:ascii="宋体" w:hAnsi="宋体" w:cs="宋体" w:eastAsia="宋体" w:hint="default"/>
                <w:w w:val="100"/>
                <w:sz w:val="15"/>
                <w:szCs w:val="15"/>
              </w:rPr>
              <w:t> </w:t>
            </w:r>
            <w:r>
              <w:rPr>
                <w:rFonts w:ascii="宋体" w:hAnsi="宋体" w:cs="宋体" w:eastAsia="宋体" w:hint="default"/>
                <w:sz w:val="15"/>
                <w:szCs w:val="15"/>
              </w:rPr>
              <w:t>引导资金的通知》（智能云系统）</w:t>
            </w:r>
          </w:p>
        </w:tc>
      </w:tr>
      <w:tr>
        <w:trPr>
          <w:trHeight w:val="677"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369" w:lineRule="auto" w:before="57"/>
              <w:ind w:left="108" w:right="157"/>
              <w:jc w:val="left"/>
              <w:rPr>
                <w:rFonts w:ascii="宋体" w:hAnsi="宋体" w:cs="宋体" w:eastAsia="宋体" w:hint="default"/>
                <w:sz w:val="15"/>
                <w:szCs w:val="15"/>
              </w:rPr>
            </w:pP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34"/>
                <w:sz w:val="15"/>
                <w:szCs w:val="15"/>
              </w:rPr>
              <w:t> </w:t>
            </w:r>
            <w:r>
              <w:rPr>
                <w:rFonts w:ascii="宋体" w:hAnsi="宋体" w:cs="宋体" w:eastAsia="宋体" w:hint="default"/>
                <w:sz w:val="15"/>
                <w:szCs w:val="15"/>
              </w:rPr>
              <w:t>长沙市国库集中支付局长沙市知识产权</w:t>
            </w:r>
            <w:r>
              <w:rPr>
                <w:rFonts w:ascii="宋体" w:hAnsi="宋体" w:cs="宋体" w:eastAsia="宋体" w:hint="default"/>
                <w:w w:val="100"/>
                <w:sz w:val="15"/>
                <w:szCs w:val="15"/>
              </w:rPr>
              <w:t> </w:t>
            </w:r>
            <w:r>
              <w:rPr>
                <w:rFonts w:ascii="宋体" w:hAnsi="宋体" w:cs="宋体" w:eastAsia="宋体" w:hint="default"/>
                <w:sz w:val="15"/>
                <w:szCs w:val="15"/>
              </w:rPr>
              <w:t>局（机关）版权优势培育基金</w:t>
            </w:r>
          </w:p>
        </w:tc>
        <w:tc>
          <w:tcPr>
            <w:tcW w:w="1192"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100,000.00</w:t>
            </w:r>
          </w:p>
        </w:tc>
        <w:tc>
          <w:tcPr>
            <w:tcW w:w="3443" w:type="dxa"/>
            <w:tcBorders>
              <w:top w:val="nil" w:sz="6" w:space="0" w:color="auto"/>
              <w:left w:val="nil" w:sz="6" w:space="0" w:color="auto"/>
              <w:bottom w:val="nil" w:sz="6" w:space="0" w:color="auto"/>
              <w:right w:val="nil" w:sz="6" w:space="0" w:color="auto"/>
            </w:tcBorders>
          </w:tcPr>
          <w:p>
            <w:pPr>
              <w:pStyle w:val="TableParagraph"/>
              <w:spacing w:line="369" w:lineRule="auto" w:before="57"/>
              <w:ind w:left="106" w:right="106"/>
              <w:jc w:val="left"/>
              <w:rPr>
                <w:rFonts w:ascii="宋体" w:hAnsi="宋体" w:cs="宋体" w:eastAsia="宋体" w:hint="default"/>
                <w:sz w:val="15"/>
                <w:szCs w:val="15"/>
              </w:rPr>
            </w:pPr>
            <w:r>
              <w:rPr>
                <w:rFonts w:ascii="宋体" w:hAnsi="宋体" w:cs="宋体" w:eastAsia="宋体" w:hint="default"/>
                <w:spacing w:val="-2"/>
                <w:w w:val="100"/>
                <w:sz w:val="15"/>
                <w:szCs w:val="15"/>
              </w:rPr>
              <w:t>长知发</w:t>
            </w:r>
            <w:r>
              <w:rPr>
                <w:rFonts w:ascii="Times New Roman" w:hAnsi="Times New Roman" w:cs="Times New Roman" w:eastAsia="Times New Roman" w:hint="default"/>
                <w:spacing w:val="-2"/>
                <w:w w:val="100"/>
                <w:sz w:val="15"/>
                <w:szCs w:val="15"/>
              </w:rPr>
              <w:t>[2014]44</w:t>
            </w:r>
            <w:r>
              <w:rPr>
                <w:rFonts w:ascii="Times New Roman" w:hAnsi="Times New Roman" w:cs="Times New Roman" w:eastAsia="Times New Roman" w:hint="default"/>
                <w:spacing w:val="13"/>
                <w:w w:val="100"/>
                <w:sz w:val="15"/>
                <w:szCs w:val="15"/>
              </w:rPr>
              <w:t> </w:t>
            </w:r>
            <w:r>
              <w:rPr>
                <w:rFonts w:ascii="宋体" w:hAnsi="宋体" w:cs="宋体" w:eastAsia="宋体" w:hint="default"/>
                <w:spacing w:val="-6"/>
                <w:w w:val="100"/>
                <w:sz w:val="15"/>
                <w:szCs w:val="15"/>
              </w:rPr>
              <w:t>号《关于拨付版权优势培育企业项</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z w:val="15"/>
                <w:szCs w:val="15"/>
              </w:rPr>
              <w:t>目经费的通知》</w:t>
            </w:r>
          </w:p>
        </w:tc>
      </w:tr>
      <w:tr>
        <w:trPr>
          <w:trHeight w:val="259"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7"/>
              <w:jc w:val="center"/>
              <w:rPr>
                <w:rFonts w:ascii="宋体" w:hAnsi="宋体" w:cs="宋体" w:eastAsia="宋体" w:hint="default"/>
                <w:sz w:val="15"/>
                <w:szCs w:val="15"/>
              </w:rPr>
            </w:pPr>
            <w:r>
              <w:rPr>
                <w:rFonts w:ascii="宋体" w:hAnsi="宋体" w:cs="宋体" w:eastAsia="宋体" w:hint="default"/>
                <w:sz w:val="15"/>
                <w:szCs w:val="15"/>
              </w:rPr>
              <w:t>合计</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14,686,190.85</w:t>
            </w:r>
            <w:r>
              <w:rPr>
                <w:rFonts w:ascii="Times New Roman"/>
                <w:spacing w:val="-1"/>
                <w:sz w:val="15"/>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8,037,845.22</w:t>
            </w:r>
            <w:r>
              <w:rPr>
                <w:rFonts w:ascii="Times New Roman"/>
                <w:spacing w:val="-1"/>
                <w:sz w:val="15"/>
              </w:rPr>
            </w:r>
          </w:p>
        </w:tc>
        <w:tc>
          <w:tcPr>
            <w:tcW w:w="3443"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720" w:right="0"/>
        <w:jc w:val="left"/>
      </w:pPr>
      <w:r>
        <w:rPr>
          <w:rFonts w:ascii="Times New Roman" w:hAnsi="Times New Roman" w:cs="Times New Roman" w:eastAsia="Times New Roman" w:hint="default"/>
        </w:rPr>
        <w:t>36. </w:t>
      </w:r>
      <w:r>
        <w:rPr>
          <w:rFonts w:ascii="Times New Roman" w:hAnsi="Times New Roman" w:cs="Times New Roman" w:eastAsia="Times New Roman" w:hint="default"/>
          <w:spacing w:val="1"/>
        </w:rPr>
        <w:t> </w:t>
      </w:r>
      <w:r>
        <w:rPr/>
        <w:t>营业外支出</w:t>
      </w:r>
    </w:p>
    <w:p>
      <w:pPr>
        <w:spacing w:line="240" w:lineRule="auto" w:before="8"/>
        <w:rPr>
          <w:rFonts w:ascii="宋体" w:hAnsi="宋体" w:cs="宋体" w:eastAsia="宋体" w:hint="default"/>
          <w:sz w:val="24"/>
          <w:szCs w:val="24"/>
        </w:rPr>
      </w:pPr>
    </w:p>
    <w:tbl>
      <w:tblPr>
        <w:tblW w:w="0" w:type="auto"/>
        <w:jc w:val="left"/>
        <w:tblInd w:w="223" w:type="dxa"/>
        <w:tblLayout w:type="fixed"/>
        <w:tblCellMar>
          <w:top w:w="0" w:type="dxa"/>
          <w:left w:w="0" w:type="dxa"/>
          <w:bottom w:w="0" w:type="dxa"/>
          <w:right w:w="0" w:type="dxa"/>
        </w:tblCellMar>
        <w:tblLook w:val="01E0"/>
      </w:tblPr>
      <w:tblGrid>
        <w:gridCol w:w="2832"/>
        <w:gridCol w:w="1688"/>
        <w:gridCol w:w="1446"/>
        <w:gridCol w:w="2615"/>
      </w:tblGrid>
      <w:tr>
        <w:trPr>
          <w:trHeight w:val="275" w:hRule="exact"/>
        </w:trPr>
        <w:tc>
          <w:tcPr>
            <w:tcW w:w="2832" w:type="dxa"/>
            <w:tcBorders>
              <w:top w:val="nil" w:sz="6" w:space="0" w:color="auto"/>
              <w:left w:val="nil" w:sz="6" w:space="0" w:color="auto"/>
              <w:bottom w:val="single" w:sz="4" w:space="0" w:color="000000"/>
              <w:right w:val="nil" w:sz="6" w:space="0" w:color="auto"/>
            </w:tcBorders>
          </w:tcPr>
          <w:p>
            <w:pPr>
              <w:pStyle w:val="TableParagraph"/>
              <w:tabs>
                <w:tab w:pos="424" w:val="left" w:leader="none"/>
              </w:tabs>
              <w:spacing w:line="180" w:lineRule="exact"/>
              <w:ind w:left="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688" w:type="dxa"/>
            <w:tcBorders>
              <w:top w:val="nil" w:sz="6" w:space="0" w:color="auto"/>
              <w:left w:val="nil" w:sz="6" w:space="0" w:color="auto"/>
              <w:bottom w:val="single" w:sz="4" w:space="0" w:color="000000"/>
              <w:right w:val="nil" w:sz="6" w:space="0" w:color="auto"/>
            </w:tcBorders>
          </w:tcPr>
          <w:p>
            <w:pPr>
              <w:pStyle w:val="TableParagraph"/>
              <w:spacing w:line="180" w:lineRule="exact"/>
              <w:ind w:right="380"/>
              <w:jc w:val="righ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sz w:val="18"/>
                <w:szCs w:val="18"/>
              </w:rPr>
            </w:r>
          </w:p>
        </w:tc>
        <w:tc>
          <w:tcPr>
            <w:tcW w:w="1446" w:type="dxa"/>
            <w:tcBorders>
              <w:top w:val="nil" w:sz="6" w:space="0" w:color="auto"/>
              <w:left w:val="nil" w:sz="6" w:space="0" w:color="auto"/>
              <w:bottom w:val="single" w:sz="4" w:space="0" w:color="000000"/>
              <w:right w:val="nil" w:sz="6" w:space="0" w:color="auto"/>
            </w:tcBorders>
          </w:tcPr>
          <w:p>
            <w:pPr>
              <w:pStyle w:val="TableParagraph"/>
              <w:spacing w:line="180" w:lineRule="exact"/>
              <w:ind w:right="196"/>
              <w:jc w:val="right"/>
              <w:rPr>
                <w:rFonts w:ascii="宋体" w:hAnsi="宋体" w:cs="宋体" w:eastAsia="宋体" w:hint="default"/>
                <w:sz w:val="18"/>
                <w:szCs w:val="18"/>
              </w:rPr>
            </w:pPr>
            <w:r>
              <w:rPr>
                <w:rFonts w:ascii="宋体" w:hAnsi="宋体" w:cs="宋体" w:eastAsia="宋体" w:hint="default"/>
                <w:b/>
                <w:bCs/>
                <w:w w:val="95"/>
                <w:sz w:val="18"/>
                <w:szCs w:val="18"/>
              </w:rPr>
              <w:t>上期发生额</w:t>
            </w:r>
            <w:r>
              <w:rPr>
                <w:rFonts w:ascii="宋体" w:hAnsi="宋体" w:cs="宋体" w:eastAsia="宋体" w:hint="default"/>
                <w:sz w:val="18"/>
                <w:szCs w:val="18"/>
              </w:rPr>
            </w:r>
          </w:p>
        </w:tc>
        <w:tc>
          <w:tcPr>
            <w:tcW w:w="2615" w:type="dxa"/>
            <w:tcBorders>
              <w:top w:val="nil" w:sz="6" w:space="0" w:color="auto"/>
              <w:left w:val="nil" w:sz="6" w:space="0" w:color="auto"/>
              <w:bottom w:val="single" w:sz="4" w:space="0" w:color="000000"/>
              <w:right w:val="nil" w:sz="6" w:space="0" w:color="auto"/>
            </w:tcBorders>
          </w:tcPr>
          <w:p>
            <w:pPr>
              <w:pStyle w:val="TableParagraph"/>
              <w:spacing w:line="180" w:lineRule="exact"/>
              <w:ind w:left="198"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431" w:hRule="exact"/>
        </w:trPr>
        <w:tc>
          <w:tcPr>
            <w:tcW w:w="283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非流动资产处置损失合计</w:t>
            </w:r>
          </w:p>
        </w:tc>
        <w:tc>
          <w:tcPr>
            <w:tcW w:w="168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4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91,910.78</w:t>
            </w:r>
            <w:r>
              <w:rPr>
                <w:rFonts w:ascii="Times New Roman"/>
                <w:spacing w:val="-1"/>
                <w:sz w:val="18"/>
              </w:rPr>
            </w:r>
          </w:p>
        </w:tc>
        <w:tc>
          <w:tcPr>
            <w:tcW w:w="144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29"/>
              <w:jc w:val="right"/>
              <w:rPr>
                <w:rFonts w:ascii="Times New Roman" w:hAnsi="Times New Roman" w:cs="Times New Roman" w:eastAsia="Times New Roman" w:hint="default"/>
                <w:sz w:val="18"/>
                <w:szCs w:val="18"/>
              </w:rPr>
            </w:pPr>
            <w:r>
              <w:rPr>
                <w:rFonts w:ascii="Times New Roman"/>
                <w:sz w:val="18"/>
              </w:rPr>
            </w:r>
            <w:r>
              <w:rPr>
                <w:rFonts w:ascii="Times New Roman"/>
                <w:w w:val="95"/>
                <w:sz w:val="18"/>
                <w:u w:val="single" w:color="000000"/>
              </w:rPr>
              <w:t>3,539.86</w:t>
            </w:r>
            <w:r>
              <w:rPr>
                <w:rFonts w:ascii="Times New Roman"/>
                <w:w w:val="95"/>
                <w:sz w:val="18"/>
              </w:rPr>
            </w:r>
          </w:p>
        </w:tc>
        <w:tc>
          <w:tcPr>
            <w:tcW w:w="261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53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91,910.78</w:t>
            </w:r>
            <w:r>
              <w:rPr>
                <w:rFonts w:ascii="Times New Roman"/>
                <w:sz w:val="18"/>
              </w:rPr>
            </w:r>
          </w:p>
        </w:tc>
      </w:tr>
      <w:tr>
        <w:trPr>
          <w:trHeight w:val="400"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20"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6"/>
              <w:jc w:val="right"/>
              <w:rPr>
                <w:rFonts w:ascii="Times New Roman" w:hAnsi="Times New Roman" w:cs="Times New Roman" w:eastAsia="Times New Roman" w:hint="default"/>
                <w:sz w:val="18"/>
                <w:szCs w:val="18"/>
              </w:rPr>
            </w:pPr>
            <w:r>
              <w:rPr>
                <w:rFonts w:ascii="Times New Roman"/>
                <w:spacing w:val="-1"/>
                <w:sz w:val="18"/>
              </w:rPr>
              <w:t>91,910.78</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9"/>
              <w:jc w:val="right"/>
              <w:rPr>
                <w:rFonts w:ascii="Times New Roman" w:hAnsi="Times New Roman" w:cs="Times New Roman" w:eastAsia="Times New Roman" w:hint="default"/>
                <w:sz w:val="18"/>
                <w:szCs w:val="18"/>
              </w:rPr>
            </w:pPr>
            <w:r>
              <w:rPr>
                <w:rFonts w:ascii="Times New Roman"/>
                <w:w w:val="95"/>
                <w:sz w:val="18"/>
              </w:rPr>
              <w:t>3,539.86</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530" w:right="0"/>
              <w:jc w:val="left"/>
              <w:rPr>
                <w:rFonts w:ascii="Times New Roman" w:hAnsi="Times New Roman" w:cs="Times New Roman" w:eastAsia="Times New Roman" w:hint="default"/>
                <w:sz w:val="18"/>
                <w:szCs w:val="18"/>
              </w:rPr>
            </w:pPr>
            <w:r>
              <w:rPr>
                <w:rFonts w:ascii="Times New Roman"/>
                <w:sz w:val="18"/>
              </w:rPr>
              <w:t>91,910.78</w:t>
            </w:r>
          </w:p>
        </w:tc>
      </w:tr>
      <w:tr>
        <w:trPr>
          <w:trHeight w:val="400"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公益性捐赠支出</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6"/>
              <w:jc w:val="right"/>
              <w:rPr>
                <w:rFonts w:ascii="Times New Roman" w:hAnsi="Times New Roman" w:cs="Times New Roman" w:eastAsia="Times New Roman" w:hint="default"/>
                <w:sz w:val="18"/>
                <w:szCs w:val="18"/>
              </w:rPr>
            </w:pPr>
            <w:r>
              <w:rPr>
                <w:rFonts w:ascii="Times New Roman"/>
                <w:spacing w:val="-1"/>
                <w:sz w:val="18"/>
              </w:rPr>
              <w:t>80,000.00</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9"/>
              <w:jc w:val="right"/>
              <w:rPr>
                <w:rFonts w:ascii="Times New Roman" w:hAnsi="Times New Roman" w:cs="Times New Roman" w:eastAsia="Times New Roman" w:hint="default"/>
                <w:sz w:val="18"/>
                <w:szCs w:val="18"/>
              </w:rPr>
            </w:pPr>
            <w:r>
              <w:rPr>
                <w:rFonts w:ascii="Times New Roman"/>
                <w:spacing w:val="-1"/>
                <w:sz w:val="18"/>
              </w:rPr>
              <w:t>122,248.52</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530" w:right="0"/>
              <w:jc w:val="left"/>
              <w:rPr>
                <w:rFonts w:ascii="Times New Roman" w:hAnsi="Times New Roman" w:cs="Times New Roman" w:eastAsia="Times New Roman" w:hint="default"/>
                <w:sz w:val="18"/>
                <w:szCs w:val="18"/>
              </w:rPr>
            </w:pPr>
            <w:r>
              <w:rPr>
                <w:rFonts w:ascii="Times New Roman"/>
                <w:sz w:val="18"/>
              </w:rPr>
              <w:t>80,000.00</w:t>
            </w:r>
          </w:p>
        </w:tc>
      </w:tr>
      <w:tr>
        <w:trPr>
          <w:trHeight w:val="401"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其他</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3"/>
              <w:jc w:val="right"/>
              <w:rPr>
                <w:rFonts w:ascii="Times New Roman" w:hAnsi="Times New Roman" w:cs="Times New Roman" w:eastAsia="Times New Roman" w:hint="default"/>
                <w:sz w:val="18"/>
                <w:szCs w:val="18"/>
              </w:rPr>
            </w:pPr>
            <w:r>
              <w:rPr>
                <w:rFonts w:ascii="Times New Roman"/>
                <w:sz w:val="18"/>
              </w:rPr>
              <w:t>39.71</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9"/>
              <w:jc w:val="right"/>
              <w:rPr>
                <w:rFonts w:ascii="Times New Roman" w:hAnsi="Times New Roman" w:cs="Times New Roman" w:eastAsia="Times New Roman" w:hint="default"/>
                <w:sz w:val="18"/>
                <w:szCs w:val="18"/>
              </w:rPr>
            </w:pPr>
            <w:r>
              <w:rPr>
                <w:rFonts w:ascii="Times New Roman"/>
                <w:spacing w:val="-1"/>
                <w:sz w:val="18"/>
              </w:rPr>
              <w:t>136,223.41</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59"/>
              <w:jc w:val="right"/>
              <w:rPr>
                <w:rFonts w:ascii="Times New Roman" w:hAnsi="Times New Roman" w:cs="Times New Roman" w:eastAsia="Times New Roman" w:hint="default"/>
                <w:sz w:val="18"/>
                <w:szCs w:val="18"/>
              </w:rPr>
            </w:pPr>
            <w:r>
              <w:rPr>
                <w:rFonts w:ascii="Times New Roman"/>
                <w:sz w:val="18"/>
              </w:rPr>
              <w:t>39.71</w:t>
            </w:r>
          </w:p>
        </w:tc>
      </w:tr>
      <w:tr>
        <w:trPr>
          <w:trHeight w:val="295" w:hRule="exact"/>
        </w:trPr>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pacing w:val="-1"/>
                <w:sz w:val="18"/>
                <w:u w:val="thick" w:color="000000"/>
              </w:rPr>
              <w:t>171,950.49</w:t>
            </w:r>
            <w:r>
              <w:rPr>
                <w:rFonts w:ascii="Times New Roman"/>
                <w:spacing w:val="-1"/>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262,011.79</w:t>
            </w:r>
            <w:r>
              <w:rPr>
                <w:rFonts w:ascii="Times New Roman"/>
                <w:spacing w:val="-1"/>
                <w:sz w:val="18"/>
              </w:rPr>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35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z w:val="18"/>
                <w:u w:val="thick" w:color="000000"/>
              </w:rPr>
              <w:t>171,950.49</w:t>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360" w:right="0"/>
        <w:jc w:val="left"/>
      </w:pPr>
      <w:r>
        <w:rPr>
          <w:rFonts w:ascii="Times New Roman" w:hAnsi="Times New Roman" w:cs="Times New Roman" w:eastAsia="Times New Roman" w:hint="default"/>
        </w:rPr>
        <w:t>37. </w:t>
      </w:r>
      <w:r>
        <w:rPr>
          <w:rFonts w:ascii="Times New Roman" w:hAnsi="Times New Roman" w:cs="Times New Roman" w:eastAsia="Times New Roman" w:hint="default"/>
          <w:spacing w:val="1"/>
        </w:rPr>
        <w:t> </w:t>
      </w:r>
      <w:r>
        <w:rPr/>
        <w:t>所得税费用</w:t>
      </w:r>
    </w:p>
    <w:p>
      <w:pPr>
        <w:spacing w:line="240" w:lineRule="auto" w:before="8"/>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1</w:t>
      </w:r>
      <w:r>
        <w:rPr/>
        <w:t>）分类列示</w:t>
      </w:r>
    </w:p>
    <w:p>
      <w:pPr>
        <w:spacing w:line="240" w:lineRule="auto" w:before="6"/>
        <w:rPr>
          <w:rFonts w:ascii="宋体" w:hAnsi="宋体" w:cs="宋体" w:eastAsia="宋体" w:hint="default"/>
          <w:sz w:val="24"/>
          <w:szCs w:val="24"/>
        </w:rPr>
      </w:pPr>
    </w:p>
    <w:tbl>
      <w:tblPr>
        <w:tblW w:w="0" w:type="auto"/>
        <w:jc w:val="left"/>
        <w:tblInd w:w="223" w:type="dxa"/>
        <w:tblLayout w:type="fixed"/>
        <w:tblCellMar>
          <w:top w:w="0" w:type="dxa"/>
          <w:left w:w="0" w:type="dxa"/>
          <w:bottom w:w="0" w:type="dxa"/>
          <w:right w:w="0" w:type="dxa"/>
        </w:tblCellMar>
        <w:tblLook w:val="01E0"/>
      </w:tblPr>
      <w:tblGrid>
        <w:gridCol w:w="2783"/>
        <w:gridCol w:w="3041"/>
        <w:gridCol w:w="2757"/>
      </w:tblGrid>
      <w:tr>
        <w:trPr>
          <w:trHeight w:val="275" w:hRule="exact"/>
        </w:trPr>
        <w:tc>
          <w:tcPr>
            <w:tcW w:w="2783" w:type="dxa"/>
            <w:tcBorders>
              <w:top w:val="nil" w:sz="6" w:space="0" w:color="auto"/>
              <w:left w:val="nil" w:sz="6" w:space="0" w:color="auto"/>
              <w:bottom w:val="single" w:sz="4" w:space="0" w:color="000000"/>
              <w:right w:val="nil" w:sz="6" w:space="0" w:color="auto"/>
            </w:tcBorders>
          </w:tcPr>
          <w:p>
            <w:pPr>
              <w:pStyle w:val="TableParagraph"/>
              <w:tabs>
                <w:tab w:pos="492" w:val="left" w:leader="none"/>
              </w:tabs>
              <w:spacing w:line="180" w:lineRule="exact"/>
              <w:ind w:left="72"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041" w:type="dxa"/>
            <w:tcBorders>
              <w:top w:val="nil" w:sz="6" w:space="0" w:color="auto"/>
              <w:left w:val="nil" w:sz="6" w:space="0" w:color="auto"/>
              <w:bottom w:val="single" w:sz="4" w:space="0" w:color="000000"/>
              <w:right w:val="nil" w:sz="6" w:space="0" w:color="auto"/>
            </w:tcBorders>
          </w:tcPr>
          <w:p>
            <w:pPr>
              <w:pStyle w:val="TableParagraph"/>
              <w:spacing w:line="180" w:lineRule="exact"/>
              <w:ind w:right="27"/>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57" w:type="dxa"/>
            <w:tcBorders>
              <w:top w:val="nil" w:sz="6" w:space="0" w:color="auto"/>
              <w:left w:val="nil" w:sz="6" w:space="0" w:color="auto"/>
              <w:bottom w:val="single" w:sz="4" w:space="0" w:color="000000"/>
              <w:right w:val="nil" w:sz="6" w:space="0" w:color="auto"/>
            </w:tcBorders>
          </w:tcPr>
          <w:p>
            <w:pPr>
              <w:pStyle w:val="TableParagraph"/>
              <w:spacing w:line="180" w:lineRule="exact"/>
              <w:ind w:left="87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0" w:hRule="exact"/>
        </w:trPr>
        <w:tc>
          <w:tcPr>
            <w:tcW w:w="278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04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8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44,332,072.42</w:t>
            </w:r>
            <w:r>
              <w:rPr>
                <w:rFonts w:ascii="Times New Roman"/>
                <w:spacing w:val="-1"/>
                <w:sz w:val="18"/>
              </w:rPr>
            </w:r>
          </w:p>
        </w:tc>
        <w:tc>
          <w:tcPr>
            <w:tcW w:w="275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76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24,516,691.61</w:t>
            </w:r>
            <w:r>
              <w:rPr>
                <w:rFonts w:ascii="Times New Roman"/>
                <w:spacing w:val="-1"/>
                <w:sz w:val="18"/>
              </w:rPr>
            </w:r>
          </w:p>
        </w:tc>
      </w:tr>
      <w:tr>
        <w:trPr>
          <w:trHeight w:val="400"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z w:val="18"/>
                <w:szCs w:val="18"/>
              </w:rPr>
              <w:t>其中：当期所得税</w:t>
            </w:r>
          </w:p>
        </w:tc>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75"/>
              <w:jc w:val="right"/>
              <w:rPr>
                <w:rFonts w:ascii="Times New Roman" w:hAnsi="Times New Roman" w:cs="Times New Roman" w:eastAsia="Times New Roman" w:hint="default"/>
                <w:sz w:val="18"/>
                <w:szCs w:val="18"/>
              </w:rPr>
            </w:pPr>
            <w:r>
              <w:rPr>
                <w:rFonts w:ascii="Times New Roman"/>
                <w:spacing w:val="-1"/>
                <w:sz w:val="18"/>
              </w:rPr>
              <w:t>43,644,662.81</w:t>
            </w:r>
          </w:p>
        </w:tc>
        <w:tc>
          <w:tcPr>
            <w:tcW w:w="275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68"/>
              <w:jc w:val="right"/>
              <w:rPr>
                <w:rFonts w:ascii="Times New Roman" w:hAnsi="Times New Roman" w:cs="Times New Roman" w:eastAsia="Times New Roman" w:hint="default"/>
                <w:sz w:val="18"/>
                <w:szCs w:val="18"/>
              </w:rPr>
            </w:pPr>
            <w:r>
              <w:rPr>
                <w:rFonts w:ascii="Times New Roman"/>
                <w:spacing w:val="-1"/>
                <w:sz w:val="18"/>
              </w:rPr>
              <w:t>24,287,589.30</w:t>
            </w:r>
          </w:p>
        </w:tc>
      </w:tr>
      <w:tr>
        <w:trPr>
          <w:trHeight w:val="295"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39" w:right="0"/>
              <w:jc w:val="left"/>
              <w:rPr>
                <w:rFonts w:ascii="宋体" w:hAnsi="宋体" w:cs="宋体" w:eastAsia="宋体" w:hint="default"/>
                <w:sz w:val="18"/>
                <w:szCs w:val="18"/>
              </w:rPr>
            </w:pPr>
            <w:r>
              <w:rPr>
                <w:rFonts w:ascii="宋体" w:hAnsi="宋体" w:cs="宋体" w:eastAsia="宋体" w:hint="default"/>
                <w:sz w:val="18"/>
                <w:szCs w:val="18"/>
              </w:rPr>
              <w:t>递延所得税</w:t>
            </w:r>
          </w:p>
        </w:tc>
        <w:tc>
          <w:tcPr>
            <w:tcW w:w="304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72"/>
              <w:jc w:val="right"/>
              <w:rPr>
                <w:rFonts w:ascii="Times New Roman" w:hAnsi="Times New Roman" w:cs="Times New Roman" w:eastAsia="Times New Roman" w:hint="default"/>
                <w:sz w:val="18"/>
                <w:szCs w:val="18"/>
              </w:rPr>
            </w:pPr>
            <w:r>
              <w:rPr>
                <w:rFonts w:ascii="Times New Roman"/>
                <w:spacing w:val="-1"/>
                <w:sz w:val="18"/>
              </w:rPr>
              <w:t>687,409.61</w:t>
            </w:r>
          </w:p>
        </w:tc>
        <w:tc>
          <w:tcPr>
            <w:tcW w:w="275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68"/>
              <w:jc w:val="right"/>
              <w:rPr>
                <w:rFonts w:ascii="Times New Roman" w:hAnsi="Times New Roman" w:cs="Times New Roman" w:eastAsia="Times New Roman" w:hint="default"/>
                <w:sz w:val="18"/>
                <w:szCs w:val="18"/>
              </w:rPr>
            </w:pPr>
            <w:r>
              <w:rPr>
                <w:rFonts w:ascii="Times New Roman"/>
                <w:spacing w:val="-1"/>
                <w:sz w:val="18"/>
              </w:rPr>
              <w:t>229,102.31</w:t>
            </w:r>
          </w:p>
        </w:tc>
      </w:tr>
    </w:tbl>
    <w:p>
      <w:pPr>
        <w:spacing w:line="240" w:lineRule="auto" w:before="12"/>
        <w:rPr>
          <w:rFonts w:ascii="宋体" w:hAnsi="宋体" w:cs="宋体" w:eastAsia="宋体" w:hint="default"/>
          <w:sz w:val="29"/>
          <w:szCs w:val="29"/>
        </w:rPr>
      </w:pPr>
    </w:p>
    <w:p>
      <w:pPr>
        <w:pStyle w:val="BodyText"/>
        <w:spacing w:line="240" w:lineRule="auto" w:before="44"/>
        <w:ind w:left="720" w:right="0"/>
        <w:jc w:val="left"/>
      </w:pPr>
      <w:r>
        <w:rPr/>
        <w:t>（</w:t>
      </w:r>
      <w:r>
        <w:rPr>
          <w:rFonts w:ascii="Times New Roman" w:hAnsi="Times New Roman" w:cs="Times New Roman" w:eastAsia="Times New Roman" w:hint="default"/>
        </w:rPr>
        <w:t>2</w:t>
      </w:r>
      <w:r>
        <w:rPr/>
        <w:t>）所得税费用（收益）与会计利润关系的说明</w:t>
      </w:r>
    </w:p>
    <w:p>
      <w:pPr>
        <w:spacing w:line="240" w:lineRule="auto" w:before="6"/>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880"/>
        <w:gridCol w:w="2962"/>
        <w:gridCol w:w="1955"/>
      </w:tblGrid>
      <w:tr>
        <w:trPr>
          <w:trHeight w:val="275" w:hRule="exact"/>
        </w:trPr>
        <w:tc>
          <w:tcPr>
            <w:tcW w:w="3880" w:type="dxa"/>
            <w:tcBorders>
              <w:top w:val="nil" w:sz="6" w:space="0" w:color="auto"/>
              <w:left w:val="nil" w:sz="6" w:space="0" w:color="auto"/>
              <w:bottom w:val="single" w:sz="4" w:space="0" w:color="000000"/>
              <w:right w:val="nil" w:sz="6" w:space="0" w:color="auto"/>
            </w:tcBorders>
          </w:tcPr>
          <w:p>
            <w:pPr>
              <w:pStyle w:val="TableParagraph"/>
              <w:spacing w:line="180" w:lineRule="exact"/>
              <w:ind w:left="76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62" w:type="dxa"/>
            <w:tcBorders>
              <w:top w:val="nil" w:sz="6" w:space="0" w:color="auto"/>
              <w:left w:val="nil" w:sz="6" w:space="0" w:color="auto"/>
              <w:bottom w:val="single" w:sz="4" w:space="0" w:color="000000"/>
              <w:right w:val="nil" w:sz="6" w:space="0" w:color="auto"/>
            </w:tcBorders>
          </w:tcPr>
          <w:p>
            <w:pPr>
              <w:pStyle w:val="TableParagraph"/>
              <w:spacing w:line="180" w:lineRule="exact"/>
              <w:ind w:left="137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55" w:type="dxa"/>
            <w:tcBorders>
              <w:top w:val="nil" w:sz="6" w:space="0" w:color="auto"/>
              <w:left w:val="nil" w:sz="6" w:space="0" w:color="auto"/>
              <w:bottom w:val="single" w:sz="4" w:space="0" w:color="000000"/>
              <w:right w:val="nil" w:sz="6" w:space="0" w:color="auto"/>
            </w:tcBorders>
          </w:tcPr>
          <w:p>
            <w:pPr>
              <w:pStyle w:val="TableParagraph"/>
              <w:spacing w:line="180" w:lineRule="exact"/>
              <w:ind w:left="49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1" w:hRule="exact"/>
        </w:trPr>
        <w:tc>
          <w:tcPr>
            <w:tcW w:w="388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96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448"/>
              <w:jc w:val="right"/>
              <w:rPr>
                <w:rFonts w:ascii="Times New Roman" w:hAnsi="Times New Roman" w:cs="Times New Roman" w:eastAsia="Times New Roman" w:hint="default"/>
                <w:sz w:val="18"/>
                <w:szCs w:val="18"/>
              </w:rPr>
            </w:pPr>
            <w:r>
              <w:rPr>
                <w:rFonts w:ascii="Times New Roman"/>
                <w:spacing w:val="-1"/>
                <w:sz w:val="18"/>
              </w:rPr>
              <w:t>221,329,431.13</w:t>
            </w:r>
          </w:p>
        </w:tc>
        <w:tc>
          <w:tcPr>
            <w:tcW w:w="195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77"/>
              <w:jc w:val="right"/>
              <w:rPr>
                <w:rFonts w:ascii="Times New Roman" w:hAnsi="Times New Roman" w:cs="Times New Roman" w:eastAsia="Times New Roman" w:hint="default"/>
                <w:sz w:val="18"/>
                <w:szCs w:val="18"/>
              </w:rPr>
            </w:pPr>
            <w:r>
              <w:rPr>
                <w:rFonts w:ascii="Times New Roman"/>
                <w:spacing w:val="-1"/>
                <w:sz w:val="18"/>
              </w:rPr>
              <w:t>143,555,569.71</w:t>
            </w:r>
          </w:p>
        </w:tc>
      </w:tr>
      <w:tr>
        <w:trPr>
          <w:trHeight w:val="401"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按法定税率计算的所得税费用</w:t>
            </w: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48"/>
              <w:jc w:val="right"/>
              <w:rPr>
                <w:rFonts w:ascii="Times New Roman" w:hAnsi="Times New Roman" w:cs="Times New Roman" w:eastAsia="Times New Roman" w:hint="default"/>
                <w:sz w:val="18"/>
                <w:szCs w:val="18"/>
              </w:rPr>
            </w:pPr>
            <w:r>
              <w:rPr>
                <w:rFonts w:ascii="Times New Roman"/>
                <w:spacing w:val="-1"/>
                <w:sz w:val="18"/>
              </w:rPr>
              <w:t>55,332,357.78</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7"/>
              <w:jc w:val="right"/>
              <w:rPr>
                <w:rFonts w:ascii="Times New Roman" w:hAnsi="Times New Roman" w:cs="Times New Roman" w:eastAsia="Times New Roman" w:hint="default"/>
                <w:sz w:val="18"/>
                <w:szCs w:val="18"/>
              </w:rPr>
            </w:pPr>
            <w:r>
              <w:rPr>
                <w:rFonts w:ascii="Times New Roman"/>
                <w:spacing w:val="-1"/>
                <w:sz w:val="18"/>
              </w:rPr>
              <w:t>35,888,892.43</w:t>
            </w:r>
          </w:p>
        </w:tc>
      </w:tr>
      <w:tr>
        <w:trPr>
          <w:trHeight w:val="296"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组成部分适用优惠税率的影响</w:t>
            </w: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47"/>
              <w:jc w:val="right"/>
              <w:rPr>
                <w:rFonts w:ascii="Times New Roman" w:hAnsi="Times New Roman" w:cs="Times New Roman" w:eastAsia="Times New Roman" w:hint="default"/>
                <w:sz w:val="18"/>
                <w:szCs w:val="18"/>
              </w:rPr>
            </w:pPr>
            <w:r>
              <w:rPr>
                <w:rFonts w:ascii="Times New Roman"/>
                <w:spacing w:val="-1"/>
                <w:sz w:val="18"/>
              </w:rPr>
              <w:t>-18,091,815.64</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7"/>
              <w:jc w:val="right"/>
              <w:rPr>
                <w:rFonts w:ascii="Times New Roman" w:hAnsi="Times New Roman" w:cs="Times New Roman" w:eastAsia="Times New Roman" w:hint="default"/>
                <w:sz w:val="18"/>
                <w:szCs w:val="18"/>
              </w:rPr>
            </w:pPr>
            <w:r>
              <w:rPr>
                <w:rFonts w:ascii="Times New Roman"/>
                <w:spacing w:val="-1"/>
                <w:sz w:val="18"/>
              </w:rPr>
              <w:t>-3,873,567.69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460" w:bottom="1160" w:left="1440" w:right="1300"/>
        </w:sectPr>
      </w:pPr>
    </w:p>
    <w:p>
      <w:pPr>
        <w:spacing w:line="240" w:lineRule="auto" w:before="7"/>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4898"/>
        <w:gridCol w:w="1965"/>
        <w:gridCol w:w="1934"/>
      </w:tblGrid>
      <w:tr>
        <w:trPr>
          <w:trHeight w:val="275" w:hRule="exact"/>
        </w:trPr>
        <w:tc>
          <w:tcPr>
            <w:tcW w:w="4898" w:type="dxa"/>
            <w:tcBorders>
              <w:top w:val="nil" w:sz="6" w:space="0" w:color="auto"/>
              <w:left w:val="nil" w:sz="6" w:space="0" w:color="auto"/>
              <w:bottom w:val="single" w:sz="4" w:space="0" w:color="000000"/>
              <w:right w:val="nil" w:sz="6" w:space="0" w:color="auto"/>
            </w:tcBorders>
          </w:tcPr>
          <w:p>
            <w:pPr>
              <w:pStyle w:val="TableParagraph"/>
              <w:spacing w:line="180" w:lineRule="exact"/>
              <w:ind w:right="24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65" w:type="dxa"/>
            <w:tcBorders>
              <w:top w:val="nil" w:sz="6" w:space="0" w:color="auto"/>
              <w:left w:val="nil" w:sz="6" w:space="0" w:color="auto"/>
              <w:bottom w:val="single" w:sz="4" w:space="0" w:color="000000"/>
              <w:right w:val="nil" w:sz="6" w:space="0" w:color="auto"/>
            </w:tcBorders>
          </w:tcPr>
          <w:p>
            <w:pPr>
              <w:pStyle w:val="TableParagraph"/>
              <w:spacing w:line="180" w:lineRule="exact"/>
              <w:ind w:left="35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34" w:type="dxa"/>
            <w:tcBorders>
              <w:top w:val="nil" w:sz="6" w:space="0" w:color="auto"/>
              <w:left w:val="nil" w:sz="6" w:space="0" w:color="auto"/>
              <w:bottom w:val="single" w:sz="4" w:space="0" w:color="000000"/>
              <w:right w:val="nil" w:sz="6" w:space="0" w:color="auto"/>
            </w:tcBorders>
          </w:tcPr>
          <w:p>
            <w:pPr>
              <w:pStyle w:val="TableParagraph"/>
              <w:spacing w:line="180" w:lineRule="exact"/>
              <w:ind w:left="47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1" w:hRule="exact"/>
        </w:trPr>
        <w:tc>
          <w:tcPr>
            <w:tcW w:w="489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对以前期间当期所得税的调整</w:t>
            </w:r>
          </w:p>
        </w:tc>
        <w:tc>
          <w:tcPr>
            <w:tcW w:w="196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468"/>
              <w:jc w:val="right"/>
              <w:rPr>
                <w:rFonts w:ascii="Times New Roman" w:hAnsi="Times New Roman" w:cs="Times New Roman" w:eastAsia="Times New Roman" w:hint="default"/>
                <w:sz w:val="18"/>
                <w:szCs w:val="18"/>
              </w:rPr>
            </w:pPr>
            <w:r>
              <w:rPr>
                <w:rFonts w:ascii="Times New Roman"/>
                <w:spacing w:val="-1"/>
                <w:sz w:val="18"/>
              </w:rPr>
              <w:t>577,083.75</w:t>
            </w:r>
          </w:p>
        </w:tc>
        <w:tc>
          <w:tcPr>
            <w:tcW w:w="193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77"/>
              <w:jc w:val="right"/>
              <w:rPr>
                <w:rFonts w:ascii="Times New Roman" w:hAnsi="Times New Roman" w:cs="Times New Roman" w:eastAsia="Times New Roman" w:hint="default"/>
                <w:sz w:val="18"/>
                <w:szCs w:val="18"/>
              </w:rPr>
            </w:pPr>
            <w:r>
              <w:rPr>
                <w:rFonts w:ascii="Times New Roman"/>
                <w:spacing w:val="-1"/>
                <w:sz w:val="18"/>
              </w:rPr>
              <w:t>-2,590,755.15</w:t>
            </w:r>
          </w:p>
        </w:tc>
      </w:tr>
      <w:tr>
        <w:trPr>
          <w:trHeight w:val="400"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归属于合营企业和联营企业的损益</w:t>
            </w: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68"/>
              <w:jc w:val="right"/>
              <w:rPr>
                <w:rFonts w:ascii="Times New Roman" w:hAnsi="Times New Roman" w:cs="Times New Roman" w:eastAsia="Times New Roman" w:hint="default"/>
                <w:sz w:val="18"/>
                <w:szCs w:val="18"/>
              </w:rPr>
            </w:pPr>
            <w:r>
              <w:rPr>
                <w:rFonts w:ascii="Times New Roman"/>
                <w:spacing w:val="-1"/>
                <w:sz w:val="18"/>
              </w:rPr>
              <w:t>-31,212.21</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6"/>
              <w:jc w:val="right"/>
              <w:rPr>
                <w:rFonts w:ascii="Times New Roman" w:hAnsi="Times New Roman" w:cs="Times New Roman" w:eastAsia="Times New Roman" w:hint="default"/>
                <w:sz w:val="18"/>
                <w:szCs w:val="18"/>
              </w:rPr>
            </w:pPr>
            <w:r>
              <w:rPr>
                <w:rFonts w:ascii="Times New Roman"/>
                <w:spacing w:val="-1"/>
                <w:sz w:val="18"/>
              </w:rPr>
              <w:t>-228,275.48</w:t>
            </w:r>
          </w:p>
        </w:tc>
      </w:tr>
      <w:tr>
        <w:trPr>
          <w:trHeight w:val="400"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无须纳税的收入</w:t>
            </w: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68"/>
              <w:jc w:val="right"/>
              <w:rPr>
                <w:rFonts w:ascii="Times New Roman" w:hAnsi="Times New Roman" w:cs="Times New Roman" w:eastAsia="Times New Roman" w:hint="default"/>
                <w:sz w:val="18"/>
                <w:szCs w:val="18"/>
              </w:rPr>
            </w:pPr>
            <w:r>
              <w:rPr>
                <w:rFonts w:ascii="Times New Roman"/>
                <w:spacing w:val="-1"/>
                <w:sz w:val="18"/>
              </w:rPr>
              <w:t>-58,038.24</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7"/>
              <w:jc w:val="right"/>
              <w:rPr>
                <w:rFonts w:ascii="Times New Roman" w:hAnsi="Times New Roman" w:cs="Times New Roman" w:eastAsia="Times New Roman" w:hint="default"/>
                <w:sz w:val="18"/>
                <w:szCs w:val="18"/>
              </w:rPr>
            </w:pPr>
            <w:r>
              <w:rPr>
                <w:rFonts w:ascii="Times New Roman"/>
                <w:spacing w:val="-1"/>
                <w:sz w:val="18"/>
              </w:rPr>
              <w:t>-8,658,874.79</w:t>
            </w:r>
          </w:p>
        </w:tc>
      </w:tr>
      <w:tr>
        <w:trPr>
          <w:trHeight w:val="401"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不可抵扣的费用</w:t>
            </w: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71"/>
              <w:jc w:val="right"/>
              <w:rPr>
                <w:rFonts w:ascii="Times New Roman" w:hAnsi="Times New Roman" w:cs="Times New Roman" w:eastAsia="Times New Roman" w:hint="default"/>
                <w:sz w:val="18"/>
                <w:szCs w:val="18"/>
              </w:rPr>
            </w:pPr>
            <w:r>
              <w:rPr>
                <w:rFonts w:ascii="Times New Roman"/>
                <w:spacing w:val="-1"/>
                <w:sz w:val="18"/>
              </w:rPr>
              <w:t>2,372,983.13</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6"/>
              <w:jc w:val="right"/>
              <w:rPr>
                <w:rFonts w:ascii="Times New Roman" w:hAnsi="Times New Roman" w:cs="Times New Roman" w:eastAsia="Times New Roman" w:hint="default"/>
                <w:sz w:val="18"/>
                <w:szCs w:val="18"/>
              </w:rPr>
            </w:pPr>
            <w:r>
              <w:rPr>
                <w:rFonts w:ascii="Times New Roman"/>
                <w:spacing w:val="-1"/>
                <w:sz w:val="18"/>
              </w:rPr>
              <w:t>1,841,654.26</w:t>
            </w:r>
          </w:p>
        </w:tc>
      </w:tr>
      <w:tr>
        <w:trPr>
          <w:trHeight w:val="395"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1965"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
        </w:tc>
      </w:tr>
      <w:tr>
        <w:trPr>
          <w:trHeight w:val="406"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利用以前年度可抵扣亏损</w:t>
            </w:r>
          </w:p>
        </w:tc>
        <w:tc>
          <w:tcPr>
            <w:tcW w:w="1965"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76"/>
              <w:jc w:val="right"/>
              <w:rPr>
                <w:rFonts w:ascii="Times New Roman" w:hAnsi="Times New Roman" w:cs="Times New Roman" w:eastAsia="Times New Roman" w:hint="default"/>
                <w:sz w:val="18"/>
                <w:szCs w:val="18"/>
              </w:rPr>
            </w:pPr>
            <w:r>
              <w:rPr>
                <w:rFonts w:ascii="Times New Roman"/>
                <w:spacing w:val="-1"/>
                <w:sz w:val="18"/>
              </w:rPr>
              <w:t>1,567,689.08</w:t>
            </w:r>
          </w:p>
        </w:tc>
      </w:tr>
      <w:tr>
        <w:trPr>
          <w:trHeight w:val="755"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364" w:lineRule="auto" w:before="51"/>
              <w:ind w:left="107" w:right="354"/>
              <w:jc w:val="left"/>
              <w:rPr>
                <w:rFonts w:ascii="宋体" w:hAnsi="宋体" w:cs="宋体" w:eastAsia="宋体" w:hint="default"/>
                <w:sz w:val="18"/>
                <w:szCs w:val="18"/>
              </w:rPr>
            </w:pPr>
            <w:r>
              <w:rPr>
                <w:rFonts w:ascii="宋体" w:hAnsi="宋体" w:cs="宋体" w:eastAsia="宋体" w:hint="default"/>
                <w:spacing w:val="3"/>
                <w:sz w:val="18"/>
                <w:szCs w:val="18"/>
              </w:rPr>
              <w:t>以前年度已确认递延所得税的可抵扣暂时性差异和可抵</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扣亏损的影响</w:t>
            </w: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468"/>
              <w:jc w:val="right"/>
              <w:rPr>
                <w:rFonts w:ascii="Times New Roman" w:hAnsi="Times New Roman" w:cs="Times New Roman" w:eastAsia="Times New Roman" w:hint="default"/>
                <w:sz w:val="18"/>
                <w:szCs w:val="18"/>
              </w:rPr>
            </w:pPr>
            <w:r>
              <w:rPr>
                <w:rFonts w:ascii="Times New Roman"/>
                <w:spacing w:val="-1"/>
                <w:sz w:val="18"/>
              </w:rPr>
              <w:t>49,006.04</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76"/>
              <w:jc w:val="right"/>
              <w:rPr>
                <w:rFonts w:ascii="Times New Roman" w:hAnsi="Times New Roman" w:cs="Times New Roman" w:eastAsia="Times New Roman" w:hint="default"/>
                <w:sz w:val="18"/>
                <w:szCs w:val="18"/>
              </w:rPr>
            </w:pPr>
            <w:r>
              <w:rPr>
                <w:rFonts w:ascii="Times New Roman"/>
                <w:spacing w:val="-1"/>
                <w:sz w:val="18"/>
              </w:rPr>
              <w:t>58,057.48</w:t>
            </w:r>
          </w:p>
        </w:tc>
      </w:tr>
      <w:tr>
        <w:trPr>
          <w:trHeight w:val="405"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未确认的可抵扣暂时性差异和可抵扣亏损的影响</w:t>
            </w: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70"/>
              <w:jc w:val="right"/>
              <w:rPr>
                <w:rFonts w:ascii="Times New Roman" w:hAnsi="Times New Roman" w:cs="Times New Roman" w:eastAsia="Times New Roman" w:hint="default"/>
                <w:sz w:val="18"/>
                <w:szCs w:val="18"/>
              </w:rPr>
            </w:pPr>
            <w:r>
              <w:rPr>
                <w:rFonts w:ascii="Times New Roman"/>
                <w:spacing w:val="-1"/>
                <w:sz w:val="18"/>
              </w:rPr>
              <w:t>4,181,707.81</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76"/>
              <w:jc w:val="right"/>
              <w:rPr>
                <w:rFonts w:ascii="Times New Roman" w:hAnsi="Times New Roman" w:cs="Times New Roman" w:eastAsia="Times New Roman" w:hint="default"/>
                <w:sz w:val="18"/>
                <w:szCs w:val="18"/>
              </w:rPr>
            </w:pPr>
            <w:r>
              <w:rPr>
                <w:rFonts w:ascii="Times New Roman"/>
                <w:spacing w:val="-1"/>
                <w:sz w:val="18"/>
              </w:rPr>
              <w:t>511,871.47</w:t>
            </w:r>
          </w:p>
        </w:tc>
      </w:tr>
      <w:tr>
        <w:trPr>
          <w:trHeight w:val="395"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65"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
        </w:tc>
      </w:tr>
      <w:tr>
        <w:trPr>
          <w:trHeight w:val="300"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所得税费用合计</w:t>
            </w: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6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z w:val="18"/>
                <w:u w:val="thick" w:color="000000"/>
              </w:rPr>
              <w:t>44,332,072.42</w:t>
            </w:r>
            <w:r>
              <w:rPr>
                <w:rFonts w:ascii="Times New Roman"/>
                <w:sz w:val="18"/>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7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24,516,691.61</w:t>
            </w:r>
            <w:r>
              <w:rPr>
                <w:rFonts w:ascii="Times New Roman"/>
                <w:spacing w:val="-1"/>
                <w:sz w:val="18"/>
              </w:rPr>
            </w:r>
          </w:p>
        </w:tc>
      </w:tr>
    </w:tbl>
    <w:p>
      <w:pPr>
        <w:spacing w:line="240" w:lineRule="auto" w:before="8"/>
        <w:rPr>
          <w:rFonts w:ascii="宋体" w:hAnsi="宋体" w:cs="宋体" w:eastAsia="宋体" w:hint="default"/>
          <w:sz w:val="22"/>
          <w:szCs w:val="22"/>
        </w:rPr>
      </w:pPr>
    </w:p>
    <w:p>
      <w:pPr>
        <w:pStyle w:val="BodyText"/>
        <w:spacing w:line="240" w:lineRule="auto" w:before="44"/>
        <w:ind w:left="720" w:right="0"/>
        <w:jc w:val="left"/>
      </w:pPr>
      <w:r>
        <w:rPr>
          <w:rFonts w:ascii="Times New Roman" w:hAnsi="Times New Roman" w:cs="Times New Roman" w:eastAsia="Times New Roman" w:hint="default"/>
        </w:rPr>
        <w:t>38. </w:t>
      </w:r>
      <w:r>
        <w:rPr>
          <w:rFonts w:ascii="Times New Roman" w:hAnsi="Times New Roman" w:cs="Times New Roman" w:eastAsia="Times New Roman" w:hint="default"/>
          <w:spacing w:val="1"/>
        </w:rPr>
        <w:t> </w:t>
      </w:r>
      <w:r>
        <w:rPr/>
        <w:t>现金流量表项目注释</w:t>
      </w:r>
    </w:p>
    <w:p>
      <w:pPr>
        <w:spacing w:line="240" w:lineRule="auto" w:before="7"/>
        <w:rPr>
          <w:rFonts w:ascii="宋体" w:hAnsi="宋体" w:cs="宋体" w:eastAsia="宋体" w:hint="default"/>
          <w:sz w:val="18"/>
          <w:szCs w:val="18"/>
        </w:rPr>
      </w:pPr>
    </w:p>
    <w:p>
      <w:pPr>
        <w:pStyle w:val="BodyText"/>
        <w:spacing w:line="240" w:lineRule="auto"/>
        <w:ind w:left="720" w:right="0"/>
        <w:jc w:val="left"/>
      </w:pPr>
      <w:r>
        <w:rPr/>
        <w:t>（</w:t>
      </w:r>
      <w:r>
        <w:rPr>
          <w:rFonts w:ascii="Times New Roman" w:hAnsi="Times New Roman" w:cs="Times New Roman" w:eastAsia="Times New Roman" w:hint="default"/>
        </w:rPr>
        <w:t>1</w:t>
      </w:r>
      <w:r>
        <w:rPr/>
        <w:t>）收到的其他与经营活动有关的现金</w:t>
      </w:r>
    </w:p>
    <w:p>
      <w:pPr>
        <w:spacing w:line="240" w:lineRule="auto" w:before="6"/>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367"/>
        <w:gridCol w:w="3009"/>
        <w:gridCol w:w="2421"/>
      </w:tblGrid>
      <w:tr>
        <w:trPr>
          <w:trHeight w:val="275" w:hRule="exact"/>
        </w:trPr>
        <w:tc>
          <w:tcPr>
            <w:tcW w:w="3367" w:type="dxa"/>
            <w:tcBorders>
              <w:top w:val="nil" w:sz="6" w:space="0" w:color="auto"/>
              <w:left w:val="nil" w:sz="6" w:space="0" w:color="auto"/>
              <w:bottom w:val="single" w:sz="4" w:space="0" w:color="000000"/>
              <w:right w:val="nil" w:sz="6" w:space="0" w:color="auto"/>
            </w:tcBorders>
          </w:tcPr>
          <w:p>
            <w:pPr>
              <w:pStyle w:val="TableParagraph"/>
              <w:spacing w:line="180" w:lineRule="exact"/>
              <w:ind w:right="128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09" w:type="dxa"/>
            <w:tcBorders>
              <w:top w:val="nil" w:sz="6" w:space="0" w:color="auto"/>
              <w:left w:val="nil" w:sz="6" w:space="0" w:color="auto"/>
              <w:bottom w:val="single" w:sz="4" w:space="0" w:color="000000"/>
              <w:right w:val="nil" w:sz="6" w:space="0" w:color="auto"/>
            </w:tcBorders>
          </w:tcPr>
          <w:p>
            <w:pPr>
              <w:pStyle w:val="TableParagraph"/>
              <w:spacing w:line="180" w:lineRule="exact"/>
              <w:ind w:left="121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421" w:type="dxa"/>
            <w:tcBorders>
              <w:top w:val="nil" w:sz="6" w:space="0" w:color="auto"/>
              <w:left w:val="nil" w:sz="6" w:space="0" w:color="auto"/>
              <w:bottom w:val="single" w:sz="4" w:space="0" w:color="000000"/>
              <w:right w:val="nil" w:sz="6" w:space="0" w:color="auto"/>
            </w:tcBorders>
          </w:tcPr>
          <w:p>
            <w:pPr>
              <w:pStyle w:val="TableParagraph"/>
              <w:spacing w:line="180" w:lineRule="exact"/>
              <w:ind w:left="71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1" w:hRule="exact"/>
        </w:trPr>
        <w:tc>
          <w:tcPr>
            <w:tcW w:w="336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217"/>
              <w:jc w:val="right"/>
              <w:rPr>
                <w:rFonts w:ascii="宋体" w:hAnsi="宋体" w:cs="宋体" w:eastAsia="宋体" w:hint="default"/>
                <w:sz w:val="18"/>
                <w:szCs w:val="18"/>
              </w:rPr>
            </w:pPr>
            <w:r>
              <w:rPr>
                <w:rFonts w:ascii="宋体" w:hAnsi="宋体" w:cs="宋体" w:eastAsia="宋体" w:hint="default"/>
                <w:spacing w:val="-1"/>
                <w:sz w:val="18"/>
                <w:szCs w:val="18"/>
              </w:rPr>
              <w:t>其中：财务费用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利息收入</w:t>
            </w:r>
          </w:p>
        </w:tc>
        <w:tc>
          <w:tcPr>
            <w:tcW w:w="300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714"/>
              <w:jc w:val="right"/>
              <w:rPr>
                <w:rFonts w:ascii="Times New Roman" w:hAnsi="Times New Roman" w:cs="Times New Roman" w:eastAsia="Times New Roman" w:hint="default"/>
                <w:sz w:val="18"/>
                <w:szCs w:val="18"/>
              </w:rPr>
            </w:pPr>
            <w:r>
              <w:rPr>
                <w:rFonts w:ascii="Times New Roman"/>
                <w:spacing w:val="-1"/>
                <w:sz w:val="18"/>
              </w:rPr>
              <w:t>11,482,958.47</w:t>
            </w:r>
          </w:p>
        </w:tc>
        <w:tc>
          <w:tcPr>
            <w:tcW w:w="242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629"/>
              <w:jc w:val="right"/>
              <w:rPr>
                <w:rFonts w:ascii="Times New Roman" w:hAnsi="Times New Roman" w:cs="Times New Roman" w:eastAsia="Times New Roman" w:hint="default"/>
                <w:sz w:val="18"/>
                <w:szCs w:val="18"/>
              </w:rPr>
            </w:pPr>
            <w:r>
              <w:rPr>
                <w:rFonts w:ascii="Times New Roman"/>
                <w:spacing w:val="-1"/>
                <w:sz w:val="18"/>
              </w:rPr>
              <w:t>7,606,871.33</w:t>
            </w:r>
          </w:p>
        </w:tc>
      </w:tr>
      <w:tr>
        <w:trPr>
          <w:trHeight w:val="400" w:hRule="exact"/>
        </w:trPr>
        <w:tc>
          <w:tcPr>
            <w:tcW w:w="336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47"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14"/>
              <w:jc w:val="right"/>
              <w:rPr>
                <w:rFonts w:ascii="Times New Roman" w:hAnsi="Times New Roman" w:cs="Times New Roman" w:eastAsia="Times New Roman" w:hint="default"/>
                <w:sz w:val="18"/>
                <w:szCs w:val="18"/>
              </w:rPr>
            </w:pPr>
            <w:r>
              <w:rPr>
                <w:rFonts w:ascii="Times New Roman"/>
                <w:spacing w:val="-1"/>
                <w:sz w:val="18"/>
              </w:rPr>
              <w:t>1,172,233.34</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29"/>
              <w:jc w:val="right"/>
              <w:rPr>
                <w:rFonts w:ascii="Times New Roman" w:hAnsi="Times New Roman" w:cs="Times New Roman" w:eastAsia="Times New Roman" w:hint="default"/>
                <w:sz w:val="18"/>
                <w:szCs w:val="18"/>
              </w:rPr>
            </w:pPr>
            <w:r>
              <w:rPr>
                <w:rFonts w:ascii="Times New Roman"/>
                <w:spacing w:val="-1"/>
                <w:sz w:val="18"/>
              </w:rPr>
              <w:t>5,250,000.00</w:t>
            </w:r>
          </w:p>
        </w:tc>
      </w:tr>
      <w:tr>
        <w:trPr>
          <w:trHeight w:val="400" w:hRule="exact"/>
        </w:trPr>
        <w:tc>
          <w:tcPr>
            <w:tcW w:w="336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59" w:right="0"/>
              <w:jc w:val="left"/>
              <w:rPr>
                <w:rFonts w:ascii="宋体" w:hAnsi="宋体" w:cs="宋体" w:eastAsia="宋体" w:hint="default"/>
                <w:sz w:val="18"/>
                <w:szCs w:val="18"/>
              </w:rPr>
            </w:pPr>
            <w:r>
              <w:rPr>
                <w:rFonts w:ascii="宋体" w:hAnsi="宋体" w:cs="宋体" w:eastAsia="宋体" w:hint="default"/>
                <w:sz w:val="18"/>
                <w:szCs w:val="18"/>
              </w:rPr>
              <w:t>收到往来款项</w:t>
            </w:r>
          </w:p>
        </w:tc>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14"/>
              <w:jc w:val="right"/>
              <w:rPr>
                <w:rFonts w:ascii="Times New Roman" w:hAnsi="Times New Roman" w:cs="Times New Roman" w:eastAsia="Times New Roman" w:hint="default"/>
                <w:sz w:val="18"/>
                <w:szCs w:val="18"/>
              </w:rPr>
            </w:pPr>
            <w:r>
              <w:rPr>
                <w:rFonts w:ascii="Times New Roman"/>
                <w:spacing w:val="-1"/>
                <w:sz w:val="18"/>
              </w:rPr>
              <w:t>1,002,176.87</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29"/>
              <w:jc w:val="right"/>
              <w:rPr>
                <w:rFonts w:ascii="Times New Roman" w:hAnsi="Times New Roman" w:cs="Times New Roman" w:eastAsia="Times New Roman" w:hint="default"/>
                <w:sz w:val="18"/>
                <w:szCs w:val="18"/>
              </w:rPr>
            </w:pPr>
            <w:r>
              <w:rPr>
                <w:rFonts w:ascii="Times New Roman"/>
                <w:spacing w:val="-1"/>
                <w:sz w:val="18"/>
              </w:rPr>
              <w:t>4,168,282.96</w:t>
            </w:r>
          </w:p>
        </w:tc>
      </w:tr>
      <w:tr>
        <w:trPr>
          <w:trHeight w:val="401" w:hRule="exact"/>
        </w:trPr>
        <w:tc>
          <w:tcPr>
            <w:tcW w:w="336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收到其他</w:t>
            </w:r>
          </w:p>
        </w:tc>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14"/>
              <w:jc w:val="right"/>
              <w:rPr>
                <w:rFonts w:ascii="Times New Roman" w:hAnsi="Times New Roman" w:cs="Times New Roman" w:eastAsia="Times New Roman" w:hint="default"/>
                <w:sz w:val="18"/>
                <w:szCs w:val="18"/>
              </w:rPr>
            </w:pPr>
            <w:r>
              <w:rPr>
                <w:rFonts w:ascii="Times New Roman"/>
                <w:spacing w:val="-1"/>
                <w:sz w:val="18"/>
              </w:rPr>
              <w:t>30,137.18</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28"/>
              <w:jc w:val="right"/>
              <w:rPr>
                <w:rFonts w:ascii="Times New Roman" w:hAnsi="Times New Roman" w:cs="Times New Roman" w:eastAsia="Times New Roman" w:hint="default"/>
                <w:sz w:val="18"/>
                <w:szCs w:val="18"/>
              </w:rPr>
            </w:pPr>
            <w:r>
              <w:rPr>
                <w:rFonts w:ascii="Times New Roman"/>
                <w:w w:val="95"/>
                <w:sz w:val="18"/>
              </w:rPr>
              <w:t>2,380.80</w:t>
            </w:r>
          </w:p>
        </w:tc>
      </w:tr>
      <w:tr>
        <w:trPr>
          <w:trHeight w:val="295" w:hRule="exact"/>
        </w:trPr>
        <w:tc>
          <w:tcPr>
            <w:tcW w:w="336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4"/>
              <w:jc w:val="right"/>
              <w:rPr>
                <w:rFonts w:ascii="宋体" w:hAnsi="宋体" w:cs="宋体" w:eastAsia="宋体" w:hint="default"/>
                <w:sz w:val="18"/>
                <w:szCs w:val="18"/>
              </w:rPr>
            </w:pPr>
            <w:r>
              <w:rPr>
                <w:rFonts w:ascii="宋体" w:hAnsi="宋体" w:cs="宋体" w:eastAsia="宋体" w:hint="default"/>
                <w:sz w:val="18"/>
                <w:szCs w:val="18"/>
              </w:rPr>
              <w:t>合计</w:t>
            </w:r>
          </w:p>
        </w:tc>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13,687,505.86</w:t>
            </w:r>
            <w:r>
              <w:rPr>
                <w:rFonts w:ascii="Times New Roman"/>
                <w:spacing w:val="-1"/>
                <w:sz w:val="18"/>
              </w:rPr>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2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17,027,535.09</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720" w:right="0"/>
        <w:jc w:val="left"/>
      </w:pPr>
      <w:r>
        <w:rPr/>
        <w:t>（</w:t>
      </w:r>
      <w:r>
        <w:rPr>
          <w:rFonts w:ascii="Times New Roman" w:hAnsi="Times New Roman" w:cs="Times New Roman" w:eastAsia="Times New Roman" w:hint="default"/>
        </w:rPr>
        <w:t>2</w:t>
      </w:r>
      <w:r>
        <w:rPr/>
        <w:t>）支付的其他与经营活动有关的现金</w:t>
      </w: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003"/>
        <w:gridCol w:w="3050"/>
        <w:gridCol w:w="2745"/>
      </w:tblGrid>
      <w:tr>
        <w:trPr>
          <w:trHeight w:val="275" w:hRule="exact"/>
        </w:trPr>
        <w:tc>
          <w:tcPr>
            <w:tcW w:w="3003" w:type="dxa"/>
            <w:tcBorders>
              <w:top w:val="nil" w:sz="6" w:space="0" w:color="auto"/>
              <w:left w:val="nil" w:sz="6" w:space="0" w:color="auto"/>
              <w:bottom w:val="single" w:sz="4" w:space="0" w:color="000000"/>
              <w:right w:val="nil" w:sz="6" w:space="0" w:color="auto"/>
            </w:tcBorders>
          </w:tcPr>
          <w:p>
            <w:pPr>
              <w:pStyle w:val="TableParagraph"/>
              <w:spacing w:line="180" w:lineRule="exact"/>
              <w:ind w:left="13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50" w:type="dxa"/>
            <w:tcBorders>
              <w:top w:val="nil" w:sz="6" w:space="0" w:color="auto"/>
              <w:left w:val="nil" w:sz="6" w:space="0" w:color="auto"/>
              <w:bottom w:val="single" w:sz="4" w:space="0" w:color="000000"/>
              <w:right w:val="nil" w:sz="6" w:space="0" w:color="auto"/>
            </w:tcBorders>
          </w:tcPr>
          <w:p>
            <w:pPr>
              <w:pStyle w:val="TableParagraph"/>
              <w:spacing w:line="180" w:lineRule="exact"/>
              <w:ind w:left="41"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45" w:type="dxa"/>
            <w:tcBorders>
              <w:top w:val="nil" w:sz="6" w:space="0" w:color="auto"/>
              <w:left w:val="nil" w:sz="6" w:space="0" w:color="auto"/>
              <w:bottom w:val="single" w:sz="4" w:space="0" w:color="000000"/>
              <w:right w:val="nil" w:sz="6" w:space="0" w:color="auto"/>
            </w:tcBorders>
          </w:tcPr>
          <w:p>
            <w:pPr>
              <w:pStyle w:val="TableParagraph"/>
              <w:spacing w:line="180" w:lineRule="exact"/>
              <w:ind w:left="87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1" w:hRule="exact"/>
        </w:trPr>
        <w:tc>
          <w:tcPr>
            <w:tcW w:w="300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92"/>
              <w:jc w:val="right"/>
              <w:rPr>
                <w:rFonts w:ascii="宋体" w:hAnsi="宋体" w:cs="宋体" w:eastAsia="宋体" w:hint="default"/>
                <w:sz w:val="18"/>
                <w:szCs w:val="18"/>
              </w:rPr>
            </w:pPr>
            <w:r>
              <w:rPr>
                <w:rFonts w:ascii="宋体" w:hAnsi="宋体" w:cs="宋体" w:eastAsia="宋体" w:hint="default"/>
                <w:sz w:val="18"/>
                <w:szCs w:val="18"/>
              </w:rPr>
              <w:t>其中：支付的工会经费</w:t>
            </w:r>
          </w:p>
        </w:tc>
        <w:tc>
          <w:tcPr>
            <w:tcW w:w="305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875"/>
              <w:jc w:val="right"/>
              <w:rPr>
                <w:rFonts w:ascii="Times New Roman" w:hAnsi="Times New Roman" w:cs="Times New Roman" w:eastAsia="Times New Roman" w:hint="default"/>
                <w:sz w:val="18"/>
                <w:szCs w:val="18"/>
              </w:rPr>
            </w:pPr>
            <w:r>
              <w:rPr>
                <w:rFonts w:ascii="Times New Roman"/>
                <w:spacing w:val="-1"/>
                <w:sz w:val="18"/>
              </w:rPr>
              <w:t>272,915.75</w:t>
            </w:r>
          </w:p>
        </w:tc>
        <w:tc>
          <w:tcPr>
            <w:tcW w:w="274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787"/>
              <w:jc w:val="right"/>
              <w:rPr>
                <w:rFonts w:ascii="Times New Roman" w:hAnsi="Times New Roman" w:cs="Times New Roman" w:eastAsia="Times New Roman" w:hint="default"/>
                <w:sz w:val="18"/>
                <w:szCs w:val="18"/>
              </w:rPr>
            </w:pPr>
            <w:r>
              <w:rPr>
                <w:rFonts w:ascii="Times New Roman"/>
                <w:spacing w:val="-1"/>
                <w:sz w:val="18"/>
              </w:rPr>
              <w:t>306,821.95</w:t>
            </w:r>
          </w:p>
        </w:tc>
      </w:tr>
      <w:tr>
        <w:trPr>
          <w:trHeight w:val="400" w:hRule="exact"/>
        </w:trPr>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4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0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75"/>
              <w:jc w:val="right"/>
              <w:rPr>
                <w:rFonts w:ascii="Times New Roman" w:hAnsi="Times New Roman" w:cs="Times New Roman" w:eastAsia="Times New Roman" w:hint="default"/>
                <w:sz w:val="18"/>
                <w:szCs w:val="18"/>
              </w:rPr>
            </w:pPr>
            <w:r>
              <w:rPr>
                <w:rFonts w:ascii="Times New Roman"/>
                <w:spacing w:val="-1"/>
                <w:sz w:val="18"/>
              </w:rPr>
              <w:t>24,310,211.46</w:t>
            </w:r>
          </w:p>
        </w:tc>
        <w:tc>
          <w:tcPr>
            <w:tcW w:w="274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88"/>
              <w:jc w:val="right"/>
              <w:rPr>
                <w:rFonts w:ascii="Times New Roman" w:hAnsi="Times New Roman" w:cs="Times New Roman" w:eastAsia="Times New Roman" w:hint="default"/>
                <w:sz w:val="18"/>
                <w:szCs w:val="18"/>
              </w:rPr>
            </w:pPr>
            <w:r>
              <w:rPr>
                <w:rFonts w:ascii="Times New Roman"/>
                <w:spacing w:val="-1"/>
                <w:sz w:val="18"/>
              </w:rPr>
              <w:t>26,210,257.19</w:t>
            </w:r>
          </w:p>
        </w:tc>
      </w:tr>
      <w:tr>
        <w:trPr>
          <w:trHeight w:val="400" w:hRule="exact"/>
        </w:trPr>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4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0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73"/>
              <w:jc w:val="right"/>
              <w:rPr>
                <w:rFonts w:ascii="Times New Roman" w:hAnsi="Times New Roman" w:cs="Times New Roman" w:eastAsia="Times New Roman" w:hint="default"/>
                <w:sz w:val="18"/>
                <w:szCs w:val="18"/>
              </w:rPr>
            </w:pPr>
            <w:r>
              <w:rPr>
                <w:rFonts w:ascii="Times New Roman"/>
                <w:spacing w:val="-1"/>
                <w:sz w:val="18"/>
              </w:rPr>
              <w:t>21,636,378.62</w:t>
            </w:r>
          </w:p>
        </w:tc>
        <w:tc>
          <w:tcPr>
            <w:tcW w:w="274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88"/>
              <w:jc w:val="right"/>
              <w:rPr>
                <w:rFonts w:ascii="Times New Roman" w:hAnsi="Times New Roman" w:cs="Times New Roman" w:eastAsia="Times New Roman" w:hint="default"/>
                <w:sz w:val="18"/>
                <w:szCs w:val="18"/>
              </w:rPr>
            </w:pPr>
            <w:r>
              <w:rPr>
                <w:rFonts w:ascii="Times New Roman"/>
                <w:spacing w:val="-1"/>
                <w:sz w:val="18"/>
              </w:rPr>
              <w:t>14,778,555.53</w:t>
            </w:r>
          </w:p>
        </w:tc>
      </w:tr>
      <w:tr>
        <w:trPr>
          <w:trHeight w:val="401" w:hRule="exact"/>
        </w:trPr>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4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0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75"/>
              <w:jc w:val="right"/>
              <w:rPr>
                <w:rFonts w:ascii="Times New Roman" w:hAnsi="Times New Roman" w:cs="Times New Roman" w:eastAsia="Times New Roman" w:hint="default"/>
                <w:sz w:val="18"/>
                <w:szCs w:val="18"/>
              </w:rPr>
            </w:pPr>
            <w:r>
              <w:rPr>
                <w:rFonts w:ascii="Times New Roman"/>
                <w:spacing w:val="-1"/>
                <w:sz w:val="18"/>
              </w:rPr>
              <w:t>1,524,539.19</w:t>
            </w:r>
          </w:p>
        </w:tc>
        <w:tc>
          <w:tcPr>
            <w:tcW w:w="274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87"/>
              <w:jc w:val="right"/>
              <w:rPr>
                <w:rFonts w:ascii="Times New Roman" w:hAnsi="Times New Roman" w:cs="Times New Roman" w:eastAsia="Times New Roman" w:hint="default"/>
                <w:sz w:val="18"/>
                <w:szCs w:val="18"/>
              </w:rPr>
            </w:pPr>
            <w:r>
              <w:rPr>
                <w:rFonts w:ascii="Times New Roman"/>
                <w:spacing w:val="-1"/>
                <w:sz w:val="18"/>
              </w:rPr>
              <w:t>1,343,883.67</w:t>
            </w:r>
          </w:p>
        </w:tc>
      </w:tr>
      <w:tr>
        <w:trPr>
          <w:trHeight w:val="400" w:hRule="exact"/>
        </w:trPr>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47"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0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72"/>
              <w:jc w:val="right"/>
              <w:rPr>
                <w:rFonts w:ascii="Times New Roman" w:hAnsi="Times New Roman" w:cs="Times New Roman" w:eastAsia="Times New Roman" w:hint="default"/>
                <w:sz w:val="18"/>
                <w:szCs w:val="18"/>
              </w:rPr>
            </w:pPr>
            <w:r>
              <w:rPr>
                <w:rFonts w:ascii="Times New Roman"/>
                <w:spacing w:val="-1"/>
                <w:sz w:val="18"/>
              </w:rPr>
              <w:t>80,039.71</w:t>
            </w:r>
          </w:p>
        </w:tc>
        <w:tc>
          <w:tcPr>
            <w:tcW w:w="274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87"/>
              <w:jc w:val="right"/>
              <w:rPr>
                <w:rFonts w:ascii="Times New Roman" w:hAnsi="Times New Roman" w:cs="Times New Roman" w:eastAsia="Times New Roman" w:hint="default"/>
                <w:sz w:val="18"/>
                <w:szCs w:val="18"/>
              </w:rPr>
            </w:pPr>
            <w:r>
              <w:rPr>
                <w:rFonts w:ascii="Times New Roman"/>
                <w:spacing w:val="-1"/>
                <w:sz w:val="18"/>
              </w:rPr>
              <w:t>258,471.93</w:t>
            </w:r>
          </w:p>
        </w:tc>
      </w:tr>
      <w:tr>
        <w:trPr>
          <w:trHeight w:val="400" w:hRule="exact"/>
        </w:trPr>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92"/>
              <w:jc w:val="right"/>
              <w:rPr>
                <w:rFonts w:ascii="宋体" w:hAnsi="宋体" w:cs="宋体" w:eastAsia="宋体" w:hint="default"/>
                <w:sz w:val="18"/>
                <w:szCs w:val="18"/>
              </w:rPr>
            </w:pPr>
            <w:r>
              <w:rPr>
                <w:rFonts w:ascii="宋体" w:hAnsi="宋体" w:cs="宋体" w:eastAsia="宋体" w:hint="default"/>
                <w:sz w:val="18"/>
                <w:szCs w:val="18"/>
              </w:rPr>
              <w:t>支付的往来款项</w:t>
            </w:r>
          </w:p>
        </w:tc>
        <w:tc>
          <w:tcPr>
            <w:tcW w:w="30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75"/>
              <w:jc w:val="right"/>
              <w:rPr>
                <w:rFonts w:ascii="Times New Roman" w:hAnsi="Times New Roman" w:cs="Times New Roman" w:eastAsia="Times New Roman" w:hint="default"/>
                <w:sz w:val="18"/>
                <w:szCs w:val="18"/>
              </w:rPr>
            </w:pPr>
            <w:r>
              <w:rPr>
                <w:rFonts w:ascii="Times New Roman"/>
                <w:spacing w:val="-1"/>
                <w:sz w:val="18"/>
              </w:rPr>
              <w:t>418,924.58</w:t>
            </w:r>
          </w:p>
        </w:tc>
        <w:tc>
          <w:tcPr>
            <w:tcW w:w="274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87"/>
              <w:jc w:val="right"/>
              <w:rPr>
                <w:rFonts w:ascii="Times New Roman" w:hAnsi="Times New Roman" w:cs="Times New Roman" w:eastAsia="Times New Roman" w:hint="default"/>
                <w:sz w:val="18"/>
                <w:szCs w:val="18"/>
              </w:rPr>
            </w:pPr>
            <w:r>
              <w:rPr>
                <w:rFonts w:ascii="Times New Roman"/>
                <w:spacing w:val="-1"/>
                <w:sz w:val="18"/>
              </w:rPr>
              <w:t>2,176,556.02</w:t>
            </w:r>
          </w:p>
        </w:tc>
      </w:tr>
      <w:tr>
        <w:trPr>
          <w:trHeight w:val="295" w:hRule="exact"/>
        </w:trPr>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48,243,009.31</w:t>
            </w:r>
            <w:r>
              <w:rPr>
                <w:rFonts w:ascii="Times New Roman"/>
                <w:spacing w:val="-1"/>
                <w:sz w:val="18"/>
              </w:rPr>
            </w:r>
          </w:p>
        </w:tc>
        <w:tc>
          <w:tcPr>
            <w:tcW w:w="274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8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45,074,546.29</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720" w:right="0"/>
        <w:jc w:val="left"/>
      </w:pPr>
      <w:r>
        <w:rPr>
          <w:rFonts w:ascii="Times New Roman" w:hAnsi="Times New Roman" w:cs="Times New Roman" w:eastAsia="Times New Roman" w:hint="default"/>
        </w:rPr>
        <w:t>39. </w:t>
      </w:r>
      <w:r>
        <w:rPr>
          <w:rFonts w:ascii="Times New Roman" w:hAnsi="Times New Roman" w:cs="Times New Roman" w:eastAsia="Times New Roman" w:hint="default"/>
          <w:spacing w:val="1"/>
        </w:rPr>
        <w:t> </w:t>
      </w:r>
      <w:r>
        <w:rPr/>
        <w:t>现金流量表补充资料</w:t>
      </w:r>
    </w:p>
    <w:p>
      <w:pPr>
        <w:spacing w:line="240" w:lineRule="auto" w:before="6"/>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1</w:t>
      </w:r>
      <w:r>
        <w:rPr/>
        <w:t>）净利润调节为经营活动现金流量</w:t>
      </w:r>
    </w:p>
    <w:p>
      <w:pPr>
        <w:spacing w:after="0" w:line="240" w:lineRule="auto"/>
        <w:jc w:val="left"/>
        <w:sectPr>
          <w:pgSz w:w="11910" w:h="16840"/>
          <w:pgMar w:header="0" w:footer="979" w:top="1480" w:bottom="1160" w:left="1440" w:right="1440"/>
        </w:sectPr>
      </w:pPr>
    </w:p>
    <w:p>
      <w:pPr>
        <w:spacing w:line="240" w:lineRule="auto" w:before="7"/>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5006"/>
        <w:gridCol w:w="1925"/>
        <w:gridCol w:w="1867"/>
      </w:tblGrid>
      <w:tr>
        <w:trPr>
          <w:trHeight w:val="275" w:hRule="exact"/>
        </w:trPr>
        <w:tc>
          <w:tcPr>
            <w:tcW w:w="5006" w:type="dxa"/>
            <w:tcBorders>
              <w:top w:val="nil" w:sz="6" w:space="0" w:color="auto"/>
              <w:left w:val="nil" w:sz="6" w:space="0" w:color="auto"/>
              <w:bottom w:val="single" w:sz="4" w:space="0" w:color="000000"/>
              <w:right w:val="nil" w:sz="6" w:space="0" w:color="auto"/>
            </w:tcBorders>
          </w:tcPr>
          <w:p>
            <w:pPr>
              <w:pStyle w:val="TableParagraph"/>
              <w:spacing w:line="180" w:lineRule="exact"/>
              <w:ind w:right="12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5" w:type="dxa"/>
            <w:tcBorders>
              <w:top w:val="nil" w:sz="6" w:space="0" w:color="auto"/>
              <w:left w:val="nil" w:sz="6" w:space="0" w:color="auto"/>
              <w:bottom w:val="single" w:sz="4" w:space="0" w:color="000000"/>
              <w:right w:val="nil" w:sz="6" w:space="0" w:color="auto"/>
            </w:tcBorders>
          </w:tcPr>
          <w:p>
            <w:pPr>
              <w:pStyle w:val="TableParagraph"/>
              <w:spacing w:line="180" w:lineRule="exact"/>
              <w:ind w:left="41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67" w:type="dxa"/>
            <w:tcBorders>
              <w:top w:val="nil" w:sz="6" w:space="0" w:color="auto"/>
              <w:left w:val="nil" w:sz="6" w:space="0" w:color="auto"/>
              <w:bottom w:val="single" w:sz="4" w:space="0" w:color="000000"/>
              <w:right w:val="nil" w:sz="6" w:space="0" w:color="auto"/>
            </w:tcBorders>
          </w:tcPr>
          <w:p>
            <w:pPr>
              <w:pStyle w:val="TableParagraph"/>
              <w:spacing w:line="180" w:lineRule="exact"/>
              <w:ind w:left="44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26" w:hRule="exact"/>
        </w:trPr>
        <w:tc>
          <w:tcPr>
            <w:tcW w:w="500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b/>
                <w:bCs/>
                <w:sz w:val="18"/>
                <w:szCs w:val="18"/>
              </w:rPr>
              <w:t>一、将净利润调节为经营活动现金流量</w:t>
            </w:r>
            <w:r>
              <w:rPr>
                <w:rFonts w:ascii="宋体" w:hAnsi="宋体" w:cs="宋体" w:eastAsia="宋体" w:hint="default"/>
                <w:sz w:val="18"/>
                <w:szCs w:val="18"/>
              </w:rPr>
            </w:r>
          </w:p>
        </w:tc>
        <w:tc>
          <w:tcPr>
            <w:tcW w:w="1925" w:type="dxa"/>
            <w:tcBorders>
              <w:top w:val="single" w:sz="4" w:space="0" w:color="000000"/>
              <w:left w:val="nil" w:sz="6" w:space="0" w:color="auto"/>
              <w:bottom w:val="nil" w:sz="6" w:space="0" w:color="auto"/>
              <w:right w:val="nil" w:sz="6" w:space="0" w:color="auto"/>
            </w:tcBorders>
          </w:tcPr>
          <w:p>
            <w:pPr/>
          </w:p>
        </w:tc>
        <w:tc>
          <w:tcPr>
            <w:tcW w:w="1867" w:type="dxa"/>
            <w:tcBorders>
              <w:top w:val="single" w:sz="4" w:space="0" w:color="000000"/>
              <w:left w:val="nil" w:sz="6" w:space="0" w:color="auto"/>
              <w:bottom w:val="nil" w:sz="6" w:space="0" w:color="auto"/>
              <w:right w:val="nil" w:sz="6" w:space="0" w:color="auto"/>
            </w:tcBorders>
          </w:tcPr>
          <w:p>
            <w:pPr/>
          </w:p>
        </w:tc>
      </w:tr>
      <w:tr>
        <w:trPr>
          <w:trHeight w:val="405"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97" w:right="0"/>
              <w:jc w:val="left"/>
              <w:rPr>
                <w:rFonts w:ascii="Times New Roman" w:hAnsi="Times New Roman" w:cs="Times New Roman" w:eastAsia="Times New Roman" w:hint="default"/>
                <w:sz w:val="18"/>
                <w:szCs w:val="18"/>
              </w:rPr>
            </w:pPr>
            <w:r>
              <w:rPr>
                <w:rFonts w:ascii="Times New Roman"/>
                <w:sz w:val="18"/>
              </w:rPr>
              <w:t>176,997,358.71</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8"/>
              <w:jc w:val="right"/>
              <w:rPr>
                <w:rFonts w:ascii="Times New Roman" w:hAnsi="Times New Roman" w:cs="Times New Roman" w:eastAsia="Times New Roman" w:hint="default"/>
                <w:sz w:val="18"/>
                <w:szCs w:val="18"/>
              </w:rPr>
            </w:pPr>
            <w:r>
              <w:rPr>
                <w:rFonts w:ascii="Times New Roman"/>
                <w:spacing w:val="-1"/>
                <w:sz w:val="18"/>
              </w:rPr>
              <w:t>119,038,878.10</w:t>
            </w:r>
          </w:p>
        </w:tc>
      </w:tr>
      <w:tr>
        <w:trPr>
          <w:trHeight w:val="400"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99"/>
              <w:jc w:val="right"/>
              <w:rPr>
                <w:rFonts w:ascii="Times New Roman" w:hAnsi="Times New Roman" w:cs="Times New Roman" w:eastAsia="Times New Roman" w:hint="default"/>
                <w:sz w:val="18"/>
                <w:szCs w:val="18"/>
              </w:rPr>
            </w:pPr>
            <w:r>
              <w:rPr>
                <w:rFonts w:ascii="Times New Roman"/>
                <w:spacing w:val="-1"/>
                <w:sz w:val="18"/>
              </w:rPr>
              <w:t>17,593,676.43</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8"/>
              <w:jc w:val="right"/>
              <w:rPr>
                <w:rFonts w:ascii="Times New Roman" w:hAnsi="Times New Roman" w:cs="Times New Roman" w:eastAsia="Times New Roman" w:hint="default"/>
                <w:sz w:val="18"/>
                <w:szCs w:val="18"/>
              </w:rPr>
            </w:pPr>
            <w:r>
              <w:rPr>
                <w:rFonts w:ascii="Times New Roman"/>
                <w:spacing w:val="-1"/>
                <w:sz w:val="18"/>
              </w:rPr>
              <w:t>8,281,182.93</w:t>
            </w:r>
          </w:p>
        </w:tc>
      </w:tr>
      <w:tr>
        <w:trPr>
          <w:trHeight w:val="401"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7"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01"/>
              <w:jc w:val="right"/>
              <w:rPr>
                <w:rFonts w:ascii="Times New Roman" w:hAnsi="Times New Roman" w:cs="Times New Roman" w:eastAsia="Times New Roman" w:hint="default"/>
                <w:sz w:val="18"/>
                <w:szCs w:val="18"/>
              </w:rPr>
            </w:pPr>
            <w:r>
              <w:rPr>
                <w:rFonts w:ascii="Times New Roman"/>
                <w:spacing w:val="-1"/>
                <w:sz w:val="18"/>
              </w:rPr>
              <w:t>6,376,783.96</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8"/>
              <w:jc w:val="right"/>
              <w:rPr>
                <w:rFonts w:ascii="Times New Roman" w:hAnsi="Times New Roman" w:cs="Times New Roman" w:eastAsia="Times New Roman" w:hint="default"/>
                <w:sz w:val="18"/>
                <w:szCs w:val="18"/>
              </w:rPr>
            </w:pPr>
            <w:r>
              <w:rPr>
                <w:rFonts w:ascii="Times New Roman"/>
                <w:spacing w:val="-1"/>
                <w:sz w:val="18"/>
              </w:rPr>
              <w:t>4,997,625.40</w:t>
            </w:r>
          </w:p>
        </w:tc>
      </w:tr>
      <w:tr>
        <w:trPr>
          <w:trHeight w:val="400"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00"/>
              <w:jc w:val="right"/>
              <w:rPr>
                <w:rFonts w:ascii="Times New Roman" w:hAnsi="Times New Roman" w:cs="Times New Roman" w:eastAsia="Times New Roman" w:hint="default"/>
                <w:sz w:val="18"/>
                <w:szCs w:val="18"/>
              </w:rPr>
            </w:pPr>
            <w:r>
              <w:rPr>
                <w:rFonts w:ascii="Times New Roman"/>
                <w:spacing w:val="-1"/>
                <w:sz w:val="18"/>
              </w:rPr>
              <w:t>353,418.21</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8"/>
              <w:jc w:val="right"/>
              <w:rPr>
                <w:rFonts w:ascii="Times New Roman" w:hAnsi="Times New Roman" w:cs="Times New Roman" w:eastAsia="Times New Roman" w:hint="default"/>
                <w:sz w:val="18"/>
                <w:szCs w:val="18"/>
              </w:rPr>
            </w:pPr>
            <w:r>
              <w:rPr>
                <w:rFonts w:ascii="Times New Roman"/>
                <w:spacing w:val="-1"/>
                <w:sz w:val="18"/>
              </w:rPr>
              <w:t>222,307.15</w:t>
            </w:r>
          </w:p>
        </w:tc>
      </w:tr>
      <w:tr>
        <w:trPr>
          <w:trHeight w:val="400"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6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01"/>
              <w:jc w:val="right"/>
              <w:rPr>
                <w:rFonts w:ascii="Times New Roman" w:hAnsi="Times New Roman" w:cs="Times New Roman" w:eastAsia="Times New Roman" w:hint="default"/>
                <w:sz w:val="18"/>
                <w:szCs w:val="18"/>
              </w:rPr>
            </w:pPr>
            <w:r>
              <w:rPr>
                <w:rFonts w:ascii="Times New Roman"/>
                <w:spacing w:val="-1"/>
                <w:sz w:val="18"/>
              </w:rPr>
              <w:t>787,221.60</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8"/>
              <w:jc w:val="right"/>
              <w:rPr>
                <w:rFonts w:ascii="Times New Roman" w:hAnsi="Times New Roman" w:cs="Times New Roman" w:eastAsia="Times New Roman" w:hint="default"/>
                <w:sz w:val="18"/>
                <w:szCs w:val="18"/>
              </w:rPr>
            </w:pPr>
            <w:r>
              <w:rPr>
                <w:rFonts w:ascii="Times New Roman"/>
                <w:spacing w:val="-1"/>
                <w:sz w:val="18"/>
              </w:rPr>
              <w:t>524,814.44</w:t>
            </w:r>
          </w:p>
        </w:tc>
      </w:tr>
      <w:tr>
        <w:trPr>
          <w:trHeight w:val="801"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7"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398"/>
              <w:jc w:val="right"/>
              <w:rPr>
                <w:rFonts w:ascii="Times New Roman" w:hAnsi="Times New Roman" w:cs="Times New Roman" w:eastAsia="Times New Roman" w:hint="default"/>
                <w:sz w:val="18"/>
                <w:szCs w:val="18"/>
              </w:rPr>
            </w:pPr>
            <w:r>
              <w:rPr>
                <w:rFonts w:ascii="Times New Roman"/>
                <w:spacing w:val="-1"/>
                <w:sz w:val="18"/>
              </w:rPr>
              <w:t>39,738.45</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338"/>
              <w:jc w:val="right"/>
              <w:rPr>
                <w:rFonts w:ascii="Times New Roman" w:hAnsi="Times New Roman" w:cs="Times New Roman" w:eastAsia="Times New Roman" w:hint="default"/>
                <w:sz w:val="18"/>
                <w:szCs w:val="18"/>
              </w:rPr>
            </w:pPr>
            <w:r>
              <w:rPr>
                <w:rFonts w:ascii="Times New Roman"/>
                <w:spacing w:val="-1"/>
                <w:sz w:val="18"/>
              </w:rPr>
              <w:t>-19,079.41</w:t>
            </w:r>
          </w:p>
        </w:tc>
      </w:tr>
      <w:tr>
        <w:trPr>
          <w:trHeight w:val="400"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6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5"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
        </w:tc>
      </w:tr>
      <w:tr>
        <w:trPr>
          <w:trHeight w:val="401"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5"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
        </w:tc>
      </w:tr>
      <w:tr>
        <w:trPr>
          <w:trHeight w:val="400"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7"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5"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
        </w:tc>
      </w:tr>
      <w:tr>
        <w:trPr>
          <w:trHeight w:val="400"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67"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28" w:right="0"/>
              <w:jc w:val="left"/>
              <w:rPr>
                <w:rFonts w:ascii="Times New Roman" w:hAnsi="Times New Roman" w:cs="Times New Roman" w:eastAsia="Times New Roman" w:hint="default"/>
                <w:sz w:val="18"/>
                <w:szCs w:val="18"/>
              </w:rPr>
            </w:pPr>
            <w:r>
              <w:rPr>
                <w:rFonts w:ascii="Times New Roman"/>
                <w:sz w:val="18"/>
              </w:rPr>
              <w:t>-26,185,339.75</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8"/>
              <w:jc w:val="right"/>
              <w:rPr>
                <w:rFonts w:ascii="Times New Roman" w:hAnsi="Times New Roman" w:cs="Times New Roman" w:eastAsia="Times New Roman" w:hint="default"/>
                <w:sz w:val="18"/>
                <w:szCs w:val="18"/>
              </w:rPr>
            </w:pPr>
            <w:r>
              <w:rPr>
                <w:rFonts w:ascii="Times New Roman"/>
                <w:spacing w:val="-1"/>
                <w:sz w:val="18"/>
              </w:rPr>
              <w:t>-1,790,926.88</w:t>
            </w:r>
          </w:p>
        </w:tc>
      </w:tr>
      <w:tr>
        <w:trPr>
          <w:trHeight w:val="401"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01"/>
              <w:jc w:val="right"/>
              <w:rPr>
                <w:rFonts w:ascii="Times New Roman" w:hAnsi="Times New Roman" w:cs="Times New Roman" w:eastAsia="Times New Roman" w:hint="default"/>
                <w:sz w:val="18"/>
                <w:szCs w:val="18"/>
              </w:rPr>
            </w:pPr>
            <w:r>
              <w:rPr>
                <w:rFonts w:ascii="Times New Roman"/>
                <w:spacing w:val="-1"/>
                <w:sz w:val="18"/>
              </w:rPr>
              <w:t>687,409.61</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8"/>
              <w:jc w:val="right"/>
              <w:rPr>
                <w:rFonts w:ascii="Times New Roman" w:hAnsi="Times New Roman" w:cs="Times New Roman" w:eastAsia="Times New Roman" w:hint="default"/>
                <w:sz w:val="18"/>
                <w:szCs w:val="18"/>
              </w:rPr>
            </w:pPr>
            <w:r>
              <w:rPr>
                <w:rFonts w:ascii="Times New Roman"/>
                <w:spacing w:val="-1"/>
                <w:sz w:val="18"/>
              </w:rPr>
              <w:t>229,102.31</w:t>
            </w:r>
          </w:p>
        </w:tc>
      </w:tr>
      <w:tr>
        <w:trPr>
          <w:trHeight w:val="400"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5"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
        </w:tc>
      </w:tr>
      <w:tr>
        <w:trPr>
          <w:trHeight w:val="400"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67"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01"/>
              <w:jc w:val="right"/>
              <w:rPr>
                <w:rFonts w:ascii="Times New Roman" w:hAnsi="Times New Roman" w:cs="Times New Roman" w:eastAsia="Times New Roman" w:hint="default"/>
                <w:sz w:val="18"/>
                <w:szCs w:val="18"/>
              </w:rPr>
            </w:pPr>
            <w:r>
              <w:rPr>
                <w:rFonts w:ascii="Times New Roman"/>
                <w:spacing w:val="-1"/>
                <w:sz w:val="18"/>
              </w:rPr>
              <w:t>11,816,540.96</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8"/>
              <w:jc w:val="right"/>
              <w:rPr>
                <w:rFonts w:ascii="Times New Roman" w:hAnsi="Times New Roman" w:cs="Times New Roman" w:eastAsia="Times New Roman" w:hint="default"/>
                <w:sz w:val="18"/>
                <w:szCs w:val="18"/>
              </w:rPr>
            </w:pPr>
            <w:r>
              <w:rPr>
                <w:rFonts w:ascii="Times New Roman"/>
                <w:spacing w:val="-1"/>
                <w:sz w:val="18"/>
              </w:rPr>
              <w:t>17,794,855.33</w:t>
            </w:r>
          </w:p>
        </w:tc>
      </w:tr>
      <w:tr>
        <w:trPr>
          <w:trHeight w:val="401"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7"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01"/>
              <w:jc w:val="right"/>
              <w:rPr>
                <w:rFonts w:ascii="Times New Roman" w:hAnsi="Times New Roman" w:cs="Times New Roman" w:eastAsia="Times New Roman" w:hint="default"/>
                <w:sz w:val="18"/>
                <w:szCs w:val="18"/>
              </w:rPr>
            </w:pPr>
            <w:r>
              <w:rPr>
                <w:rFonts w:ascii="Times New Roman"/>
                <w:spacing w:val="-1"/>
                <w:sz w:val="18"/>
              </w:rPr>
              <w:t>6,438,506.38</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8"/>
              <w:jc w:val="right"/>
              <w:rPr>
                <w:rFonts w:ascii="Times New Roman" w:hAnsi="Times New Roman" w:cs="Times New Roman" w:eastAsia="Times New Roman" w:hint="default"/>
                <w:sz w:val="18"/>
                <w:szCs w:val="18"/>
              </w:rPr>
            </w:pPr>
            <w:r>
              <w:rPr>
                <w:rFonts w:ascii="Times New Roman"/>
                <w:spacing w:val="-1"/>
                <w:sz w:val="18"/>
              </w:rPr>
              <w:t>-8,429,558.27</w:t>
            </w:r>
          </w:p>
        </w:tc>
      </w:tr>
      <w:tr>
        <w:trPr>
          <w:trHeight w:val="400"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7"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99"/>
              <w:jc w:val="right"/>
              <w:rPr>
                <w:rFonts w:ascii="Times New Roman" w:hAnsi="Times New Roman" w:cs="Times New Roman" w:eastAsia="Times New Roman" w:hint="default"/>
                <w:sz w:val="18"/>
                <w:szCs w:val="18"/>
              </w:rPr>
            </w:pPr>
            <w:r>
              <w:rPr>
                <w:rFonts w:ascii="Times New Roman"/>
                <w:spacing w:val="-1"/>
                <w:sz w:val="18"/>
              </w:rPr>
              <w:t>19,772,267.37</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8"/>
              <w:jc w:val="right"/>
              <w:rPr>
                <w:rFonts w:ascii="Times New Roman" w:hAnsi="Times New Roman" w:cs="Times New Roman" w:eastAsia="Times New Roman" w:hint="default"/>
                <w:sz w:val="18"/>
                <w:szCs w:val="18"/>
              </w:rPr>
            </w:pPr>
            <w:r>
              <w:rPr>
                <w:rFonts w:ascii="Times New Roman"/>
                <w:spacing w:val="-1"/>
                <w:sz w:val="18"/>
              </w:rPr>
              <w:t>33,879,929.88</w:t>
            </w:r>
          </w:p>
        </w:tc>
      </w:tr>
      <w:tr>
        <w:trPr>
          <w:trHeight w:val="395"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5"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
        </w:tc>
      </w:tr>
      <w:tr>
        <w:trPr>
          <w:trHeight w:val="406"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262"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9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214,677,581.93</w:t>
            </w:r>
            <w:r>
              <w:rPr>
                <w:rFonts w:ascii="Times New Roman"/>
                <w:sz w:val="18"/>
              </w:rPr>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174,729,130.98</w:t>
            </w:r>
            <w:r>
              <w:rPr>
                <w:rFonts w:ascii="Times New Roman"/>
                <w:spacing w:val="-1"/>
                <w:sz w:val="18"/>
              </w:rPr>
            </w:r>
          </w:p>
        </w:tc>
      </w:tr>
      <w:tr>
        <w:trPr>
          <w:trHeight w:val="395"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b/>
                <w:bCs/>
                <w:sz w:val="18"/>
                <w:szCs w:val="18"/>
              </w:rPr>
              <w:t>二、不涉及现金收支的投资和筹资活动：</w:t>
            </w:r>
            <w:r>
              <w:rPr>
                <w:rFonts w:ascii="宋体" w:hAnsi="宋体" w:cs="宋体" w:eastAsia="宋体" w:hint="default"/>
                <w:sz w:val="18"/>
                <w:szCs w:val="18"/>
              </w:rPr>
            </w:r>
          </w:p>
        </w:tc>
        <w:tc>
          <w:tcPr>
            <w:tcW w:w="1925"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
        </w:tc>
      </w:tr>
      <w:tr>
        <w:trPr>
          <w:trHeight w:val="400"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25"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
        </w:tc>
      </w:tr>
      <w:tr>
        <w:trPr>
          <w:trHeight w:val="401"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8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25"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
        </w:tc>
      </w:tr>
      <w:tr>
        <w:trPr>
          <w:trHeight w:val="400"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8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25"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
        </w:tc>
      </w:tr>
      <w:tr>
        <w:trPr>
          <w:trHeight w:val="400"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b/>
                <w:bCs/>
                <w:sz w:val="18"/>
                <w:szCs w:val="18"/>
              </w:rPr>
              <w:t>三、现金及现金等价物净增加情况：</w:t>
            </w:r>
            <w:r>
              <w:rPr>
                <w:rFonts w:ascii="宋体" w:hAnsi="宋体" w:cs="宋体" w:eastAsia="宋体" w:hint="default"/>
                <w:sz w:val="18"/>
                <w:szCs w:val="18"/>
              </w:rPr>
            </w:r>
          </w:p>
        </w:tc>
        <w:tc>
          <w:tcPr>
            <w:tcW w:w="1925"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
        </w:tc>
      </w:tr>
      <w:tr>
        <w:trPr>
          <w:trHeight w:val="406"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97" w:right="0"/>
              <w:jc w:val="left"/>
              <w:rPr>
                <w:rFonts w:ascii="Times New Roman" w:hAnsi="Times New Roman" w:cs="Times New Roman" w:eastAsia="Times New Roman" w:hint="default"/>
                <w:sz w:val="18"/>
                <w:szCs w:val="18"/>
              </w:rPr>
            </w:pPr>
            <w:r>
              <w:rPr>
                <w:rFonts w:ascii="Times New Roman"/>
                <w:sz w:val="18"/>
              </w:rPr>
              <w:t>466,692,570.51</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8"/>
              <w:jc w:val="right"/>
              <w:rPr>
                <w:rFonts w:ascii="Times New Roman" w:hAnsi="Times New Roman" w:cs="Times New Roman" w:eastAsia="Times New Roman" w:hint="default"/>
                <w:sz w:val="18"/>
                <w:szCs w:val="18"/>
              </w:rPr>
            </w:pPr>
            <w:r>
              <w:rPr>
                <w:rFonts w:ascii="Times New Roman"/>
                <w:spacing w:val="-1"/>
                <w:sz w:val="18"/>
              </w:rPr>
              <w:t>368,993,223.71</w:t>
            </w:r>
          </w:p>
        </w:tc>
      </w:tr>
      <w:tr>
        <w:trPr>
          <w:trHeight w:val="400"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97" w:right="0"/>
              <w:jc w:val="left"/>
              <w:rPr>
                <w:rFonts w:ascii="Times New Roman" w:hAnsi="Times New Roman" w:cs="Times New Roman" w:eastAsia="Times New Roman" w:hint="default"/>
                <w:sz w:val="18"/>
                <w:szCs w:val="18"/>
              </w:rPr>
            </w:pPr>
            <w:r>
              <w:rPr>
                <w:rFonts w:ascii="Times New Roman"/>
                <w:sz w:val="18"/>
              </w:rPr>
              <w:t>368,993,223.71</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8"/>
              <w:jc w:val="right"/>
              <w:rPr>
                <w:rFonts w:ascii="Times New Roman" w:hAnsi="Times New Roman" w:cs="Times New Roman" w:eastAsia="Times New Roman" w:hint="default"/>
                <w:sz w:val="18"/>
                <w:szCs w:val="18"/>
              </w:rPr>
            </w:pPr>
            <w:r>
              <w:rPr>
                <w:rFonts w:ascii="Times New Roman"/>
                <w:spacing w:val="-1"/>
                <w:sz w:val="18"/>
              </w:rPr>
              <w:t>173,310,120.43</w:t>
            </w:r>
          </w:p>
        </w:tc>
      </w:tr>
      <w:tr>
        <w:trPr>
          <w:trHeight w:val="395"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7"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25"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
        </w:tc>
      </w:tr>
      <w:tr>
        <w:trPr>
          <w:trHeight w:val="401"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87"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25"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
        </w:tc>
      </w:tr>
      <w:tr>
        <w:trPr>
          <w:trHeight w:val="300" w:hRule="exact"/>
        </w:trPr>
        <w:tc>
          <w:tcPr>
            <w:tcW w:w="500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9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97,699,346.80</w:t>
            </w:r>
            <w:r>
              <w:rPr>
                <w:rFonts w:ascii="Times New Roman"/>
                <w:spacing w:val="-1"/>
                <w:sz w:val="18"/>
              </w:rPr>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195,683,103.28</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720" w:right="0"/>
        <w:jc w:val="left"/>
      </w:pPr>
      <w:r>
        <w:rPr/>
        <w:t>（</w:t>
      </w:r>
      <w:r>
        <w:rPr>
          <w:rFonts w:ascii="Times New Roman" w:hAnsi="Times New Roman" w:cs="Times New Roman" w:eastAsia="Times New Roman" w:hint="default"/>
        </w:rPr>
        <w:t>2</w:t>
      </w:r>
      <w:r>
        <w:rPr/>
        <w:t>）报告期支付取得子公司的现金净额情况</w:t>
      </w:r>
    </w:p>
    <w:p>
      <w:pPr>
        <w:spacing w:line="240" w:lineRule="auto" w:before="8"/>
        <w:rPr>
          <w:rFonts w:ascii="宋体" w:hAnsi="宋体" w:cs="宋体" w:eastAsia="宋体" w:hint="default"/>
          <w:sz w:val="24"/>
          <w:szCs w:val="24"/>
        </w:rPr>
      </w:pPr>
    </w:p>
    <w:tbl>
      <w:tblPr>
        <w:tblW w:w="0" w:type="auto"/>
        <w:jc w:val="left"/>
        <w:tblInd w:w="252" w:type="dxa"/>
        <w:tblLayout w:type="fixed"/>
        <w:tblCellMar>
          <w:top w:w="0" w:type="dxa"/>
          <w:left w:w="0" w:type="dxa"/>
          <w:bottom w:w="0" w:type="dxa"/>
          <w:right w:w="0" w:type="dxa"/>
        </w:tblCellMar>
        <w:tblLook w:val="01E0"/>
      </w:tblPr>
      <w:tblGrid>
        <w:gridCol w:w="5112"/>
        <w:gridCol w:w="2135"/>
        <w:gridCol w:w="1550"/>
      </w:tblGrid>
      <w:tr>
        <w:trPr>
          <w:trHeight w:val="279" w:hRule="exact"/>
        </w:trPr>
        <w:tc>
          <w:tcPr>
            <w:tcW w:w="5112" w:type="dxa"/>
            <w:tcBorders>
              <w:top w:val="nil" w:sz="6" w:space="0" w:color="auto"/>
              <w:left w:val="nil" w:sz="6" w:space="0" w:color="auto"/>
              <w:bottom w:val="single" w:sz="8" w:space="0" w:color="000000"/>
              <w:right w:val="nil" w:sz="6" w:space="0" w:color="auto"/>
            </w:tcBorders>
          </w:tcPr>
          <w:p>
            <w:pPr>
              <w:pStyle w:val="TableParagraph"/>
              <w:spacing w:line="180" w:lineRule="exact"/>
              <w:ind w:left="40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35" w:type="dxa"/>
            <w:tcBorders>
              <w:top w:val="nil" w:sz="6" w:space="0" w:color="auto"/>
              <w:left w:val="nil" w:sz="6" w:space="0" w:color="auto"/>
              <w:bottom w:val="single" w:sz="8" w:space="0" w:color="000000"/>
              <w:right w:val="nil" w:sz="6" w:space="0" w:color="auto"/>
            </w:tcBorders>
          </w:tcPr>
          <w:p>
            <w:pPr>
              <w:pStyle w:val="TableParagraph"/>
              <w:spacing w:line="180" w:lineRule="exact"/>
              <w:ind w:left="86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550" w:type="dxa"/>
            <w:tcBorders>
              <w:top w:val="nil" w:sz="6" w:space="0" w:color="auto"/>
              <w:left w:val="nil" w:sz="6" w:space="0" w:color="auto"/>
              <w:bottom w:val="single" w:sz="8" w:space="0" w:color="000000"/>
              <w:right w:val="nil" w:sz="6" w:space="0" w:color="auto"/>
            </w:tcBorders>
          </w:tcPr>
          <w:p>
            <w:pPr>
              <w:pStyle w:val="TableParagraph"/>
              <w:spacing w:line="180"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31" w:hRule="exact"/>
        </w:trPr>
        <w:tc>
          <w:tcPr>
            <w:tcW w:w="5112"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2135" w:type="dxa"/>
            <w:tcBorders>
              <w:top w:val="single" w:sz="8" w:space="0" w:color="000000"/>
              <w:left w:val="nil" w:sz="6" w:space="0" w:color="auto"/>
              <w:bottom w:val="nil" w:sz="6" w:space="0" w:color="auto"/>
              <w:right w:val="nil" w:sz="6" w:space="0" w:color="auto"/>
            </w:tcBorders>
          </w:tcPr>
          <w:p>
            <w:pPr/>
          </w:p>
        </w:tc>
        <w:tc>
          <w:tcPr>
            <w:tcW w:w="1550"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21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357,200,000.00</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480" w:bottom="1160" w:left="1440" w:right="1300"/>
        </w:sectPr>
      </w:pPr>
    </w:p>
    <w:p>
      <w:pPr>
        <w:spacing w:line="240" w:lineRule="auto" w:before="7"/>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5588"/>
        <w:gridCol w:w="3293"/>
      </w:tblGrid>
      <w:tr>
        <w:trPr>
          <w:trHeight w:val="295" w:hRule="exact"/>
        </w:trPr>
        <w:tc>
          <w:tcPr>
            <w:tcW w:w="5588" w:type="dxa"/>
            <w:tcBorders>
              <w:top w:val="nil" w:sz="6" w:space="0" w:color="auto"/>
              <w:left w:val="nil" w:sz="6" w:space="0" w:color="auto"/>
              <w:bottom w:val="nil" w:sz="6" w:space="0" w:color="auto"/>
              <w:right w:val="nil" w:sz="6" w:space="0" w:color="auto"/>
            </w:tcBorders>
          </w:tcPr>
          <w:p>
            <w:pPr>
              <w:pStyle w:val="TableParagraph"/>
              <w:spacing w:line="180" w:lineRule="exact"/>
              <w:ind w:left="471" w:right="0"/>
              <w:jc w:val="left"/>
              <w:rPr>
                <w:rFonts w:ascii="宋体" w:hAnsi="宋体" w:cs="宋体" w:eastAsia="宋体" w:hint="default"/>
                <w:sz w:val="18"/>
                <w:szCs w:val="18"/>
              </w:rPr>
            </w:pPr>
            <w:r>
              <w:rPr>
                <w:rFonts w:ascii="宋体" w:hAnsi="宋体" w:cs="宋体" w:eastAsia="宋体" w:hint="default"/>
                <w:sz w:val="18"/>
                <w:szCs w:val="18"/>
              </w:rPr>
              <w:t>其中：北京神奇时代网络有限公司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194" w:lineRule="exact"/>
              <w:ind w:right="198"/>
              <w:jc w:val="right"/>
              <w:rPr>
                <w:rFonts w:ascii="Times New Roman" w:hAnsi="Times New Roman" w:cs="Times New Roman" w:eastAsia="Times New Roman" w:hint="default"/>
                <w:sz w:val="18"/>
                <w:szCs w:val="18"/>
              </w:rPr>
            </w:pPr>
            <w:r>
              <w:rPr>
                <w:rFonts w:ascii="Times New Roman"/>
                <w:spacing w:val="-1"/>
                <w:sz w:val="18"/>
              </w:rPr>
              <w:t>357,200,000.00</w:t>
            </w:r>
          </w:p>
        </w:tc>
      </w:tr>
      <w:tr>
        <w:trPr>
          <w:trHeight w:val="400" w:hRule="exact"/>
        </w:trPr>
        <w:tc>
          <w:tcPr>
            <w:tcW w:w="55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110,989,905.81</w:t>
            </w:r>
            <w:r>
              <w:rPr>
                <w:rFonts w:ascii="Times New Roman"/>
                <w:spacing w:val="-1"/>
                <w:sz w:val="18"/>
              </w:rPr>
            </w:r>
          </w:p>
        </w:tc>
      </w:tr>
      <w:tr>
        <w:trPr>
          <w:trHeight w:val="400" w:hRule="exact"/>
        </w:trPr>
        <w:tc>
          <w:tcPr>
            <w:tcW w:w="558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59" w:right="0"/>
              <w:jc w:val="left"/>
              <w:rPr>
                <w:rFonts w:ascii="宋体" w:hAnsi="宋体" w:cs="宋体" w:eastAsia="宋体" w:hint="default"/>
                <w:sz w:val="18"/>
                <w:szCs w:val="18"/>
              </w:rPr>
            </w:pPr>
            <w:r>
              <w:rPr>
                <w:rFonts w:ascii="宋体" w:hAnsi="宋体" w:cs="宋体" w:eastAsia="宋体" w:hint="default"/>
                <w:sz w:val="18"/>
                <w:szCs w:val="18"/>
              </w:rPr>
              <w:t>其中：北京神奇时代网络有限公司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8"/>
              <w:jc w:val="right"/>
              <w:rPr>
                <w:rFonts w:ascii="Times New Roman" w:hAnsi="Times New Roman" w:cs="Times New Roman" w:eastAsia="Times New Roman" w:hint="default"/>
                <w:sz w:val="18"/>
                <w:szCs w:val="18"/>
              </w:rPr>
            </w:pPr>
            <w:r>
              <w:rPr>
                <w:rFonts w:ascii="Times New Roman"/>
                <w:spacing w:val="-1"/>
                <w:sz w:val="18"/>
              </w:rPr>
              <w:t>110,989,905.81</w:t>
            </w:r>
          </w:p>
        </w:tc>
      </w:tr>
      <w:tr>
        <w:trPr>
          <w:trHeight w:val="396" w:hRule="exact"/>
        </w:trPr>
        <w:tc>
          <w:tcPr>
            <w:tcW w:w="55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3293" w:type="dxa"/>
            <w:tcBorders>
              <w:top w:val="nil" w:sz="6" w:space="0" w:color="auto"/>
              <w:left w:val="nil" w:sz="6" w:space="0" w:color="auto"/>
              <w:bottom w:val="nil" w:sz="6" w:space="0" w:color="auto"/>
              <w:right w:val="nil" w:sz="6" w:space="0" w:color="auto"/>
            </w:tcBorders>
          </w:tcPr>
          <w:p>
            <w:pPr/>
          </w:p>
        </w:tc>
      </w:tr>
      <w:tr>
        <w:trPr>
          <w:trHeight w:val="300" w:hRule="exact"/>
        </w:trPr>
        <w:tc>
          <w:tcPr>
            <w:tcW w:w="558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00"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246,210,094.19</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left="720" w:right="0"/>
        <w:jc w:val="left"/>
      </w:pPr>
      <w:r>
        <w:rPr/>
        <w:t>（</w:t>
      </w:r>
      <w:r>
        <w:rPr>
          <w:rFonts w:ascii="Times New Roman" w:hAnsi="Times New Roman" w:cs="Times New Roman" w:eastAsia="Times New Roman" w:hint="default"/>
        </w:rPr>
        <w:t>3</w:t>
      </w:r>
      <w:r>
        <w:rPr/>
        <w:t>）现金和现金等价物的构成</w:t>
      </w: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564"/>
        <w:gridCol w:w="2813"/>
        <w:gridCol w:w="1420"/>
      </w:tblGrid>
      <w:tr>
        <w:trPr>
          <w:trHeight w:val="275" w:hRule="exact"/>
        </w:trPr>
        <w:tc>
          <w:tcPr>
            <w:tcW w:w="4564" w:type="dxa"/>
            <w:tcBorders>
              <w:top w:val="nil" w:sz="6" w:space="0" w:color="auto"/>
              <w:left w:val="nil" w:sz="6" w:space="0" w:color="auto"/>
              <w:bottom w:val="single" w:sz="4" w:space="0" w:color="000000"/>
              <w:right w:val="nil" w:sz="6" w:space="0" w:color="auto"/>
            </w:tcBorders>
          </w:tcPr>
          <w:p>
            <w:pPr>
              <w:pStyle w:val="TableParagraph"/>
              <w:spacing w:line="180" w:lineRule="exact"/>
              <w:ind w:left="269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13" w:type="dxa"/>
            <w:tcBorders>
              <w:top w:val="nil" w:sz="6" w:space="0" w:color="auto"/>
              <w:left w:val="nil" w:sz="6" w:space="0" w:color="auto"/>
              <w:bottom w:val="single" w:sz="4" w:space="0" w:color="000000"/>
              <w:right w:val="nil" w:sz="6" w:space="0" w:color="auto"/>
            </w:tcBorders>
          </w:tcPr>
          <w:p>
            <w:pPr>
              <w:pStyle w:val="TableParagraph"/>
              <w:spacing w:line="180" w:lineRule="exact"/>
              <w:ind w:left="160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20" w:type="dxa"/>
            <w:tcBorders>
              <w:top w:val="nil" w:sz="6" w:space="0" w:color="auto"/>
              <w:left w:val="nil" w:sz="6" w:space="0" w:color="auto"/>
              <w:bottom w:val="single" w:sz="4" w:space="0" w:color="000000"/>
              <w:right w:val="nil" w:sz="6" w:space="0" w:color="auto"/>
            </w:tcBorders>
          </w:tcPr>
          <w:p>
            <w:pPr>
              <w:pStyle w:val="TableParagraph"/>
              <w:spacing w:line="180" w:lineRule="exact"/>
              <w:ind w:left="31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2" w:hRule="exact"/>
        </w:trPr>
        <w:tc>
          <w:tcPr>
            <w:tcW w:w="4564"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81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8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466,692,570.51</w:t>
            </w:r>
            <w:r>
              <w:rPr>
                <w:rFonts w:ascii="Times New Roman"/>
                <w:spacing w:val="-1"/>
                <w:sz w:val="18"/>
              </w:rPr>
            </w:r>
          </w:p>
        </w:tc>
        <w:tc>
          <w:tcPr>
            <w:tcW w:w="142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368,993,223.71</w:t>
            </w:r>
            <w:r>
              <w:rPr>
                <w:rFonts w:ascii="Times New Roman"/>
                <w:spacing w:val="-1"/>
                <w:sz w:val="18"/>
              </w:rPr>
            </w:r>
          </w:p>
        </w:tc>
      </w:tr>
      <w:tr>
        <w:trPr>
          <w:trHeight w:val="400" w:hRule="exact"/>
        </w:trPr>
        <w:tc>
          <w:tcPr>
            <w:tcW w:w="45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库存现金</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4"/>
              <w:jc w:val="right"/>
              <w:rPr>
                <w:rFonts w:ascii="Times New Roman" w:hAnsi="Times New Roman" w:cs="Times New Roman" w:eastAsia="Times New Roman" w:hint="default"/>
                <w:sz w:val="18"/>
                <w:szCs w:val="18"/>
              </w:rPr>
            </w:pPr>
            <w:r>
              <w:rPr>
                <w:rFonts w:ascii="Times New Roman"/>
                <w:spacing w:val="-1"/>
                <w:sz w:val="18"/>
              </w:rPr>
              <w:t>157,807.71</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189,850.59</w:t>
            </w:r>
          </w:p>
        </w:tc>
      </w:tr>
      <w:tr>
        <w:trPr>
          <w:trHeight w:val="400" w:hRule="exact"/>
        </w:trPr>
        <w:tc>
          <w:tcPr>
            <w:tcW w:w="456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可随时用于支付的银行存款</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4"/>
              <w:jc w:val="right"/>
              <w:rPr>
                <w:rFonts w:ascii="Times New Roman" w:hAnsi="Times New Roman" w:cs="Times New Roman" w:eastAsia="Times New Roman" w:hint="default"/>
                <w:sz w:val="18"/>
                <w:szCs w:val="18"/>
              </w:rPr>
            </w:pPr>
            <w:r>
              <w:rPr>
                <w:rFonts w:ascii="Times New Roman"/>
                <w:spacing w:val="-1"/>
                <w:sz w:val="18"/>
              </w:rPr>
              <w:t>466,534,762.80</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368,803,373.12</w:t>
            </w:r>
          </w:p>
        </w:tc>
      </w:tr>
      <w:tr>
        <w:trPr>
          <w:trHeight w:val="396" w:hRule="exact"/>
        </w:trPr>
        <w:tc>
          <w:tcPr>
            <w:tcW w:w="45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8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r>
      <w:tr>
        <w:trPr>
          <w:trHeight w:val="400" w:hRule="exact"/>
        </w:trPr>
        <w:tc>
          <w:tcPr>
            <w:tcW w:w="456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8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r>
      <w:tr>
        <w:trPr>
          <w:trHeight w:val="405" w:hRule="exact"/>
        </w:trPr>
        <w:tc>
          <w:tcPr>
            <w:tcW w:w="456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8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466,692,570.51</w:t>
            </w:r>
            <w:r>
              <w:rPr>
                <w:rFonts w:ascii="Times New Roman"/>
                <w:spacing w:val="-1"/>
                <w:sz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368,993,223.71</w:t>
            </w:r>
            <w:r>
              <w:rPr>
                <w:rFonts w:ascii="Times New Roman"/>
                <w:spacing w:val="-1"/>
                <w:sz w:val="18"/>
              </w:rPr>
            </w:r>
          </w:p>
        </w:tc>
      </w:tr>
      <w:tr>
        <w:trPr>
          <w:trHeight w:val="285" w:hRule="exact"/>
        </w:trPr>
        <w:tc>
          <w:tcPr>
            <w:tcW w:w="73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42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720" w:right="0"/>
        <w:jc w:val="left"/>
      </w:pPr>
      <w:r>
        <w:rPr>
          <w:rFonts w:ascii="Times New Roman" w:hAnsi="Times New Roman" w:cs="Times New Roman" w:eastAsia="Times New Roman" w:hint="default"/>
        </w:rPr>
        <w:t>40. </w:t>
      </w:r>
      <w:r>
        <w:rPr>
          <w:rFonts w:ascii="Times New Roman" w:hAnsi="Times New Roman" w:cs="Times New Roman" w:eastAsia="Times New Roman" w:hint="default"/>
          <w:spacing w:val="1"/>
        </w:rPr>
        <w:t> </w:t>
      </w:r>
      <w:r>
        <w:rPr/>
        <w:t>外币货币性项目</w:t>
      </w:r>
    </w:p>
    <w:p>
      <w:pPr>
        <w:spacing w:line="240" w:lineRule="auto" w:before="6"/>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019"/>
        <w:gridCol w:w="2479"/>
        <w:gridCol w:w="1872"/>
        <w:gridCol w:w="2428"/>
      </w:tblGrid>
      <w:tr>
        <w:trPr>
          <w:trHeight w:val="275" w:hRule="exact"/>
        </w:trPr>
        <w:tc>
          <w:tcPr>
            <w:tcW w:w="2019" w:type="dxa"/>
            <w:tcBorders>
              <w:top w:val="nil" w:sz="6" w:space="0" w:color="auto"/>
              <w:left w:val="nil" w:sz="6" w:space="0" w:color="auto"/>
              <w:bottom w:val="single" w:sz="4" w:space="0" w:color="000000"/>
              <w:right w:val="nil" w:sz="6" w:space="0" w:color="auto"/>
            </w:tcBorders>
          </w:tcPr>
          <w:p>
            <w:pPr>
              <w:pStyle w:val="TableParagraph"/>
              <w:spacing w:line="180" w:lineRule="exact"/>
              <w:ind w:left="17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79" w:type="dxa"/>
            <w:tcBorders>
              <w:top w:val="nil" w:sz="6" w:space="0" w:color="auto"/>
              <w:left w:val="nil" w:sz="6" w:space="0" w:color="auto"/>
              <w:bottom w:val="single" w:sz="4" w:space="0" w:color="000000"/>
              <w:right w:val="nil" w:sz="6" w:space="0" w:color="auto"/>
            </w:tcBorders>
          </w:tcPr>
          <w:p>
            <w:pPr>
              <w:pStyle w:val="TableParagraph"/>
              <w:spacing w:line="180" w:lineRule="exact"/>
              <w:ind w:left="737" w:right="0"/>
              <w:jc w:val="left"/>
              <w:rPr>
                <w:rFonts w:ascii="宋体" w:hAnsi="宋体" w:cs="宋体" w:eastAsia="宋体" w:hint="default"/>
                <w:sz w:val="18"/>
                <w:szCs w:val="18"/>
              </w:rPr>
            </w:pPr>
            <w:r>
              <w:rPr>
                <w:rFonts w:ascii="宋体" w:hAnsi="宋体" w:cs="宋体" w:eastAsia="宋体" w:hint="default"/>
                <w:b/>
                <w:bCs/>
                <w:sz w:val="18"/>
                <w:szCs w:val="18"/>
              </w:rPr>
              <w:t>期末外币余额</w:t>
            </w:r>
            <w:r>
              <w:rPr>
                <w:rFonts w:ascii="宋体" w:hAnsi="宋体" w:cs="宋体" w:eastAsia="宋体" w:hint="default"/>
                <w:sz w:val="18"/>
                <w:szCs w:val="18"/>
              </w:rPr>
            </w:r>
          </w:p>
        </w:tc>
        <w:tc>
          <w:tcPr>
            <w:tcW w:w="1872" w:type="dxa"/>
            <w:tcBorders>
              <w:top w:val="nil" w:sz="6" w:space="0" w:color="auto"/>
              <w:left w:val="nil" w:sz="6" w:space="0" w:color="auto"/>
              <w:bottom w:val="single" w:sz="4" w:space="0" w:color="000000"/>
              <w:right w:val="nil" w:sz="6" w:space="0" w:color="auto"/>
            </w:tcBorders>
          </w:tcPr>
          <w:p>
            <w:pPr>
              <w:pStyle w:val="TableParagraph"/>
              <w:spacing w:line="180" w:lineRule="exact"/>
              <w:ind w:left="637"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2428" w:type="dxa"/>
            <w:tcBorders>
              <w:top w:val="nil" w:sz="6" w:space="0" w:color="auto"/>
              <w:left w:val="nil" w:sz="6" w:space="0" w:color="auto"/>
              <w:bottom w:val="single" w:sz="4" w:space="0" w:color="000000"/>
              <w:right w:val="nil" w:sz="6" w:space="0" w:color="auto"/>
            </w:tcBorders>
          </w:tcPr>
          <w:p>
            <w:pPr>
              <w:pStyle w:val="TableParagraph"/>
              <w:spacing w:line="180" w:lineRule="exact"/>
              <w:ind w:left="512" w:right="0"/>
              <w:jc w:val="left"/>
              <w:rPr>
                <w:rFonts w:ascii="宋体" w:hAnsi="宋体" w:cs="宋体" w:eastAsia="宋体" w:hint="default"/>
                <w:sz w:val="18"/>
                <w:szCs w:val="18"/>
              </w:rPr>
            </w:pPr>
            <w:r>
              <w:rPr>
                <w:rFonts w:ascii="宋体" w:hAnsi="宋体" w:cs="宋体" w:eastAsia="宋体" w:hint="default"/>
                <w:b/>
                <w:bCs/>
                <w:sz w:val="18"/>
                <w:szCs w:val="18"/>
              </w:rPr>
              <w:t>期末折算人民币余额</w:t>
            </w:r>
            <w:r>
              <w:rPr>
                <w:rFonts w:ascii="宋体" w:hAnsi="宋体" w:cs="宋体" w:eastAsia="宋体" w:hint="default"/>
                <w:sz w:val="18"/>
                <w:szCs w:val="18"/>
              </w:rPr>
            </w:r>
          </w:p>
        </w:tc>
      </w:tr>
      <w:tr>
        <w:trPr>
          <w:trHeight w:val="433" w:hRule="exact"/>
        </w:trPr>
        <w:tc>
          <w:tcPr>
            <w:tcW w:w="201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9" w:type="dxa"/>
            <w:tcBorders>
              <w:top w:val="single" w:sz="4" w:space="0" w:color="000000"/>
              <w:left w:val="nil" w:sz="6" w:space="0" w:color="auto"/>
              <w:bottom w:val="nil" w:sz="6" w:space="0" w:color="auto"/>
              <w:right w:val="nil" w:sz="6" w:space="0" w:color="auto"/>
            </w:tcBorders>
          </w:tcPr>
          <w:p>
            <w:pPr/>
          </w:p>
        </w:tc>
        <w:tc>
          <w:tcPr>
            <w:tcW w:w="1872" w:type="dxa"/>
            <w:tcBorders>
              <w:top w:val="single" w:sz="4" w:space="0" w:color="000000"/>
              <w:left w:val="nil" w:sz="6" w:space="0" w:color="auto"/>
              <w:bottom w:val="nil" w:sz="6" w:space="0" w:color="auto"/>
              <w:right w:val="nil" w:sz="6" w:space="0" w:color="auto"/>
            </w:tcBorders>
          </w:tcPr>
          <w:p>
            <w:pPr/>
          </w:p>
        </w:tc>
        <w:tc>
          <w:tcPr>
            <w:tcW w:w="242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14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z w:val="18"/>
                <w:u w:val="thick" w:color="000000"/>
              </w:rPr>
              <w:t>27,192.71</w:t>
            </w:r>
            <w:r>
              <w:rPr>
                <w:rFonts w:ascii="Times New Roman"/>
                <w:sz w:val="18"/>
              </w:rPr>
            </w:r>
          </w:p>
        </w:tc>
      </w:tr>
      <w:tr>
        <w:trPr>
          <w:trHeight w:val="406" w:hRule="exact"/>
        </w:trPr>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67"/>
              <w:jc w:val="right"/>
              <w:rPr>
                <w:rFonts w:ascii="Times New Roman" w:hAnsi="Times New Roman" w:cs="Times New Roman" w:eastAsia="Times New Roman" w:hint="default"/>
                <w:sz w:val="18"/>
                <w:szCs w:val="18"/>
              </w:rPr>
            </w:pPr>
            <w:r>
              <w:rPr>
                <w:rFonts w:ascii="Times New Roman"/>
                <w:spacing w:val="-1"/>
                <w:sz w:val="18"/>
              </w:rPr>
              <w:t>249.61</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569" w:right="0"/>
              <w:jc w:val="left"/>
              <w:rPr>
                <w:rFonts w:ascii="Times New Roman" w:hAnsi="Times New Roman" w:cs="Times New Roman" w:eastAsia="Times New Roman" w:hint="default"/>
                <w:sz w:val="18"/>
                <w:szCs w:val="18"/>
              </w:rPr>
            </w:pPr>
            <w:r>
              <w:rPr>
                <w:rFonts w:ascii="Times New Roman"/>
                <w:sz w:val="18"/>
              </w:rPr>
              <w:t>6.4936</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24" w:right="0"/>
              <w:jc w:val="left"/>
              <w:rPr>
                <w:rFonts w:ascii="Times New Roman" w:hAnsi="Times New Roman" w:cs="Times New Roman" w:eastAsia="Times New Roman" w:hint="default"/>
                <w:sz w:val="18"/>
                <w:szCs w:val="18"/>
              </w:rPr>
            </w:pPr>
            <w:r>
              <w:rPr>
                <w:rFonts w:ascii="Times New Roman"/>
                <w:sz w:val="18"/>
              </w:rPr>
              <w:t>1,620.86</w:t>
            </w:r>
          </w:p>
        </w:tc>
      </w:tr>
      <w:tr>
        <w:trPr>
          <w:trHeight w:val="403" w:hRule="exact"/>
        </w:trPr>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68"/>
              <w:jc w:val="right"/>
              <w:rPr>
                <w:rFonts w:ascii="Times New Roman" w:hAnsi="Times New Roman" w:cs="Times New Roman" w:eastAsia="Times New Roman" w:hint="default"/>
                <w:sz w:val="18"/>
                <w:szCs w:val="18"/>
              </w:rPr>
            </w:pPr>
            <w:r>
              <w:rPr>
                <w:rFonts w:ascii="Times New Roman"/>
                <w:spacing w:val="-1"/>
                <w:sz w:val="18"/>
              </w:rPr>
              <w:t>30,522.62</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569" w:right="0"/>
              <w:jc w:val="left"/>
              <w:rPr>
                <w:rFonts w:ascii="Times New Roman" w:hAnsi="Times New Roman" w:cs="Times New Roman" w:eastAsia="Times New Roman" w:hint="default"/>
                <w:sz w:val="18"/>
                <w:szCs w:val="18"/>
              </w:rPr>
            </w:pPr>
            <w:r>
              <w:rPr>
                <w:rFonts w:ascii="Times New Roman"/>
                <w:sz w:val="18"/>
              </w:rPr>
              <w:t>0.8378</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35" w:right="0"/>
              <w:jc w:val="left"/>
              <w:rPr>
                <w:rFonts w:ascii="Times New Roman" w:hAnsi="Times New Roman" w:cs="Times New Roman" w:eastAsia="Times New Roman" w:hint="default"/>
                <w:sz w:val="18"/>
                <w:szCs w:val="18"/>
              </w:rPr>
            </w:pPr>
            <w:r>
              <w:rPr>
                <w:rFonts w:ascii="Times New Roman"/>
                <w:sz w:val="18"/>
              </w:rPr>
              <w:t>25,571.85</w:t>
            </w:r>
          </w:p>
        </w:tc>
      </w:tr>
      <w:tr>
        <w:trPr>
          <w:trHeight w:val="401" w:hRule="exact"/>
        </w:trPr>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9"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0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4,735,843.78</w:t>
            </w:r>
            <w:r>
              <w:rPr>
                <w:rFonts w:ascii="Times New Roman"/>
                <w:sz w:val="18"/>
              </w:rPr>
            </w:r>
          </w:p>
        </w:tc>
      </w:tr>
      <w:tr>
        <w:trPr>
          <w:trHeight w:val="400" w:hRule="exact"/>
        </w:trPr>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70"/>
              <w:jc w:val="right"/>
              <w:rPr>
                <w:rFonts w:ascii="Times New Roman" w:hAnsi="Times New Roman" w:cs="Times New Roman" w:eastAsia="Times New Roman" w:hint="default"/>
                <w:sz w:val="18"/>
                <w:szCs w:val="18"/>
              </w:rPr>
            </w:pPr>
            <w:r>
              <w:rPr>
                <w:rFonts w:ascii="Times New Roman"/>
                <w:spacing w:val="-1"/>
                <w:sz w:val="18"/>
              </w:rPr>
              <w:t>713,536.16</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69" w:right="0"/>
              <w:jc w:val="left"/>
              <w:rPr>
                <w:rFonts w:ascii="Times New Roman" w:hAnsi="Times New Roman" w:cs="Times New Roman" w:eastAsia="Times New Roman" w:hint="default"/>
                <w:sz w:val="18"/>
                <w:szCs w:val="18"/>
              </w:rPr>
            </w:pPr>
            <w:r>
              <w:rPr>
                <w:rFonts w:ascii="Times New Roman"/>
                <w:sz w:val="18"/>
              </w:rPr>
              <w:t>6.4936</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09" w:right="0"/>
              <w:jc w:val="left"/>
              <w:rPr>
                <w:rFonts w:ascii="Times New Roman" w:hAnsi="Times New Roman" w:cs="Times New Roman" w:eastAsia="Times New Roman" w:hint="default"/>
                <w:sz w:val="18"/>
                <w:szCs w:val="18"/>
              </w:rPr>
            </w:pPr>
            <w:r>
              <w:rPr>
                <w:rFonts w:ascii="Times New Roman"/>
                <w:sz w:val="18"/>
              </w:rPr>
              <w:t>4,633,418.41</w:t>
            </w:r>
          </w:p>
        </w:tc>
      </w:tr>
      <w:tr>
        <w:trPr>
          <w:trHeight w:val="294" w:hRule="exact"/>
        </w:trPr>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70"/>
              <w:jc w:val="right"/>
              <w:rPr>
                <w:rFonts w:ascii="Times New Roman" w:hAnsi="Times New Roman" w:cs="Times New Roman" w:eastAsia="Times New Roman" w:hint="default"/>
                <w:sz w:val="18"/>
                <w:szCs w:val="18"/>
              </w:rPr>
            </w:pPr>
            <w:r>
              <w:rPr>
                <w:rFonts w:ascii="Times New Roman"/>
                <w:spacing w:val="-1"/>
                <w:sz w:val="18"/>
              </w:rPr>
              <w:t>519,925.75</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0.1970</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44" w:right="0"/>
              <w:jc w:val="left"/>
              <w:rPr>
                <w:rFonts w:ascii="Times New Roman" w:hAnsi="Times New Roman" w:cs="Times New Roman" w:eastAsia="Times New Roman" w:hint="default"/>
                <w:sz w:val="18"/>
                <w:szCs w:val="18"/>
              </w:rPr>
            </w:pPr>
            <w:r>
              <w:rPr>
                <w:rFonts w:ascii="Times New Roman"/>
                <w:sz w:val="18"/>
              </w:rPr>
              <w:t>102,425.37</w:t>
            </w:r>
          </w:p>
        </w:tc>
      </w:tr>
    </w:tbl>
    <w:p>
      <w:pPr>
        <w:spacing w:line="240" w:lineRule="auto" w:before="13"/>
        <w:rPr>
          <w:rFonts w:ascii="宋体" w:hAnsi="宋体" w:cs="宋体" w:eastAsia="宋体" w:hint="default"/>
          <w:sz w:val="29"/>
          <w:szCs w:val="29"/>
        </w:rPr>
      </w:pPr>
    </w:p>
    <w:p>
      <w:pPr>
        <w:pStyle w:val="BodyText"/>
        <w:spacing w:line="240" w:lineRule="auto" w:before="44"/>
        <w:ind w:left="720" w:right="0"/>
        <w:jc w:val="left"/>
      </w:pPr>
      <w:r>
        <w:rPr>
          <w:rFonts w:ascii="Times New Roman" w:hAnsi="Times New Roman" w:cs="Times New Roman" w:eastAsia="Times New Roman" w:hint="default"/>
        </w:rPr>
        <w:t>41.</w:t>
      </w:r>
      <w:r>
        <w:rPr>
          <w:rFonts w:ascii="Times New Roman" w:hAnsi="Times New Roman" w:cs="Times New Roman" w:eastAsia="Times New Roman" w:hint="default"/>
          <w:spacing w:val="43"/>
        </w:rPr>
        <w:t> </w:t>
      </w:r>
      <w:r>
        <w:rPr/>
        <w:t>所有权或使用权受到限制的资产</w:t>
      </w:r>
    </w:p>
    <w:p>
      <w:pPr>
        <w:spacing w:line="240" w:lineRule="auto" w:before="12"/>
        <w:rPr>
          <w:rFonts w:ascii="宋体" w:hAnsi="宋体" w:cs="宋体" w:eastAsia="宋体" w:hint="default"/>
          <w:sz w:val="17"/>
          <w:szCs w:val="17"/>
        </w:rPr>
      </w:pPr>
    </w:p>
    <w:p>
      <w:pPr>
        <w:pStyle w:val="Heading6"/>
        <w:spacing w:line="240" w:lineRule="auto"/>
        <w:ind w:left="780" w:right="0"/>
        <w:jc w:val="left"/>
      </w:pPr>
      <w:r>
        <w:rPr/>
        <w:t>本报告期公司无所有权或使用权受到限制的资产。</w:t>
      </w:r>
    </w:p>
    <w:p>
      <w:pPr>
        <w:spacing w:line="240" w:lineRule="auto" w:before="9"/>
        <w:rPr>
          <w:rFonts w:ascii="宋体" w:hAnsi="宋体" w:cs="宋体" w:eastAsia="宋体" w:hint="default"/>
          <w:sz w:val="27"/>
          <w:szCs w:val="27"/>
        </w:rPr>
      </w:pPr>
    </w:p>
    <w:p>
      <w:pPr>
        <w:pStyle w:val="Heading3"/>
        <w:spacing w:line="240" w:lineRule="auto"/>
        <w:ind w:left="360" w:right="0"/>
        <w:jc w:val="left"/>
        <w:rPr>
          <w:rFonts w:ascii="黑体" w:hAnsi="黑体" w:cs="黑体" w:eastAsia="黑体" w:hint="default"/>
          <w:b w:val="0"/>
          <w:bCs w:val="0"/>
        </w:rPr>
      </w:pPr>
      <w:r>
        <w:rPr>
          <w:rFonts w:ascii="黑体" w:hAnsi="黑体" w:cs="黑体" w:eastAsia="黑体" w:hint="default"/>
        </w:rPr>
        <w:t>七、合并范围的变动</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496" w:lineRule="auto"/>
        <w:ind w:left="720" w:right="516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非同一控制下企业合并 本期公司未发生非同一控制下企业合并。</w:t>
      </w:r>
    </w:p>
    <w:p>
      <w:pPr>
        <w:spacing w:line="240" w:lineRule="auto" w:before="1"/>
        <w:rPr>
          <w:rFonts w:ascii="宋体" w:hAnsi="宋体" w:cs="宋体" w:eastAsia="宋体" w:hint="default"/>
          <w:sz w:val="16"/>
          <w:szCs w:val="16"/>
        </w:rPr>
      </w:pPr>
    </w:p>
    <w:p>
      <w:pPr>
        <w:pStyle w:val="BodyText"/>
        <w:spacing w:line="496" w:lineRule="auto"/>
        <w:ind w:left="720" w:right="534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同一控制下企业合并 本期公司未发生同一控制下企业合并。</w:t>
      </w:r>
    </w:p>
    <w:p>
      <w:pPr>
        <w:spacing w:after="0" w:line="496" w:lineRule="auto"/>
        <w:jc w:val="left"/>
        <w:sectPr>
          <w:pgSz w:w="11910" w:h="16840"/>
          <w:pgMar w:header="0" w:footer="979" w:top="1480" w:bottom="1160" w:left="1440" w:right="1320"/>
        </w:sectPr>
      </w:pPr>
    </w:p>
    <w:p>
      <w:pPr>
        <w:pStyle w:val="BodyText"/>
        <w:spacing w:line="496" w:lineRule="auto" w:before="19"/>
        <w:ind w:left="580" w:right="5006"/>
        <w:jc w:val="left"/>
      </w:pPr>
      <w:r>
        <w:rPr>
          <w:rFonts w:ascii="Times New Roman" w:hAnsi="Times New Roman" w:cs="Times New Roman" w:eastAsia="Times New Roman" w:hint="default"/>
        </w:rPr>
        <w:t>3.</w:t>
      </w:r>
      <w:r>
        <w:rPr/>
        <w:t>其他原因的合并范围变动 本期公司未发生其他原因的合并范围变动。</w:t>
      </w:r>
    </w:p>
    <w:p>
      <w:pPr>
        <w:pStyle w:val="Heading3"/>
        <w:spacing w:line="240" w:lineRule="auto" w:before="140"/>
        <w:ind w:left="201" w:right="6135"/>
        <w:jc w:val="center"/>
        <w:rPr>
          <w:rFonts w:ascii="黑体" w:hAnsi="黑体" w:cs="黑体" w:eastAsia="黑体" w:hint="default"/>
          <w:b w:val="0"/>
          <w:bCs w:val="0"/>
        </w:rPr>
      </w:pPr>
      <w:r>
        <w:rPr>
          <w:rFonts w:ascii="黑体" w:hAnsi="黑体" w:cs="黑体" w:eastAsia="黑体" w:hint="default"/>
        </w:rPr>
        <w:t>八、在其他主体中的权益</w:t>
      </w:r>
      <w:r>
        <w:rPr>
          <w:rFonts w:ascii="黑体" w:hAnsi="黑体" w:cs="黑体" w:eastAsia="黑体" w:hint="default"/>
          <w:b w:val="0"/>
          <w:bCs w:val="0"/>
        </w:rPr>
      </w:r>
    </w:p>
    <w:p>
      <w:pPr>
        <w:spacing w:line="240" w:lineRule="auto" w:before="4"/>
        <w:rPr>
          <w:rFonts w:ascii="黑体" w:hAnsi="黑体" w:cs="黑体" w:eastAsia="黑体" w:hint="default"/>
          <w:b/>
          <w:bCs/>
          <w:sz w:val="30"/>
          <w:szCs w:val="30"/>
        </w:rPr>
      </w:pPr>
    </w:p>
    <w:p>
      <w:pPr>
        <w:pStyle w:val="BodyText"/>
        <w:spacing w:line="240" w:lineRule="auto"/>
        <w:ind w:left="671" w:right="0"/>
        <w:jc w:val="left"/>
      </w:pPr>
      <w:r>
        <w:rPr>
          <w:rFonts w:ascii="Times New Roman" w:hAnsi="Times New Roman" w:cs="Times New Roman" w:eastAsia="Times New Roman" w:hint="default"/>
        </w:rPr>
        <w:t>1</w:t>
      </w:r>
      <w:r>
        <w:rPr/>
        <w:t>、在子公司中的权益：</w:t>
      </w:r>
    </w:p>
    <w:p>
      <w:pPr>
        <w:spacing w:line="240" w:lineRule="auto" w:before="5"/>
        <w:rPr>
          <w:rFonts w:ascii="宋体" w:hAnsi="宋体" w:cs="宋体" w:eastAsia="宋体" w:hint="default"/>
          <w:sz w:val="20"/>
          <w:szCs w:val="20"/>
        </w:rPr>
      </w:pPr>
    </w:p>
    <w:p>
      <w:pPr>
        <w:pStyle w:val="BodyText"/>
        <w:tabs>
          <w:tab w:pos="1360" w:val="left" w:leader="none"/>
        </w:tabs>
        <w:spacing w:line="240" w:lineRule="auto"/>
        <w:ind w:left="640" w:right="0"/>
        <w:jc w:val="left"/>
      </w:pPr>
      <w:r>
        <w:rPr/>
        <w:t>（</w:t>
      </w:r>
      <w:r>
        <w:rPr>
          <w:rFonts w:ascii="Times New Roman" w:hAnsi="Times New Roman" w:cs="Times New Roman" w:eastAsia="Times New Roman" w:hint="default"/>
        </w:rPr>
        <w:t>1</w:t>
      </w:r>
      <w:r>
        <w:rPr/>
        <w:t>）</w:t>
        <w:tab/>
        <w:t>构成本公司合并财务报表的子公司情况</w:t>
      </w:r>
    </w:p>
    <w:p>
      <w:pPr>
        <w:spacing w:line="240" w:lineRule="auto" w:before="2"/>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3580"/>
        <w:gridCol w:w="1111"/>
        <w:gridCol w:w="1193"/>
        <w:gridCol w:w="2639"/>
      </w:tblGrid>
      <w:tr>
        <w:trPr>
          <w:trHeight w:val="243" w:hRule="exact"/>
        </w:trPr>
        <w:tc>
          <w:tcPr>
            <w:tcW w:w="3580" w:type="dxa"/>
            <w:tcBorders>
              <w:top w:val="nil" w:sz="6" w:space="0" w:color="auto"/>
              <w:left w:val="nil" w:sz="6" w:space="0" w:color="auto"/>
              <w:bottom w:val="single" w:sz="8" w:space="0" w:color="000000"/>
              <w:right w:val="nil" w:sz="6" w:space="0" w:color="auto"/>
            </w:tcBorders>
          </w:tcPr>
          <w:p>
            <w:pPr>
              <w:pStyle w:val="TableParagraph"/>
              <w:spacing w:line="151" w:lineRule="exact"/>
              <w:ind w:right="14"/>
              <w:jc w:val="center"/>
              <w:rPr>
                <w:rFonts w:ascii="宋体" w:hAnsi="宋体" w:cs="宋体" w:eastAsia="宋体" w:hint="default"/>
                <w:sz w:val="15"/>
                <w:szCs w:val="15"/>
              </w:rPr>
            </w:pPr>
            <w:r>
              <w:rPr>
                <w:rFonts w:ascii="宋体" w:hAnsi="宋体" w:cs="宋体" w:eastAsia="宋体" w:hint="default"/>
                <w:b/>
                <w:bCs/>
                <w:sz w:val="15"/>
                <w:szCs w:val="15"/>
              </w:rPr>
              <w:t>子公司全称</w:t>
            </w:r>
            <w:r>
              <w:rPr>
                <w:rFonts w:ascii="宋体" w:hAnsi="宋体" w:cs="宋体" w:eastAsia="宋体" w:hint="default"/>
                <w:sz w:val="15"/>
                <w:szCs w:val="15"/>
              </w:rPr>
            </w:r>
          </w:p>
        </w:tc>
        <w:tc>
          <w:tcPr>
            <w:tcW w:w="1111" w:type="dxa"/>
            <w:tcBorders>
              <w:top w:val="nil" w:sz="6" w:space="0" w:color="auto"/>
              <w:left w:val="nil" w:sz="6" w:space="0" w:color="auto"/>
              <w:bottom w:val="single" w:sz="8" w:space="0" w:color="000000"/>
              <w:right w:val="nil" w:sz="6" w:space="0" w:color="auto"/>
            </w:tcBorders>
          </w:tcPr>
          <w:p>
            <w:pPr>
              <w:pStyle w:val="TableParagraph"/>
              <w:spacing w:line="151" w:lineRule="exact"/>
              <w:ind w:left="209" w:right="0"/>
              <w:jc w:val="left"/>
              <w:rPr>
                <w:rFonts w:ascii="宋体" w:hAnsi="宋体" w:cs="宋体" w:eastAsia="宋体" w:hint="default"/>
                <w:sz w:val="15"/>
                <w:szCs w:val="15"/>
              </w:rPr>
            </w:pPr>
            <w:r>
              <w:rPr>
                <w:rFonts w:ascii="宋体" w:hAnsi="宋体" w:cs="宋体" w:eastAsia="宋体" w:hint="default"/>
                <w:b/>
                <w:bCs/>
                <w:sz w:val="15"/>
                <w:szCs w:val="15"/>
              </w:rPr>
              <w:t>主要经营地</w:t>
            </w:r>
            <w:r>
              <w:rPr>
                <w:rFonts w:ascii="宋体" w:hAnsi="宋体" w:cs="宋体" w:eastAsia="宋体" w:hint="default"/>
                <w:sz w:val="15"/>
                <w:szCs w:val="15"/>
              </w:rPr>
            </w:r>
          </w:p>
        </w:tc>
        <w:tc>
          <w:tcPr>
            <w:tcW w:w="1193" w:type="dxa"/>
            <w:tcBorders>
              <w:top w:val="nil" w:sz="6" w:space="0" w:color="auto"/>
              <w:left w:val="nil" w:sz="6" w:space="0" w:color="auto"/>
              <w:bottom w:val="single" w:sz="8" w:space="0" w:color="000000"/>
              <w:right w:val="nil" w:sz="6" w:space="0" w:color="auto"/>
            </w:tcBorders>
          </w:tcPr>
          <w:p>
            <w:pPr>
              <w:pStyle w:val="TableParagraph"/>
              <w:spacing w:line="151" w:lineRule="exact"/>
              <w:ind w:left="450" w:right="0"/>
              <w:jc w:val="left"/>
              <w:rPr>
                <w:rFonts w:ascii="宋体" w:hAnsi="宋体" w:cs="宋体" w:eastAsia="宋体" w:hint="default"/>
                <w:sz w:val="15"/>
                <w:szCs w:val="15"/>
              </w:rPr>
            </w:pPr>
            <w:r>
              <w:rPr>
                <w:rFonts w:ascii="宋体" w:hAnsi="宋体" w:cs="宋体" w:eastAsia="宋体" w:hint="default"/>
                <w:b/>
                <w:bCs/>
                <w:sz w:val="15"/>
                <w:szCs w:val="15"/>
              </w:rPr>
              <w:t>注册地</w:t>
            </w:r>
            <w:r>
              <w:rPr>
                <w:rFonts w:ascii="宋体" w:hAnsi="宋体" w:cs="宋体" w:eastAsia="宋体" w:hint="default"/>
                <w:sz w:val="15"/>
                <w:szCs w:val="15"/>
              </w:rPr>
            </w:r>
          </w:p>
        </w:tc>
        <w:tc>
          <w:tcPr>
            <w:tcW w:w="2639" w:type="dxa"/>
            <w:tcBorders>
              <w:top w:val="nil" w:sz="6" w:space="0" w:color="auto"/>
              <w:left w:val="nil" w:sz="6" w:space="0" w:color="auto"/>
              <w:bottom w:val="single" w:sz="8" w:space="0" w:color="000000"/>
              <w:right w:val="nil" w:sz="6" w:space="0" w:color="auto"/>
            </w:tcBorders>
          </w:tcPr>
          <w:p>
            <w:pPr>
              <w:pStyle w:val="TableParagraph"/>
              <w:spacing w:line="151" w:lineRule="exact"/>
              <w:ind w:left="80" w:right="0"/>
              <w:jc w:val="center"/>
              <w:rPr>
                <w:rFonts w:ascii="宋体" w:hAnsi="宋体" w:cs="宋体" w:eastAsia="宋体" w:hint="default"/>
                <w:sz w:val="15"/>
                <w:szCs w:val="15"/>
              </w:rPr>
            </w:pPr>
            <w:r>
              <w:rPr>
                <w:rFonts w:ascii="宋体" w:hAnsi="宋体" w:cs="宋体" w:eastAsia="宋体" w:hint="default"/>
                <w:b/>
                <w:bCs/>
                <w:sz w:val="15"/>
                <w:szCs w:val="15"/>
              </w:rPr>
              <w:t>业务性质</w:t>
            </w:r>
            <w:r>
              <w:rPr>
                <w:rFonts w:ascii="宋体" w:hAnsi="宋体" w:cs="宋体" w:eastAsia="宋体" w:hint="default"/>
                <w:sz w:val="15"/>
                <w:szCs w:val="15"/>
              </w:rPr>
            </w:r>
          </w:p>
        </w:tc>
      </w:tr>
      <w:tr>
        <w:trPr>
          <w:trHeight w:val="714" w:hRule="exact"/>
        </w:trPr>
        <w:tc>
          <w:tcPr>
            <w:tcW w:w="3580"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35"/>
                <w:sz w:val="15"/>
                <w:szCs w:val="15"/>
              </w:rPr>
              <w:t> </w:t>
            </w:r>
            <w:r>
              <w:rPr>
                <w:rFonts w:ascii="宋体" w:hAnsi="宋体" w:cs="宋体" w:eastAsia="宋体" w:hint="default"/>
                <w:sz w:val="15"/>
                <w:szCs w:val="15"/>
              </w:rPr>
              <w:t>湖南天舟华文俪制传媒有限公司</w:t>
            </w:r>
          </w:p>
        </w:tc>
        <w:tc>
          <w:tcPr>
            <w:tcW w:w="1111"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9" w:right="0"/>
              <w:jc w:val="left"/>
              <w:rPr>
                <w:rFonts w:ascii="宋体" w:hAnsi="宋体" w:cs="宋体" w:eastAsia="宋体" w:hint="default"/>
                <w:sz w:val="15"/>
                <w:szCs w:val="15"/>
              </w:rPr>
            </w:pPr>
            <w:r>
              <w:rPr>
                <w:rFonts w:ascii="宋体" w:hAnsi="宋体" w:cs="宋体" w:eastAsia="宋体" w:hint="default"/>
                <w:sz w:val="15"/>
                <w:szCs w:val="15"/>
              </w:rPr>
              <w:t>长沙市</w:t>
            </w:r>
          </w:p>
        </w:tc>
        <w:tc>
          <w:tcPr>
            <w:tcW w:w="1193"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45" w:right="0"/>
              <w:jc w:val="left"/>
              <w:rPr>
                <w:rFonts w:ascii="宋体" w:hAnsi="宋体" w:cs="宋体" w:eastAsia="宋体" w:hint="default"/>
                <w:sz w:val="15"/>
                <w:szCs w:val="15"/>
              </w:rPr>
            </w:pPr>
            <w:r>
              <w:rPr>
                <w:rFonts w:ascii="宋体" w:hAnsi="宋体" w:cs="宋体" w:eastAsia="宋体" w:hint="default"/>
                <w:sz w:val="15"/>
                <w:szCs w:val="15"/>
              </w:rPr>
              <w:t>长沙市</w:t>
            </w:r>
          </w:p>
        </w:tc>
        <w:tc>
          <w:tcPr>
            <w:tcW w:w="2639" w:type="dxa"/>
            <w:tcBorders>
              <w:top w:val="single" w:sz="8" w:space="0" w:color="000000"/>
              <w:left w:val="nil" w:sz="6" w:space="0" w:color="auto"/>
              <w:bottom w:val="nil" w:sz="6" w:space="0" w:color="auto"/>
              <w:right w:val="nil" w:sz="6" w:space="0" w:color="auto"/>
            </w:tcBorders>
          </w:tcPr>
          <w:p>
            <w:pPr>
              <w:pStyle w:val="TableParagraph"/>
              <w:spacing w:line="391" w:lineRule="auto" w:before="84"/>
              <w:ind w:left="195" w:right="104" w:hanging="51"/>
              <w:jc w:val="left"/>
              <w:rPr>
                <w:rFonts w:ascii="宋体" w:hAnsi="宋体" w:cs="宋体" w:eastAsia="宋体" w:hint="default"/>
                <w:sz w:val="15"/>
                <w:szCs w:val="15"/>
              </w:rPr>
            </w:pPr>
            <w:r>
              <w:rPr>
                <w:rFonts w:ascii="宋体" w:hAnsi="宋体" w:cs="宋体" w:eastAsia="宋体" w:hint="default"/>
                <w:spacing w:val="-3"/>
                <w:sz w:val="15"/>
                <w:szCs w:val="15"/>
              </w:rPr>
              <w:t>文化活动的组织与策划；知识产权法</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z w:val="15"/>
                <w:szCs w:val="15"/>
              </w:rPr>
              <w:t>律服务；出版物批发</w:t>
            </w:r>
          </w:p>
        </w:tc>
      </w:tr>
      <w:tr>
        <w:trPr>
          <w:trHeight w:val="364" w:hRule="exact"/>
        </w:trPr>
        <w:tc>
          <w:tcPr>
            <w:tcW w:w="358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35"/>
                <w:sz w:val="15"/>
                <w:szCs w:val="15"/>
              </w:rPr>
              <w:t> </w:t>
            </w:r>
            <w:r>
              <w:rPr>
                <w:rFonts w:ascii="宋体" w:hAnsi="宋体" w:cs="宋体" w:eastAsia="宋体" w:hint="default"/>
                <w:sz w:val="15"/>
                <w:szCs w:val="15"/>
              </w:rPr>
              <w:t>怀化天舟教育有限责任公司</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9" w:right="0"/>
              <w:jc w:val="left"/>
              <w:rPr>
                <w:rFonts w:ascii="宋体" w:hAnsi="宋体" w:cs="宋体" w:eastAsia="宋体" w:hint="default"/>
                <w:sz w:val="15"/>
                <w:szCs w:val="15"/>
              </w:rPr>
            </w:pPr>
            <w:r>
              <w:rPr>
                <w:rFonts w:ascii="宋体" w:hAnsi="宋体" w:cs="宋体" w:eastAsia="宋体" w:hint="default"/>
                <w:sz w:val="15"/>
                <w:szCs w:val="15"/>
              </w:rPr>
              <w:t>怀化市</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5" w:right="0"/>
              <w:jc w:val="left"/>
              <w:rPr>
                <w:rFonts w:ascii="宋体" w:hAnsi="宋体" w:cs="宋体" w:eastAsia="宋体" w:hint="default"/>
                <w:sz w:val="15"/>
                <w:szCs w:val="15"/>
              </w:rPr>
            </w:pPr>
            <w:r>
              <w:rPr>
                <w:rFonts w:ascii="宋体" w:hAnsi="宋体" w:cs="宋体" w:eastAsia="宋体" w:hint="default"/>
                <w:sz w:val="15"/>
                <w:szCs w:val="15"/>
              </w:rPr>
              <w:t>怀化市</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5" w:right="0"/>
              <w:jc w:val="left"/>
              <w:rPr>
                <w:rFonts w:ascii="宋体" w:hAnsi="宋体" w:cs="宋体" w:eastAsia="宋体" w:hint="default"/>
                <w:sz w:val="15"/>
                <w:szCs w:val="15"/>
              </w:rPr>
            </w:pPr>
            <w:r>
              <w:rPr>
                <w:rFonts w:ascii="宋体" w:hAnsi="宋体" w:cs="宋体" w:eastAsia="宋体" w:hint="default"/>
                <w:sz w:val="15"/>
                <w:szCs w:val="15"/>
              </w:rPr>
              <w:t>书报刊批发</w:t>
            </w:r>
          </w:p>
        </w:tc>
      </w:tr>
      <w:tr>
        <w:trPr>
          <w:trHeight w:val="360" w:hRule="exact"/>
        </w:trPr>
        <w:tc>
          <w:tcPr>
            <w:tcW w:w="358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35"/>
                <w:sz w:val="15"/>
                <w:szCs w:val="15"/>
              </w:rPr>
              <w:t> </w:t>
            </w:r>
            <w:r>
              <w:rPr>
                <w:rFonts w:ascii="宋体" w:hAnsi="宋体" w:cs="宋体" w:eastAsia="宋体" w:hint="default"/>
                <w:sz w:val="15"/>
                <w:szCs w:val="15"/>
              </w:rPr>
              <w:t>北京北方天舟文化有限公司</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9" w:right="0"/>
              <w:jc w:val="left"/>
              <w:rPr>
                <w:rFonts w:ascii="宋体" w:hAnsi="宋体" w:cs="宋体" w:eastAsia="宋体" w:hint="default"/>
                <w:sz w:val="15"/>
                <w:szCs w:val="15"/>
              </w:rPr>
            </w:pPr>
            <w:r>
              <w:rPr>
                <w:rFonts w:ascii="宋体" w:hAnsi="宋体" w:cs="宋体" w:eastAsia="宋体" w:hint="default"/>
                <w:sz w:val="15"/>
                <w:szCs w:val="15"/>
              </w:rPr>
              <w:t>北京市</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45" w:right="0"/>
              <w:jc w:val="left"/>
              <w:rPr>
                <w:rFonts w:ascii="宋体" w:hAnsi="宋体" w:cs="宋体" w:eastAsia="宋体" w:hint="default"/>
                <w:sz w:val="15"/>
                <w:szCs w:val="15"/>
              </w:rPr>
            </w:pPr>
            <w:r>
              <w:rPr>
                <w:rFonts w:ascii="宋体" w:hAnsi="宋体" w:cs="宋体" w:eastAsia="宋体" w:hint="default"/>
                <w:sz w:val="15"/>
                <w:szCs w:val="15"/>
              </w:rPr>
              <w:t>北京市</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45" w:right="0"/>
              <w:jc w:val="left"/>
              <w:rPr>
                <w:rFonts w:ascii="宋体" w:hAnsi="宋体" w:cs="宋体" w:eastAsia="宋体" w:hint="default"/>
                <w:sz w:val="15"/>
                <w:szCs w:val="15"/>
              </w:rPr>
            </w:pPr>
            <w:r>
              <w:rPr>
                <w:rFonts w:ascii="宋体" w:hAnsi="宋体" w:cs="宋体" w:eastAsia="宋体" w:hint="default"/>
                <w:spacing w:val="-3"/>
                <w:sz w:val="15"/>
                <w:szCs w:val="15"/>
              </w:rPr>
              <w:t>销售图书、报纸、期刊、电子出版物</w:t>
            </w:r>
          </w:p>
        </w:tc>
      </w:tr>
      <w:tr>
        <w:trPr>
          <w:trHeight w:val="675" w:hRule="exact"/>
        </w:trPr>
        <w:tc>
          <w:tcPr>
            <w:tcW w:w="35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35"/>
                <w:sz w:val="15"/>
                <w:szCs w:val="15"/>
              </w:rPr>
              <w:t> </w:t>
            </w:r>
            <w:r>
              <w:rPr>
                <w:rFonts w:ascii="宋体" w:hAnsi="宋体" w:cs="宋体" w:eastAsia="宋体" w:hint="default"/>
                <w:sz w:val="15"/>
                <w:szCs w:val="15"/>
              </w:rPr>
              <w:t>广州天瑞文化传播有限公司</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9" w:right="0"/>
              <w:jc w:val="left"/>
              <w:rPr>
                <w:rFonts w:ascii="宋体" w:hAnsi="宋体" w:cs="宋体" w:eastAsia="宋体" w:hint="default"/>
                <w:sz w:val="15"/>
                <w:szCs w:val="15"/>
              </w:rPr>
            </w:pPr>
            <w:r>
              <w:rPr>
                <w:rFonts w:ascii="宋体" w:hAnsi="宋体" w:cs="宋体" w:eastAsia="宋体" w:hint="default"/>
                <w:sz w:val="15"/>
                <w:szCs w:val="15"/>
              </w:rPr>
              <w:t>广州市</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45" w:right="0"/>
              <w:jc w:val="left"/>
              <w:rPr>
                <w:rFonts w:ascii="宋体" w:hAnsi="宋体" w:cs="宋体" w:eastAsia="宋体" w:hint="default"/>
                <w:sz w:val="15"/>
                <w:szCs w:val="15"/>
              </w:rPr>
            </w:pPr>
            <w:r>
              <w:rPr>
                <w:rFonts w:ascii="宋体" w:hAnsi="宋体" w:cs="宋体" w:eastAsia="宋体" w:hint="default"/>
                <w:sz w:val="15"/>
                <w:szCs w:val="15"/>
              </w:rPr>
              <w:t>广州市</w:t>
            </w:r>
          </w:p>
        </w:tc>
        <w:tc>
          <w:tcPr>
            <w:tcW w:w="2639" w:type="dxa"/>
            <w:tcBorders>
              <w:top w:val="nil" w:sz="6" w:space="0" w:color="auto"/>
              <w:left w:val="nil" w:sz="6" w:space="0" w:color="auto"/>
              <w:bottom w:val="nil" w:sz="6" w:space="0" w:color="auto"/>
              <w:right w:val="nil" w:sz="6" w:space="0" w:color="auto"/>
            </w:tcBorders>
          </w:tcPr>
          <w:p>
            <w:pPr>
              <w:pStyle w:val="TableParagraph"/>
              <w:spacing w:line="391" w:lineRule="auto" w:before="55"/>
              <w:ind w:left="195" w:right="104" w:hanging="51"/>
              <w:jc w:val="left"/>
              <w:rPr>
                <w:rFonts w:ascii="宋体" w:hAnsi="宋体" w:cs="宋体" w:eastAsia="宋体" w:hint="default"/>
                <w:sz w:val="15"/>
                <w:szCs w:val="15"/>
              </w:rPr>
            </w:pPr>
            <w:r>
              <w:rPr>
                <w:rFonts w:ascii="宋体" w:hAnsi="宋体" w:cs="宋体" w:eastAsia="宋体" w:hint="default"/>
                <w:spacing w:val="-3"/>
                <w:sz w:val="15"/>
                <w:szCs w:val="15"/>
              </w:rPr>
              <w:t>图书批发；报刊批发；图书、报刊零</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z w:val="15"/>
                <w:szCs w:val="15"/>
              </w:rPr>
              <w:t>售</w:t>
            </w:r>
          </w:p>
        </w:tc>
      </w:tr>
      <w:tr>
        <w:trPr>
          <w:trHeight w:val="364" w:hRule="exact"/>
        </w:trPr>
        <w:tc>
          <w:tcPr>
            <w:tcW w:w="358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浙江天舟图书有限公司</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9" w:right="0"/>
              <w:jc w:val="left"/>
              <w:rPr>
                <w:rFonts w:ascii="宋体" w:hAnsi="宋体" w:cs="宋体" w:eastAsia="宋体" w:hint="default"/>
                <w:sz w:val="15"/>
                <w:szCs w:val="15"/>
              </w:rPr>
            </w:pPr>
            <w:r>
              <w:rPr>
                <w:rFonts w:ascii="宋体" w:hAnsi="宋体" w:cs="宋体" w:eastAsia="宋体" w:hint="default"/>
                <w:sz w:val="15"/>
                <w:szCs w:val="15"/>
              </w:rPr>
              <w:t>杭州市</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5" w:right="0"/>
              <w:jc w:val="left"/>
              <w:rPr>
                <w:rFonts w:ascii="宋体" w:hAnsi="宋体" w:cs="宋体" w:eastAsia="宋体" w:hint="default"/>
                <w:sz w:val="15"/>
                <w:szCs w:val="15"/>
              </w:rPr>
            </w:pPr>
            <w:r>
              <w:rPr>
                <w:rFonts w:ascii="宋体" w:hAnsi="宋体" w:cs="宋体" w:eastAsia="宋体" w:hint="default"/>
                <w:sz w:val="15"/>
                <w:szCs w:val="15"/>
              </w:rPr>
              <w:t>杭州市</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5" w:right="0"/>
              <w:jc w:val="left"/>
              <w:rPr>
                <w:rFonts w:ascii="宋体" w:hAnsi="宋体" w:cs="宋体" w:eastAsia="宋体" w:hint="default"/>
                <w:sz w:val="15"/>
                <w:szCs w:val="15"/>
              </w:rPr>
            </w:pPr>
            <w:r>
              <w:rPr>
                <w:rFonts w:ascii="宋体" w:hAnsi="宋体" w:cs="宋体" w:eastAsia="宋体" w:hint="default"/>
                <w:spacing w:val="-3"/>
                <w:sz w:val="15"/>
                <w:szCs w:val="15"/>
              </w:rPr>
              <w:t>批发、零售：图书报刊、电子出版物</w:t>
            </w:r>
          </w:p>
        </w:tc>
      </w:tr>
      <w:tr>
        <w:trPr>
          <w:trHeight w:val="677" w:hRule="exact"/>
        </w:trPr>
        <w:tc>
          <w:tcPr>
            <w:tcW w:w="35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北京永载文化有限公司</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9" w:right="0"/>
              <w:jc w:val="left"/>
              <w:rPr>
                <w:rFonts w:ascii="宋体" w:hAnsi="宋体" w:cs="宋体" w:eastAsia="宋体" w:hint="default"/>
                <w:sz w:val="15"/>
                <w:szCs w:val="15"/>
              </w:rPr>
            </w:pPr>
            <w:r>
              <w:rPr>
                <w:rFonts w:ascii="宋体" w:hAnsi="宋体" w:cs="宋体" w:eastAsia="宋体" w:hint="default"/>
                <w:sz w:val="15"/>
                <w:szCs w:val="15"/>
              </w:rPr>
              <w:t>北京市</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45" w:right="0"/>
              <w:jc w:val="left"/>
              <w:rPr>
                <w:rFonts w:ascii="宋体" w:hAnsi="宋体" w:cs="宋体" w:eastAsia="宋体" w:hint="default"/>
                <w:sz w:val="15"/>
                <w:szCs w:val="15"/>
              </w:rPr>
            </w:pPr>
            <w:r>
              <w:rPr>
                <w:rFonts w:ascii="宋体" w:hAnsi="宋体" w:cs="宋体" w:eastAsia="宋体" w:hint="default"/>
                <w:sz w:val="15"/>
                <w:szCs w:val="15"/>
              </w:rPr>
              <w:t>北京市</w:t>
            </w:r>
          </w:p>
        </w:tc>
        <w:tc>
          <w:tcPr>
            <w:tcW w:w="2639" w:type="dxa"/>
            <w:tcBorders>
              <w:top w:val="nil" w:sz="6" w:space="0" w:color="auto"/>
              <w:left w:val="nil" w:sz="6" w:space="0" w:color="auto"/>
              <w:bottom w:val="nil" w:sz="6" w:space="0" w:color="auto"/>
              <w:right w:val="nil" w:sz="6" w:space="0" w:color="auto"/>
            </w:tcBorders>
          </w:tcPr>
          <w:p>
            <w:pPr>
              <w:pStyle w:val="TableParagraph"/>
              <w:spacing w:line="393" w:lineRule="auto" w:before="55"/>
              <w:ind w:left="195" w:right="104" w:hanging="51"/>
              <w:jc w:val="left"/>
              <w:rPr>
                <w:rFonts w:ascii="宋体" w:hAnsi="宋体" w:cs="宋体" w:eastAsia="宋体" w:hint="default"/>
                <w:sz w:val="15"/>
                <w:szCs w:val="15"/>
              </w:rPr>
            </w:pPr>
            <w:r>
              <w:rPr>
                <w:rFonts w:ascii="宋体" w:hAnsi="宋体" w:cs="宋体" w:eastAsia="宋体" w:hint="default"/>
                <w:spacing w:val="-3"/>
                <w:sz w:val="15"/>
                <w:szCs w:val="15"/>
              </w:rPr>
              <w:t>批发、零售：图书、报纸、期刊、电</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子出版物</w:t>
            </w:r>
          </w:p>
        </w:tc>
      </w:tr>
      <w:tr>
        <w:trPr>
          <w:trHeight w:val="680" w:hRule="exact"/>
        </w:trPr>
        <w:tc>
          <w:tcPr>
            <w:tcW w:w="35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35"/>
                <w:sz w:val="15"/>
                <w:szCs w:val="15"/>
              </w:rPr>
              <w:t> </w:t>
            </w:r>
            <w:r>
              <w:rPr>
                <w:rFonts w:ascii="宋体" w:hAnsi="宋体" w:cs="宋体" w:eastAsia="宋体" w:hint="default"/>
                <w:sz w:val="15"/>
                <w:szCs w:val="15"/>
              </w:rPr>
              <w:t>北京神奇时代网络有限公司</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9" w:right="0"/>
              <w:jc w:val="left"/>
              <w:rPr>
                <w:rFonts w:ascii="宋体" w:hAnsi="宋体" w:cs="宋体" w:eastAsia="宋体" w:hint="default"/>
                <w:sz w:val="15"/>
                <w:szCs w:val="15"/>
              </w:rPr>
            </w:pPr>
            <w:r>
              <w:rPr>
                <w:rFonts w:ascii="宋体" w:hAnsi="宋体" w:cs="宋体" w:eastAsia="宋体" w:hint="default"/>
                <w:sz w:val="15"/>
                <w:szCs w:val="15"/>
              </w:rPr>
              <w:t>北京市</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45" w:right="0"/>
              <w:jc w:val="left"/>
              <w:rPr>
                <w:rFonts w:ascii="宋体" w:hAnsi="宋体" w:cs="宋体" w:eastAsia="宋体" w:hint="default"/>
                <w:sz w:val="15"/>
                <w:szCs w:val="15"/>
              </w:rPr>
            </w:pPr>
            <w:r>
              <w:rPr>
                <w:rFonts w:ascii="宋体" w:hAnsi="宋体" w:cs="宋体" w:eastAsia="宋体" w:hint="default"/>
                <w:sz w:val="15"/>
                <w:szCs w:val="15"/>
              </w:rPr>
              <w:t>北京市</w:t>
            </w:r>
          </w:p>
        </w:tc>
        <w:tc>
          <w:tcPr>
            <w:tcW w:w="2639" w:type="dxa"/>
            <w:tcBorders>
              <w:top w:val="nil" w:sz="6" w:space="0" w:color="auto"/>
              <w:left w:val="nil" w:sz="6" w:space="0" w:color="auto"/>
              <w:bottom w:val="nil" w:sz="6" w:space="0" w:color="auto"/>
              <w:right w:val="nil" w:sz="6" w:space="0" w:color="auto"/>
            </w:tcBorders>
          </w:tcPr>
          <w:p>
            <w:pPr>
              <w:pStyle w:val="TableParagraph"/>
              <w:spacing w:line="391" w:lineRule="auto" w:before="59"/>
              <w:ind w:left="195" w:right="104" w:hanging="51"/>
              <w:jc w:val="left"/>
              <w:rPr>
                <w:rFonts w:ascii="宋体" w:hAnsi="宋体" w:cs="宋体" w:eastAsia="宋体" w:hint="default"/>
                <w:sz w:val="15"/>
                <w:szCs w:val="15"/>
              </w:rPr>
            </w:pPr>
            <w:r>
              <w:rPr>
                <w:rFonts w:ascii="宋体" w:hAnsi="宋体" w:cs="宋体" w:eastAsia="宋体" w:hint="default"/>
                <w:spacing w:val="-3"/>
                <w:sz w:val="15"/>
                <w:szCs w:val="15"/>
              </w:rPr>
              <w:t>互联网信息服务；利用信息网经营游</w:t>
            </w:r>
            <w:r>
              <w:rPr>
                <w:rFonts w:ascii="宋体" w:hAnsi="宋体" w:cs="宋体" w:eastAsia="宋体" w:hint="default"/>
                <w:spacing w:val="-43"/>
                <w:sz w:val="15"/>
                <w:szCs w:val="15"/>
              </w:rPr>
              <w:t> </w:t>
            </w:r>
            <w:r>
              <w:rPr>
                <w:rFonts w:ascii="宋体" w:hAnsi="宋体" w:cs="宋体" w:eastAsia="宋体" w:hint="default"/>
                <w:spacing w:val="-43"/>
                <w:sz w:val="15"/>
                <w:szCs w:val="15"/>
              </w:rPr>
            </w:r>
            <w:r>
              <w:rPr>
                <w:rFonts w:ascii="宋体" w:hAnsi="宋体" w:cs="宋体" w:eastAsia="宋体" w:hint="default"/>
                <w:spacing w:val="-6"/>
                <w:sz w:val="15"/>
                <w:szCs w:val="15"/>
              </w:rPr>
              <w:t>戏产品；互联网游戏、手机游戏出版</w:t>
            </w:r>
          </w:p>
        </w:tc>
      </w:tr>
      <w:tr>
        <w:trPr>
          <w:trHeight w:val="1001" w:hRule="exact"/>
        </w:trPr>
        <w:tc>
          <w:tcPr>
            <w:tcW w:w="35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34"/>
                <w:sz w:val="15"/>
                <w:szCs w:val="15"/>
              </w:rPr>
              <w:t> </w:t>
            </w:r>
            <w:r>
              <w:rPr>
                <w:rFonts w:ascii="宋体" w:hAnsi="宋体" w:cs="宋体" w:eastAsia="宋体" w:hint="default"/>
                <w:sz w:val="15"/>
                <w:szCs w:val="15"/>
              </w:rPr>
              <w:t>神奇时代信息技术（天津）有限公司</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9" w:right="0"/>
              <w:jc w:val="left"/>
              <w:rPr>
                <w:rFonts w:ascii="宋体" w:hAnsi="宋体" w:cs="宋体" w:eastAsia="宋体" w:hint="default"/>
                <w:sz w:val="15"/>
                <w:szCs w:val="15"/>
              </w:rPr>
            </w:pPr>
            <w:r>
              <w:rPr>
                <w:rFonts w:ascii="宋体" w:hAnsi="宋体" w:cs="宋体" w:eastAsia="宋体" w:hint="default"/>
                <w:sz w:val="15"/>
                <w:szCs w:val="15"/>
              </w:rPr>
              <w:t>天津市</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5" w:right="0"/>
              <w:jc w:val="left"/>
              <w:rPr>
                <w:rFonts w:ascii="宋体" w:hAnsi="宋体" w:cs="宋体" w:eastAsia="宋体" w:hint="default"/>
                <w:sz w:val="15"/>
                <w:szCs w:val="15"/>
              </w:rPr>
            </w:pPr>
            <w:r>
              <w:rPr>
                <w:rFonts w:ascii="宋体" w:hAnsi="宋体" w:cs="宋体" w:eastAsia="宋体" w:hint="default"/>
                <w:sz w:val="15"/>
                <w:szCs w:val="15"/>
              </w:rPr>
              <w:t>天津市</w:t>
            </w:r>
          </w:p>
        </w:tc>
        <w:tc>
          <w:tcPr>
            <w:tcW w:w="2639" w:type="dxa"/>
            <w:tcBorders>
              <w:top w:val="nil" w:sz="6" w:space="0" w:color="auto"/>
              <w:left w:val="nil" w:sz="6" w:space="0" w:color="auto"/>
              <w:bottom w:val="nil" w:sz="6" w:space="0" w:color="auto"/>
              <w:right w:val="nil" w:sz="6" w:space="0" w:color="auto"/>
            </w:tcBorders>
          </w:tcPr>
          <w:p>
            <w:pPr>
              <w:pStyle w:val="TableParagraph"/>
              <w:spacing w:line="391" w:lineRule="auto" w:before="59"/>
              <w:ind w:left="195" w:right="29" w:hanging="51"/>
              <w:jc w:val="left"/>
              <w:rPr>
                <w:rFonts w:ascii="宋体" w:hAnsi="宋体" w:cs="宋体" w:eastAsia="宋体" w:hint="default"/>
                <w:sz w:val="15"/>
                <w:szCs w:val="15"/>
              </w:rPr>
            </w:pPr>
            <w:r>
              <w:rPr>
                <w:rFonts w:ascii="宋体" w:hAnsi="宋体" w:cs="宋体" w:eastAsia="宋体" w:hint="default"/>
                <w:spacing w:val="-7"/>
                <w:sz w:val="15"/>
                <w:szCs w:val="15"/>
              </w:rPr>
              <w:t>信息技术开发、技术转让、技术咨询、</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pacing w:val="-6"/>
                <w:sz w:val="15"/>
                <w:szCs w:val="15"/>
              </w:rPr>
              <w:t>技术服务、技术推广；计算机系统服</w:t>
            </w:r>
            <w:r>
              <w:rPr>
                <w:rFonts w:ascii="宋体" w:hAnsi="宋体" w:cs="宋体" w:eastAsia="宋体" w:hint="default"/>
                <w:w w:val="100"/>
                <w:sz w:val="15"/>
                <w:szCs w:val="15"/>
              </w:rPr>
              <w:t> </w:t>
            </w:r>
            <w:r>
              <w:rPr>
                <w:rFonts w:ascii="宋体" w:hAnsi="宋体" w:cs="宋体" w:eastAsia="宋体" w:hint="default"/>
                <w:sz w:val="15"/>
                <w:szCs w:val="15"/>
              </w:rPr>
              <w:t>务；软件开发；电脑动画设计</w:t>
            </w:r>
          </w:p>
        </w:tc>
      </w:tr>
      <w:tr>
        <w:trPr>
          <w:trHeight w:val="364" w:hRule="exact"/>
        </w:trPr>
        <w:tc>
          <w:tcPr>
            <w:tcW w:w="358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9. APPNODE TANGLE COMPANY</w:t>
            </w:r>
            <w:r>
              <w:rPr>
                <w:rFonts w:ascii="Times New Roman" w:hAnsi="Times New Roman" w:cs="Times New Roman" w:eastAsia="Times New Roman" w:hint="default"/>
                <w:spacing w:val="4"/>
                <w:sz w:val="15"/>
                <w:szCs w:val="15"/>
              </w:rPr>
              <w:t> </w:t>
            </w:r>
            <w:r>
              <w:rPr>
                <w:rFonts w:ascii="Times New Roman" w:hAnsi="Times New Roman" w:cs="Times New Roman" w:eastAsia="Times New Roman" w:hint="default"/>
                <w:spacing w:val="-3"/>
                <w:sz w:val="15"/>
                <w:szCs w:val="15"/>
              </w:rPr>
              <w:t>LIMITED</w:t>
            </w: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HK</w:t>
            </w:r>
            <w:r>
              <w:rPr>
                <w:rFonts w:ascii="宋体" w:hAnsi="宋体" w:cs="宋体" w:eastAsia="宋体" w:hint="default"/>
                <w:spacing w:val="-3"/>
                <w:sz w:val="15"/>
                <w:szCs w:val="15"/>
              </w:rPr>
              <w:t>）</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9" w:right="0"/>
              <w:jc w:val="left"/>
              <w:rPr>
                <w:rFonts w:ascii="宋体" w:hAnsi="宋体" w:cs="宋体" w:eastAsia="宋体" w:hint="default"/>
                <w:sz w:val="15"/>
                <w:szCs w:val="15"/>
              </w:rPr>
            </w:pPr>
            <w:r>
              <w:rPr>
                <w:rFonts w:ascii="宋体" w:hAnsi="宋体" w:cs="宋体" w:eastAsia="宋体" w:hint="default"/>
                <w:sz w:val="15"/>
                <w:szCs w:val="15"/>
              </w:rPr>
              <w:t>中国香港</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5" w:right="0"/>
              <w:jc w:val="left"/>
              <w:rPr>
                <w:rFonts w:ascii="宋体" w:hAnsi="宋体" w:cs="宋体" w:eastAsia="宋体" w:hint="default"/>
                <w:sz w:val="15"/>
                <w:szCs w:val="15"/>
              </w:rPr>
            </w:pPr>
            <w:r>
              <w:rPr>
                <w:rFonts w:ascii="宋体" w:hAnsi="宋体" w:cs="宋体" w:eastAsia="宋体" w:hint="default"/>
                <w:sz w:val="15"/>
                <w:szCs w:val="15"/>
              </w:rPr>
              <w:t>中国香港</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5" w:right="0"/>
              <w:jc w:val="left"/>
              <w:rPr>
                <w:rFonts w:ascii="宋体" w:hAnsi="宋体" w:cs="宋体" w:eastAsia="宋体" w:hint="default"/>
                <w:sz w:val="15"/>
                <w:szCs w:val="15"/>
              </w:rPr>
            </w:pPr>
            <w:r>
              <w:rPr>
                <w:rFonts w:ascii="宋体" w:hAnsi="宋体" w:cs="宋体" w:eastAsia="宋体" w:hint="default"/>
                <w:sz w:val="15"/>
                <w:szCs w:val="15"/>
              </w:rPr>
              <w:t>投资管理和国际贸易</w:t>
            </w:r>
          </w:p>
        </w:tc>
      </w:tr>
      <w:tr>
        <w:trPr>
          <w:trHeight w:val="579" w:hRule="exact"/>
        </w:trPr>
        <w:tc>
          <w:tcPr>
            <w:tcW w:w="358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8" w:right="0"/>
              <w:jc w:val="left"/>
              <w:rPr>
                <w:rFonts w:ascii="Times New Roman" w:hAnsi="Times New Roman" w:cs="Times New Roman" w:eastAsia="Times New Roman" w:hint="default"/>
                <w:sz w:val="15"/>
                <w:szCs w:val="15"/>
              </w:rPr>
            </w:pPr>
            <w:r>
              <w:rPr>
                <w:rFonts w:ascii="Times New Roman"/>
                <w:sz w:val="15"/>
              </w:rPr>
              <w:t>10. APPNODE TANGLE COMPANY</w:t>
            </w:r>
            <w:r>
              <w:rPr>
                <w:rFonts w:ascii="Times New Roman"/>
                <w:spacing w:val="-18"/>
                <w:sz w:val="15"/>
              </w:rPr>
              <w:t> </w:t>
            </w:r>
            <w:r>
              <w:rPr>
                <w:rFonts w:ascii="Times New Roman"/>
                <w:sz w:val="15"/>
              </w:rPr>
              <w:t>LIMITED</w:t>
            </w:r>
          </w:p>
          <w:p>
            <w:pPr>
              <w:pStyle w:val="TableParagraph"/>
              <w:spacing w:line="240" w:lineRule="auto" w:before="111"/>
              <w:ind w:left="108"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BVI</w:t>
            </w:r>
            <w:r>
              <w:rPr>
                <w:rFonts w:ascii="宋体" w:hAnsi="宋体" w:cs="宋体" w:eastAsia="宋体" w:hint="default"/>
                <w:sz w:val="15"/>
                <w:szCs w:val="15"/>
              </w:rPr>
              <w:t>）</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9" w:right="0"/>
              <w:jc w:val="left"/>
              <w:rPr>
                <w:rFonts w:ascii="宋体" w:hAnsi="宋体" w:cs="宋体" w:eastAsia="宋体" w:hint="default"/>
                <w:sz w:val="15"/>
                <w:szCs w:val="15"/>
              </w:rPr>
            </w:pPr>
            <w:r>
              <w:rPr>
                <w:rFonts w:ascii="宋体" w:hAnsi="宋体" w:cs="宋体" w:eastAsia="宋体" w:hint="default"/>
                <w:sz w:val="15"/>
                <w:szCs w:val="15"/>
              </w:rPr>
              <w:t>英属维尔京群</w:t>
            </w:r>
          </w:p>
          <w:p>
            <w:pPr>
              <w:pStyle w:val="TableParagraph"/>
              <w:spacing w:line="240" w:lineRule="auto" w:before="123"/>
              <w:ind w:left="99" w:right="0"/>
              <w:jc w:val="left"/>
              <w:rPr>
                <w:rFonts w:ascii="宋体" w:hAnsi="宋体" w:cs="宋体" w:eastAsia="宋体" w:hint="default"/>
                <w:sz w:val="15"/>
                <w:szCs w:val="15"/>
              </w:rPr>
            </w:pPr>
            <w:r>
              <w:rPr>
                <w:rFonts w:ascii="宋体" w:hAnsi="宋体" w:cs="宋体" w:eastAsia="宋体" w:hint="default"/>
                <w:w w:val="100"/>
                <w:sz w:val="15"/>
                <w:szCs w:val="15"/>
              </w:rPr>
              <w:t>岛</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45" w:right="0"/>
              <w:jc w:val="left"/>
              <w:rPr>
                <w:rFonts w:ascii="宋体" w:hAnsi="宋体" w:cs="宋体" w:eastAsia="宋体" w:hint="default"/>
                <w:sz w:val="15"/>
                <w:szCs w:val="15"/>
              </w:rPr>
            </w:pPr>
            <w:r>
              <w:rPr>
                <w:rFonts w:ascii="宋体" w:hAnsi="宋体" w:cs="宋体" w:eastAsia="宋体" w:hint="default"/>
                <w:sz w:val="15"/>
                <w:szCs w:val="15"/>
              </w:rPr>
              <w:t>英属维尔京群</w:t>
            </w:r>
          </w:p>
          <w:p>
            <w:pPr>
              <w:pStyle w:val="TableParagraph"/>
              <w:spacing w:line="240" w:lineRule="auto" w:before="123"/>
              <w:ind w:left="195" w:right="0"/>
              <w:jc w:val="left"/>
              <w:rPr>
                <w:rFonts w:ascii="宋体" w:hAnsi="宋体" w:cs="宋体" w:eastAsia="宋体" w:hint="default"/>
                <w:sz w:val="15"/>
                <w:szCs w:val="15"/>
              </w:rPr>
            </w:pPr>
            <w:r>
              <w:rPr>
                <w:rFonts w:ascii="宋体" w:hAnsi="宋体" w:cs="宋体" w:eastAsia="宋体" w:hint="default"/>
                <w:w w:val="100"/>
                <w:sz w:val="15"/>
                <w:szCs w:val="15"/>
              </w:rPr>
              <w:t>岛</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45" w:right="0"/>
              <w:jc w:val="left"/>
              <w:rPr>
                <w:rFonts w:ascii="宋体" w:hAnsi="宋体" w:cs="宋体" w:eastAsia="宋体" w:hint="default"/>
                <w:sz w:val="15"/>
                <w:szCs w:val="15"/>
              </w:rPr>
            </w:pPr>
            <w:r>
              <w:rPr>
                <w:rFonts w:ascii="宋体" w:hAnsi="宋体" w:cs="宋体" w:eastAsia="宋体" w:hint="default"/>
                <w:sz w:val="15"/>
                <w:szCs w:val="15"/>
              </w:rPr>
              <w:t>投资管理和国际贸易</w:t>
            </w:r>
          </w:p>
        </w:tc>
      </w:tr>
    </w:tbl>
    <w:p>
      <w:pPr>
        <w:spacing w:line="240" w:lineRule="auto" w:before="6"/>
        <w:rPr>
          <w:rFonts w:ascii="宋体" w:hAnsi="宋体" w:cs="宋体" w:eastAsia="宋体" w:hint="default"/>
          <w:sz w:val="29"/>
          <w:szCs w:val="29"/>
        </w:rPr>
      </w:pPr>
    </w:p>
    <w:p>
      <w:pPr>
        <w:pStyle w:val="BodyText"/>
        <w:spacing w:line="240" w:lineRule="auto" w:before="44"/>
        <w:ind w:left="580" w:right="0"/>
        <w:jc w:val="left"/>
      </w:pPr>
      <w:r>
        <w:rPr/>
        <w:t>接上表：</w:t>
      </w:r>
    </w:p>
    <w:p>
      <w:pPr>
        <w:spacing w:line="240" w:lineRule="auto" w:before="9"/>
        <w:rPr>
          <w:rFonts w:ascii="宋体" w:hAnsi="宋体" w:cs="宋体" w:eastAsia="宋体" w:hint="default"/>
          <w:sz w:val="25"/>
          <w:szCs w:val="25"/>
        </w:rPr>
      </w:pPr>
    </w:p>
    <w:tbl>
      <w:tblPr>
        <w:tblW w:w="0" w:type="auto"/>
        <w:jc w:val="left"/>
        <w:tblInd w:w="112" w:type="dxa"/>
        <w:tblLayout w:type="fixed"/>
        <w:tblCellMar>
          <w:top w:w="0" w:type="dxa"/>
          <w:left w:w="0" w:type="dxa"/>
          <w:bottom w:w="0" w:type="dxa"/>
          <w:right w:w="0" w:type="dxa"/>
        </w:tblCellMar>
        <w:tblLook w:val="01E0"/>
      </w:tblPr>
      <w:tblGrid>
        <w:gridCol w:w="2579"/>
        <w:gridCol w:w="972"/>
        <w:gridCol w:w="1910"/>
        <w:gridCol w:w="3336"/>
      </w:tblGrid>
      <w:tr>
        <w:trPr>
          <w:trHeight w:val="199"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194" w:lineRule="exact"/>
              <w:ind w:left="1259"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72" w:type="dxa"/>
            <w:tcBorders>
              <w:top w:val="nil" w:sz="6" w:space="0" w:color="auto"/>
              <w:left w:val="nil" w:sz="6" w:space="0" w:color="auto"/>
              <w:bottom w:val="nil" w:sz="6" w:space="0" w:color="auto"/>
              <w:right w:val="nil" w:sz="6" w:space="0" w:color="auto"/>
            </w:tcBorders>
          </w:tcPr>
          <w:p>
            <w:pPr/>
          </w:p>
        </w:tc>
        <w:tc>
          <w:tcPr>
            <w:tcW w:w="1910" w:type="dxa"/>
            <w:vMerge w:val="restart"/>
            <w:tcBorders>
              <w:top w:val="nil" w:sz="6" w:space="0" w:color="auto"/>
              <w:left w:val="nil" w:sz="6" w:space="0" w:color="auto"/>
              <w:right w:val="nil" w:sz="6" w:space="0" w:color="auto"/>
            </w:tcBorders>
          </w:tcPr>
          <w:p>
            <w:pPr>
              <w:pStyle w:val="TableParagraph"/>
              <w:spacing w:line="190" w:lineRule="exact"/>
              <w:ind w:left="93" w:right="0"/>
              <w:jc w:val="center"/>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3336" w:type="dxa"/>
            <w:tcBorders>
              <w:top w:val="nil" w:sz="6" w:space="0" w:color="auto"/>
              <w:left w:val="nil" w:sz="6" w:space="0" w:color="auto"/>
              <w:bottom w:val="nil" w:sz="6" w:space="0" w:color="auto"/>
              <w:right w:val="nil" w:sz="6" w:space="0" w:color="auto"/>
            </w:tcBorders>
          </w:tcPr>
          <w:p>
            <w:pPr/>
          </w:p>
        </w:tc>
      </w:tr>
      <w:tr>
        <w:trPr>
          <w:trHeight w:val="205" w:hRule="exact"/>
        </w:trPr>
        <w:tc>
          <w:tcPr>
            <w:tcW w:w="2579"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910" w:type="dxa"/>
            <w:vMerge/>
            <w:tcBorders>
              <w:left w:val="nil" w:sz="6" w:space="0" w:color="auto"/>
              <w:right w:val="nil" w:sz="6" w:space="0" w:color="auto"/>
            </w:tcBorders>
          </w:tcPr>
          <w:p>
            <w:pPr/>
          </w:p>
        </w:tc>
        <w:tc>
          <w:tcPr>
            <w:tcW w:w="3336" w:type="dxa"/>
            <w:tcBorders>
              <w:top w:val="nil" w:sz="6" w:space="0" w:color="auto"/>
              <w:left w:val="nil" w:sz="6" w:space="0" w:color="auto"/>
              <w:bottom w:val="nil" w:sz="6" w:space="0" w:color="auto"/>
              <w:right w:val="nil" w:sz="6" w:space="0" w:color="auto"/>
            </w:tcBorders>
          </w:tcPr>
          <w:p>
            <w:pPr>
              <w:pStyle w:val="TableParagraph"/>
              <w:spacing w:line="189" w:lineRule="exact"/>
              <w:ind w:right="136"/>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293" w:hRule="exact"/>
        </w:trPr>
        <w:tc>
          <w:tcPr>
            <w:tcW w:w="2579" w:type="dxa"/>
            <w:tcBorders>
              <w:top w:val="nil" w:sz="6" w:space="0" w:color="auto"/>
              <w:left w:val="nil" w:sz="6" w:space="0" w:color="auto"/>
              <w:bottom w:val="single" w:sz="8" w:space="0" w:color="000000"/>
              <w:right w:val="nil" w:sz="6" w:space="0" w:color="auto"/>
            </w:tcBorders>
          </w:tcPr>
          <w:p>
            <w:pPr>
              <w:pStyle w:val="TableParagraph"/>
              <w:spacing w:line="196" w:lineRule="exact"/>
              <w:ind w:left="743"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972" w:type="dxa"/>
            <w:tcBorders>
              <w:top w:val="nil" w:sz="6" w:space="0" w:color="auto"/>
              <w:left w:val="nil" w:sz="6" w:space="0" w:color="auto"/>
              <w:bottom w:val="single" w:sz="8" w:space="0" w:color="000000"/>
              <w:right w:val="nil" w:sz="6" w:space="0" w:color="auto"/>
            </w:tcBorders>
          </w:tcPr>
          <w:p>
            <w:pPr>
              <w:pStyle w:val="TableParagraph"/>
              <w:spacing w:line="196" w:lineRule="exact"/>
              <w:ind w:left="56"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910" w:type="dxa"/>
            <w:vMerge/>
            <w:tcBorders>
              <w:left w:val="nil" w:sz="6" w:space="0" w:color="auto"/>
              <w:bottom w:val="single" w:sz="8" w:space="0" w:color="000000"/>
              <w:right w:val="nil" w:sz="6" w:space="0" w:color="auto"/>
            </w:tcBorders>
          </w:tcPr>
          <w:p>
            <w:pPr/>
          </w:p>
        </w:tc>
        <w:tc>
          <w:tcPr>
            <w:tcW w:w="3336" w:type="dxa"/>
            <w:tcBorders>
              <w:top w:val="nil" w:sz="6" w:space="0" w:color="auto"/>
              <w:left w:val="nil" w:sz="6" w:space="0" w:color="auto"/>
              <w:bottom w:val="single" w:sz="8" w:space="0" w:color="000000"/>
              <w:right w:val="nil" w:sz="6" w:space="0" w:color="auto"/>
            </w:tcBorders>
          </w:tcPr>
          <w:p>
            <w:pPr/>
          </w:p>
        </w:tc>
      </w:tr>
      <w:tr>
        <w:trPr>
          <w:trHeight w:val="437" w:hRule="exact"/>
        </w:trPr>
        <w:tc>
          <w:tcPr>
            <w:tcW w:w="2579" w:type="dxa"/>
            <w:tcBorders>
              <w:top w:val="single" w:sz="8" w:space="0" w:color="000000"/>
              <w:left w:val="nil" w:sz="6" w:space="0" w:color="auto"/>
              <w:bottom w:val="nil" w:sz="6" w:space="0" w:color="auto"/>
              <w:right w:val="nil" w:sz="6" w:space="0" w:color="auto"/>
            </w:tcBorders>
          </w:tcPr>
          <w:p>
            <w:pPr>
              <w:pStyle w:val="TableParagraph"/>
              <w:spacing w:line="240" w:lineRule="auto" w:before="120"/>
              <w:ind w:left="789" w:right="0"/>
              <w:jc w:val="left"/>
              <w:rPr>
                <w:rFonts w:ascii="Times New Roman" w:hAnsi="Times New Roman" w:cs="Times New Roman" w:eastAsia="Times New Roman" w:hint="default"/>
                <w:sz w:val="18"/>
                <w:szCs w:val="18"/>
              </w:rPr>
            </w:pPr>
            <w:r>
              <w:rPr>
                <w:rFonts w:ascii="Times New Roman"/>
                <w:sz w:val="18"/>
              </w:rPr>
              <w:t>100</w:t>
            </w:r>
          </w:p>
        </w:tc>
        <w:tc>
          <w:tcPr>
            <w:tcW w:w="972" w:type="dxa"/>
            <w:tcBorders>
              <w:top w:val="single" w:sz="8" w:space="0" w:color="000000"/>
              <w:left w:val="nil" w:sz="6" w:space="0" w:color="auto"/>
              <w:bottom w:val="nil" w:sz="6" w:space="0" w:color="auto"/>
              <w:right w:val="nil" w:sz="6" w:space="0" w:color="auto"/>
            </w:tcBorders>
          </w:tcPr>
          <w:p>
            <w:pPr/>
          </w:p>
        </w:tc>
        <w:tc>
          <w:tcPr>
            <w:tcW w:w="1910" w:type="dxa"/>
            <w:tcBorders>
              <w:top w:val="single" w:sz="8" w:space="0" w:color="000000"/>
              <w:left w:val="nil" w:sz="6" w:space="0" w:color="auto"/>
              <w:bottom w:val="nil" w:sz="6" w:space="0" w:color="auto"/>
              <w:right w:val="nil" w:sz="6" w:space="0" w:color="auto"/>
            </w:tcBorders>
          </w:tcPr>
          <w:p>
            <w:pPr>
              <w:pStyle w:val="TableParagraph"/>
              <w:spacing w:line="240" w:lineRule="auto" w:before="120"/>
              <w:ind w:left="865" w:right="0"/>
              <w:jc w:val="left"/>
              <w:rPr>
                <w:rFonts w:ascii="Times New Roman" w:hAnsi="Times New Roman" w:cs="Times New Roman" w:eastAsia="Times New Roman" w:hint="default"/>
                <w:sz w:val="18"/>
                <w:szCs w:val="18"/>
              </w:rPr>
            </w:pPr>
            <w:r>
              <w:rPr>
                <w:rFonts w:ascii="Times New Roman"/>
                <w:sz w:val="18"/>
              </w:rPr>
              <w:t>100</w:t>
            </w:r>
          </w:p>
        </w:tc>
        <w:tc>
          <w:tcPr>
            <w:tcW w:w="3336"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0"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89" w:right="0"/>
              <w:jc w:val="left"/>
              <w:rPr>
                <w:rFonts w:ascii="Times New Roman" w:hAnsi="Times New Roman" w:cs="Times New Roman" w:eastAsia="Times New Roman" w:hint="default"/>
                <w:sz w:val="18"/>
                <w:szCs w:val="18"/>
              </w:rPr>
            </w:pPr>
            <w:r>
              <w:rPr>
                <w:rFonts w:ascii="Times New Roman"/>
                <w:sz w:val="18"/>
              </w:rPr>
              <w:t>100</w:t>
            </w:r>
          </w:p>
        </w:tc>
        <w:tc>
          <w:tcPr>
            <w:tcW w:w="972"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100</w:t>
            </w:r>
          </w:p>
        </w:tc>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57"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1"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89" w:right="0"/>
              <w:jc w:val="left"/>
              <w:rPr>
                <w:rFonts w:ascii="Times New Roman" w:hAnsi="Times New Roman" w:cs="Times New Roman" w:eastAsia="Times New Roman" w:hint="default"/>
                <w:sz w:val="18"/>
                <w:szCs w:val="18"/>
              </w:rPr>
            </w:pPr>
            <w:r>
              <w:rPr>
                <w:rFonts w:ascii="Times New Roman"/>
                <w:sz w:val="18"/>
              </w:rPr>
              <w:t>100</w:t>
            </w:r>
          </w:p>
        </w:tc>
        <w:tc>
          <w:tcPr>
            <w:tcW w:w="972"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65" w:right="0"/>
              <w:jc w:val="left"/>
              <w:rPr>
                <w:rFonts w:ascii="Times New Roman" w:hAnsi="Times New Roman" w:cs="Times New Roman" w:eastAsia="Times New Roman" w:hint="default"/>
                <w:sz w:val="18"/>
                <w:szCs w:val="18"/>
              </w:rPr>
            </w:pPr>
            <w:r>
              <w:rPr>
                <w:rFonts w:ascii="Times New Roman"/>
                <w:sz w:val="18"/>
              </w:rPr>
              <w:t>100</w:t>
            </w:r>
          </w:p>
        </w:tc>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0"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22" w:right="0"/>
              <w:jc w:val="left"/>
              <w:rPr>
                <w:rFonts w:ascii="Times New Roman" w:hAnsi="Times New Roman" w:cs="Times New Roman" w:eastAsia="Times New Roman" w:hint="default"/>
                <w:sz w:val="18"/>
                <w:szCs w:val="18"/>
              </w:rPr>
            </w:pPr>
            <w:r>
              <w:rPr>
                <w:rFonts w:ascii="Times New Roman"/>
                <w:sz w:val="18"/>
              </w:rPr>
              <w:t>60.00</w:t>
            </w:r>
          </w:p>
        </w:tc>
        <w:tc>
          <w:tcPr>
            <w:tcW w:w="972"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97" w:right="0"/>
              <w:jc w:val="left"/>
              <w:rPr>
                <w:rFonts w:ascii="Times New Roman" w:hAnsi="Times New Roman" w:cs="Times New Roman" w:eastAsia="Times New Roman" w:hint="default"/>
                <w:sz w:val="18"/>
                <w:szCs w:val="18"/>
              </w:rPr>
            </w:pPr>
            <w:r>
              <w:rPr>
                <w:rFonts w:ascii="Times New Roman"/>
                <w:sz w:val="18"/>
              </w:rPr>
              <w:t>60.00</w:t>
            </w:r>
          </w:p>
        </w:tc>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0"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22" w:right="0"/>
              <w:jc w:val="left"/>
              <w:rPr>
                <w:rFonts w:ascii="Times New Roman" w:hAnsi="Times New Roman" w:cs="Times New Roman" w:eastAsia="Times New Roman" w:hint="default"/>
                <w:sz w:val="18"/>
                <w:szCs w:val="18"/>
              </w:rPr>
            </w:pPr>
            <w:r>
              <w:rPr>
                <w:rFonts w:ascii="Times New Roman"/>
                <w:sz w:val="18"/>
              </w:rPr>
              <w:t>70.00</w:t>
            </w:r>
          </w:p>
        </w:tc>
        <w:tc>
          <w:tcPr>
            <w:tcW w:w="972"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97" w:right="0"/>
              <w:jc w:val="left"/>
              <w:rPr>
                <w:rFonts w:ascii="Times New Roman" w:hAnsi="Times New Roman" w:cs="Times New Roman" w:eastAsia="Times New Roman" w:hint="default"/>
                <w:sz w:val="18"/>
                <w:szCs w:val="18"/>
              </w:rPr>
            </w:pPr>
            <w:r>
              <w:rPr>
                <w:rFonts w:ascii="Times New Roman"/>
                <w:sz w:val="18"/>
              </w:rPr>
              <w:t>70.00</w:t>
            </w:r>
          </w:p>
        </w:tc>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22" w:right="0"/>
              <w:jc w:val="left"/>
              <w:rPr>
                <w:rFonts w:ascii="Times New Roman" w:hAnsi="Times New Roman" w:cs="Times New Roman" w:eastAsia="Times New Roman" w:hint="default"/>
                <w:sz w:val="18"/>
                <w:szCs w:val="18"/>
              </w:rPr>
            </w:pPr>
            <w:r>
              <w:rPr>
                <w:rFonts w:ascii="Times New Roman"/>
                <w:sz w:val="18"/>
              </w:rPr>
              <w:t>51.00</w:t>
            </w:r>
          </w:p>
        </w:tc>
        <w:tc>
          <w:tcPr>
            <w:tcW w:w="972"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97" w:right="0"/>
              <w:jc w:val="left"/>
              <w:rPr>
                <w:rFonts w:ascii="Times New Roman" w:hAnsi="Times New Roman" w:cs="Times New Roman" w:eastAsia="Times New Roman" w:hint="default"/>
                <w:sz w:val="18"/>
                <w:szCs w:val="18"/>
              </w:rPr>
            </w:pPr>
            <w:r>
              <w:rPr>
                <w:rFonts w:ascii="Times New Roman"/>
                <w:sz w:val="18"/>
              </w:rPr>
              <w:t>51.00</w:t>
            </w:r>
          </w:p>
        </w:tc>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57"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0"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89" w:right="0"/>
              <w:jc w:val="left"/>
              <w:rPr>
                <w:rFonts w:ascii="Times New Roman" w:hAnsi="Times New Roman" w:cs="Times New Roman" w:eastAsia="Times New Roman" w:hint="default"/>
                <w:sz w:val="18"/>
                <w:szCs w:val="18"/>
              </w:rPr>
            </w:pPr>
            <w:r>
              <w:rPr>
                <w:rFonts w:ascii="Times New Roman"/>
                <w:sz w:val="18"/>
              </w:rPr>
              <w:t>100</w:t>
            </w:r>
          </w:p>
        </w:tc>
        <w:tc>
          <w:tcPr>
            <w:tcW w:w="972"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65" w:right="0"/>
              <w:jc w:val="left"/>
              <w:rPr>
                <w:rFonts w:ascii="Times New Roman" w:hAnsi="Times New Roman" w:cs="Times New Roman" w:eastAsia="Times New Roman" w:hint="default"/>
                <w:sz w:val="18"/>
                <w:szCs w:val="18"/>
              </w:rPr>
            </w:pPr>
            <w:r>
              <w:rPr>
                <w:rFonts w:ascii="Times New Roman"/>
                <w:sz w:val="18"/>
              </w:rPr>
              <w:t>100</w:t>
            </w:r>
          </w:p>
        </w:tc>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57"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294" w:hRule="exact"/>
        </w:trPr>
        <w:tc>
          <w:tcPr>
            <w:tcW w:w="2579"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100</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100</w:t>
            </w:r>
          </w:p>
        </w:tc>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57"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bl>
    <w:p>
      <w:pPr>
        <w:spacing w:after="0" w:line="240" w:lineRule="auto"/>
        <w:jc w:val="left"/>
        <w:rPr>
          <w:rFonts w:ascii="宋体" w:hAnsi="宋体" w:cs="宋体" w:eastAsia="宋体" w:hint="default"/>
          <w:sz w:val="18"/>
          <w:szCs w:val="18"/>
        </w:rPr>
        <w:sectPr>
          <w:pgSz w:w="11910" w:h="16840"/>
          <w:pgMar w:header="0" w:footer="979" w:top="1480" w:bottom="1160" w:left="1580" w:right="1300"/>
        </w:sectPr>
      </w:pPr>
    </w:p>
    <w:p>
      <w:pPr>
        <w:spacing w:line="240" w:lineRule="auto" w:before="7"/>
        <w:rPr>
          <w:rFonts w:ascii="宋体" w:hAnsi="宋体" w:cs="宋体" w:eastAsia="宋体" w:hint="default"/>
          <w:sz w:val="5"/>
          <w:szCs w:val="5"/>
        </w:rPr>
      </w:pPr>
    </w:p>
    <w:tbl>
      <w:tblPr>
        <w:tblW w:w="0" w:type="auto"/>
        <w:jc w:val="left"/>
        <w:tblInd w:w="701" w:type="dxa"/>
        <w:tblLayout w:type="fixed"/>
        <w:tblCellMar>
          <w:top w:w="0" w:type="dxa"/>
          <w:left w:w="0" w:type="dxa"/>
          <w:bottom w:w="0" w:type="dxa"/>
          <w:right w:w="0" w:type="dxa"/>
        </w:tblCellMar>
        <w:tblLook w:val="01E0"/>
      </w:tblPr>
      <w:tblGrid>
        <w:gridCol w:w="3096"/>
        <w:gridCol w:w="1619"/>
        <w:gridCol w:w="1175"/>
      </w:tblGrid>
      <w:tr>
        <w:trPr>
          <w:trHeight w:val="295"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Times New Roman" w:hAnsi="Times New Roman" w:cs="Times New Roman" w:eastAsia="Times New Roman" w:hint="default"/>
                <w:sz w:val="18"/>
                <w:szCs w:val="18"/>
              </w:rPr>
            </w:pPr>
            <w:r>
              <w:rPr>
                <w:rFonts w:ascii="Times New Roman"/>
                <w:sz w:val="18"/>
              </w:rPr>
              <w:t>100</w:t>
            </w:r>
          </w:p>
        </w:tc>
        <w:tc>
          <w:tcPr>
            <w:tcW w:w="1619" w:type="dxa"/>
            <w:tcBorders>
              <w:top w:val="nil" w:sz="6" w:space="0" w:color="auto"/>
              <w:left w:val="nil" w:sz="6" w:space="0" w:color="auto"/>
              <w:bottom w:val="nil" w:sz="6" w:space="0" w:color="auto"/>
              <w:right w:val="nil" w:sz="6" w:space="0" w:color="auto"/>
            </w:tcBorders>
          </w:tcPr>
          <w:p>
            <w:pPr>
              <w:pStyle w:val="TableParagraph"/>
              <w:spacing w:line="194" w:lineRule="exact"/>
              <w:ind w:right="612"/>
              <w:jc w:val="right"/>
              <w:rPr>
                <w:rFonts w:ascii="Times New Roman" w:hAnsi="Times New Roman" w:cs="Times New Roman" w:eastAsia="Times New Roman" w:hint="default"/>
                <w:sz w:val="18"/>
                <w:szCs w:val="18"/>
              </w:rPr>
            </w:pPr>
            <w:r>
              <w:rPr>
                <w:rFonts w:ascii="Times New Roman"/>
                <w:sz w:val="18"/>
              </w:rPr>
              <w:t>100</w:t>
            </w:r>
          </w:p>
        </w:tc>
        <w:tc>
          <w:tcPr>
            <w:tcW w:w="1175"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295"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28"/>
              <w:jc w:val="right"/>
              <w:rPr>
                <w:rFonts w:ascii="Times New Roman" w:hAnsi="Times New Roman" w:cs="Times New Roman" w:eastAsia="Times New Roman" w:hint="default"/>
                <w:sz w:val="18"/>
                <w:szCs w:val="18"/>
              </w:rPr>
            </w:pPr>
            <w:r>
              <w:rPr>
                <w:rFonts w:ascii="Times New Roman"/>
                <w:sz w:val="18"/>
              </w:rPr>
              <w:t>100</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12"/>
              <w:jc w:val="right"/>
              <w:rPr>
                <w:rFonts w:ascii="Times New Roman" w:hAnsi="Times New Roman" w:cs="Times New Roman" w:eastAsia="Times New Roman" w:hint="default"/>
                <w:sz w:val="18"/>
                <w:szCs w:val="18"/>
              </w:rPr>
            </w:pPr>
            <w:r>
              <w:rPr>
                <w:rFonts w:ascii="Times New Roman"/>
                <w:sz w:val="18"/>
              </w:rPr>
              <w:t>100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8"/>
              <w:jc w:val="righ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0"/>
        <w:rPr>
          <w:rFonts w:ascii="宋体" w:hAnsi="宋体" w:cs="宋体" w:eastAsia="宋体" w:hint="default"/>
          <w:sz w:val="29"/>
          <w:szCs w:val="29"/>
        </w:rPr>
      </w:pPr>
    </w:p>
    <w:p>
      <w:pPr>
        <w:pStyle w:val="BodyText"/>
        <w:spacing w:line="240" w:lineRule="auto" w:before="44"/>
        <w:ind w:left="580" w:right="0"/>
        <w:jc w:val="left"/>
      </w:pPr>
      <w:r>
        <w:rPr/>
        <w:t>（</w:t>
      </w:r>
      <w:r>
        <w:rPr>
          <w:rFonts w:ascii="Times New Roman" w:hAnsi="Times New Roman" w:cs="Times New Roman" w:eastAsia="Times New Roman" w:hint="default"/>
        </w:rPr>
        <w:t>2</w:t>
      </w:r>
      <w:r>
        <w:rPr/>
        <w:t>）重要非全资子公司</w:t>
      </w:r>
    </w:p>
    <w:p>
      <w:pPr>
        <w:spacing w:line="240" w:lineRule="auto" w:before="4"/>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2460"/>
        <w:gridCol w:w="1430"/>
        <w:gridCol w:w="1228"/>
        <w:gridCol w:w="1255"/>
        <w:gridCol w:w="1201"/>
        <w:gridCol w:w="1224"/>
      </w:tblGrid>
      <w:tr>
        <w:trPr>
          <w:trHeight w:val="562" w:hRule="exact"/>
        </w:trPr>
        <w:tc>
          <w:tcPr>
            <w:tcW w:w="2460" w:type="dxa"/>
            <w:tcBorders>
              <w:top w:val="nil" w:sz="6" w:space="0" w:color="auto"/>
              <w:left w:val="nil" w:sz="6" w:space="0" w:color="auto"/>
              <w:bottom w:val="single" w:sz="8" w:space="0" w:color="000000"/>
              <w:right w:val="nil" w:sz="6" w:space="0" w:color="auto"/>
            </w:tcBorders>
          </w:tcPr>
          <w:p>
            <w:pPr>
              <w:pStyle w:val="TableParagraph"/>
              <w:spacing w:line="240" w:lineRule="auto" w:before="115"/>
              <w:ind w:left="952" w:right="0"/>
              <w:jc w:val="left"/>
              <w:rPr>
                <w:rFonts w:ascii="宋体" w:hAnsi="宋体" w:cs="宋体" w:eastAsia="宋体" w:hint="default"/>
                <w:sz w:val="15"/>
                <w:szCs w:val="15"/>
              </w:rPr>
            </w:pPr>
            <w:r>
              <w:rPr>
                <w:rFonts w:ascii="宋体" w:hAnsi="宋体" w:cs="宋体" w:eastAsia="宋体" w:hint="default"/>
                <w:b/>
                <w:bCs/>
                <w:sz w:val="15"/>
                <w:szCs w:val="15"/>
              </w:rPr>
              <w:t>子公司全称</w:t>
            </w:r>
            <w:r>
              <w:rPr>
                <w:rFonts w:ascii="宋体" w:hAnsi="宋体" w:cs="宋体" w:eastAsia="宋体" w:hint="default"/>
                <w:sz w:val="15"/>
                <w:szCs w:val="15"/>
              </w:rPr>
            </w:r>
          </w:p>
        </w:tc>
        <w:tc>
          <w:tcPr>
            <w:tcW w:w="1430" w:type="dxa"/>
            <w:tcBorders>
              <w:top w:val="nil" w:sz="6" w:space="0" w:color="auto"/>
              <w:left w:val="nil" w:sz="6" w:space="0" w:color="auto"/>
              <w:bottom w:val="single" w:sz="8" w:space="0" w:color="000000"/>
              <w:right w:val="nil" w:sz="6" w:space="0" w:color="auto"/>
            </w:tcBorders>
          </w:tcPr>
          <w:p>
            <w:pPr>
              <w:pStyle w:val="TableParagraph"/>
              <w:spacing w:line="151" w:lineRule="exact"/>
              <w:ind w:left="200" w:right="0"/>
              <w:jc w:val="center"/>
              <w:rPr>
                <w:rFonts w:ascii="宋体" w:hAnsi="宋体" w:cs="宋体" w:eastAsia="宋体" w:hint="default"/>
                <w:sz w:val="15"/>
                <w:szCs w:val="15"/>
              </w:rPr>
            </w:pPr>
            <w:r>
              <w:rPr>
                <w:rFonts w:ascii="宋体" w:hAnsi="宋体" w:cs="宋体" w:eastAsia="宋体" w:hint="default"/>
                <w:b/>
                <w:bCs/>
                <w:sz w:val="15"/>
                <w:szCs w:val="15"/>
              </w:rPr>
              <w:t>少数股东的持</w:t>
            </w:r>
            <w:r>
              <w:rPr>
                <w:rFonts w:ascii="宋体" w:hAnsi="宋体" w:cs="宋体" w:eastAsia="宋体" w:hint="default"/>
                <w:sz w:val="15"/>
                <w:szCs w:val="15"/>
              </w:rPr>
            </w:r>
          </w:p>
          <w:p>
            <w:pPr>
              <w:pStyle w:val="TableParagraph"/>
              <w:spacing w:line="240" w:lineRule="auto" w:before="123"/>
              <w:ind w:left="200" w:right="0"/>
              <w:jc w:val="center"/>
              <w:rPr>
                <w:rFonts w:ascii="宋体" w:hAnsi="宋体" w:cs="宋体" w:eastAsia="宋体" w:hint="default"/>
                <w:sz w:val="15"/>
                <w:szCs w:val="15"/>
              </w:rPr>
            </w:pPr>
            <w:r>
              <w:rPr>
                <w:rFonts w:ascii="宋体" w:hAnsi="宋体" w:cs="宋体" w:eastAsia="宋体" w:hint="default"/>
                <w:b/>
                <w:bCs/>
                <w:sz w:val="15"/>
                <w:szCs w:val="15"/>
              </w:rPr>
              <w:t>股比例</w:t>
            </w:r>
            <w:r>
              <w:rPr>
                <w:rFonts w:ascii="宋体" w:hAnsi="宋体" w:cs="宋体" w:eastAsia="宋体" w:hint="default"/>
                <w:sz w:val="15"/>
                <w:szCs w:val="15"/>
              </w:rPr>
            </w:r>
          </w:p>
        </w:tc>
        <w:tc>
          <w:tcPr>
            <w:tcW w:w="1228" w:type="dxa"/>
            <w:tcBorders>
              <w:top w:val="nil" w:sz="6" w:space="0" w:color="auto"/>
              <w:left w:val="nil" w:sz="6" w:space="0" w:color="auto"/>
              <w:bottom w:val="single" w:sz="8" w:space="0" w:color="000000"/>
              <w:right w:val="nil" w:sz="6" w:space="0" w:color="auto"/>
            </w:tcBorders>
          </w:tcPr>
          <w:p>
            <w:pPr>
              <w:pStyle w:val="TableParagraph"/>
              <w:spacing w:line="151" w:lineRule="exact"/>
              <w:ind w:right="0"/>
              <w:jc w:val="center"/>
              <w:rPr>
                <w:rFonts w:ascii="宋体" w:hAnsi="宋体" w:cs="宋体" w:eastAsia="宋体" w:hint="default"/>
                <w:sz w:val="15"/>
                <w:szCs w:val="15"/>
              </w:rPr>
            </w:pPr>
            <w:r>
              <w:rPr>
                <w:rFonts w:ascii="宋体" w:hAnsi="宋体" w:cs="宋体" w:eastAsia="宋体" w:hint="default"/>
                <w:b/>
                <w:bCs/>
                <w:sz w:val="15"/>
                <w:szCs w:val="15"/>
              </w:rPr>
              <w:t>少数股东的表</w:t>
            </w:r>
            <w:r>
              <w:rPr>
                <w:rFonts w:ascii="宋体" w:hAnsi="宋体" w:cs="宋体" w:eastAsia="宋体" w:hint="default"/>
                <w:sz w:val="15"/>
                <w:szCs w:val="15"/>
              </w:rPr>
            </w:r>
          </w:p>
          <w:p>
            <w:pPr>
              <w:pStyle w:val="TableParagraph"/>
              <w:spacing w:line="240" w:lineRule="auto" w:before="123"/>
              <w:ind w:right="1"/>
              <w:jc w:val="center"/>
              <w:rPr>
                <w:rFonts w:ascii="宋体" w:hAnsi="宋体" w:cs="宋体" w:eastAsia="宋体" w:hint="default"/>
                <w:sz w:val="15"/>
                <w:szCs w:val="15"/>
              </w:rPr>
            </w:pPr>
            <w:r>
              <w:rPr>
                <w:rFonts w:ascii="宋体" w:hAnsi="宋体" w:cs="宋体" w:eastAsia="宋体" w:hint="default"/>
                <w:b/>
                <w:bCs/>
                <w:sz w:val="15"/>
                <w:szCs w:val="15"/>
              </w:rPr>
              <w:t>决权比例</w:t>
            </w:r>
            <w:r>
              <w:rPr>
                <w:rFonts w:ascii="宋体" w:hAnsi="宋体" w:cs="宋体" w:eastAsia="宋体" w:hint="default"/>
                <w:sz w:val="15"/>
                <w:szCs w:val="15"/>
              </w:rPr>
            </w:r>
          </w:p>
        </w:tc>
        <w:tc>
          <w:tcPr>
            <w:tcW w:w="1255" w:type="dxa"/>
            <w:tcBorders>
              <w:top w:val="nil" w:sz="6" w:space="0" w:color="auto"/>
              <w:left w:val="nil" w:sz="6" w:space="0" w:color="auto"/>
              <w:bottom w:val="single" w:sz="8" w:space="0" w:color="000000"/>
              <w:right w:val="nil" w:sz="6" w:space="0" w:color="auto"/>
            </w:tcBorders>
          </w:tcPr>
          <w:p>
            <w:pPr>
              <w:pStyle w:val="TableParagraph"/>
              <w:spacing w:line="151" w:lineRule="exact"/>
              <w:ind w:left="161" w:right="0"/>
              <w:jc w:val="left"/>
              <w:rPr>
                <w:rFonts w:ascii="宋体" w:hAnsi="宋体" w:cs="宋体" w:eastAsia="宋体" w:hint="default"/>
                <w:sz w:val="15"/>
                <w:szCs w:val="15"/>
              </w:rPr>
            </w:pPr>
            <w:r>
              <w:rPr>
                <w:rFonts w:ascii="宋体" w:hAnsi="宋体" w:cs="宋体" w:eastAsia="宋体" w:hint="default"/>
                <w:b/>
                <w:bCs/>
                <w:sz w:val="15"/>
                <w:szCs w:val="15"/>
              </w:rPr>
              <w:t>本期归属于少</w:t>
            </w:r>
            <w:r>
              <w:rPr>
                <w:rFonts w:ascii="宋体" w:hAnsi="宋体" w:cs="宋体" w:eastAsia="宋体" w:hint="default"/>
                <w:sz w:val="15"/>
                <w:szCs w:val="15"/>
              </w:rPr>
            </w:r>
          </w:p>
          <w:p>
            <w:pPr>
              <w:pStyle w:val="TableParagraph"/>
              <w:spacing w:line="240" w:lineRule="auto" w:before="123"/>
              <w:ind w:left="161" w:right="0"/>
              <w:jc w:val="left"/>
              <w:rPr>
                <w:rFonts w:ascii="宋体" w:hAnsi="宋体" w:cs="宋体" w:eastAsia="宋体" w:hint="default"/>
                <w:sz w:val="15"/>
                <w:szCs w:val="15"/>
              </w:rPr>
            </w:pPr>
            <w:r>
              <w:rPr>
                <w:rFonts w:ascii="宋体" w:hAnsi="宋体" w:cs="宋体" w:eastAsia="宋体" w:hint="default"/>
                <w:b/>
                <w:bCs/>
                <w:sz w:val="15"/>
                <w:szCs w:val="15"/>
              </w:rPr>
              <w:t>数股东的损益</w:t>
            </w:r>
            <w:r>
              <w:rPr>
                <w:rFonts w:ascii="宋体" w:hAnsi="宋体" w:cs="宋体" w:eastAsia="宋体" w:hint="default"/>
                <w:sz w:val="15"/>
                <w:szCs w:val="15"/>
              </w:rPr>
            </w:r>
          </w:p>
        </w:tc>
        <w:tc>
          <w:tcPr>
            <w:tcW w:w="1201" w:type="dxa"/>
            <w:tcBorders>
              <w:top w:val="nil" w:sz="6" w:space="0" w:color="auto"/>
              <w:left w:val="nil" w:sz="6" w:space="0" w:color="auto"/>
              <w:bottom w:val="single" w:sz="8" w:space="0" w:color="000000"/>
              <w:right w:val="nil" w:sz="6" w:space="0" w:color="auto"/>
            </w:tcBorders>
          </w:tcPr>
          <w:p>
            <w:pPr>
              <w:pStyle w:val="TableParagraph"/>
              <w:spacing w:line="151" w:lineRule="exact"/>
              <w:ind w:left="135" w:right="0"/>
              <w:jc w:val="left"/>
              <w:rPr>
                <w:rFonts w:ascii="宋体" w:hAnsi="宋体" w:cs="宋体" w:eastAsia="宋体" w:hint="default"/>
                <w:sz w:val="15"/>
                <w:szCs w:val="15"/>
              </w:rPr>
            </w:pPr>
            <w:r>
              <w:rPr>
                <w:rFonts w:ascii="宋体" w:hAnsi="宋体" w:cs="宋体" w:eastAsia="宋体" w:hint="default"/>
                <w:b/>
                <w:bCs/>
                <w:sz w:val="15"/>
                <w:szCs w:val="15"/>
              </w:rPr>
              <w:t>本期向少数股</w:t>
            </w:r>
            <w:r>
              <w:rPr>
                <w:rFonts w:ascii="宋体" w:hAnsi="宋体" w:cs="宋体" w:eastAsia="宋体" w:hint="default"/>
                <w:sz w:val="15"/>
                <w:szCs w:val="15"/>
              </w:rPr>
            </w:r>
          </w:p>
          <w:p>
            <w:pPr>
              <w:pStyle w:val="TableParagraph"/>
              <w:spacing w:line="240" w:lineRule="auto" w:before="123"/>
              <w:ind w:left="135" w:right="0"/>
              <w:jc w:val="left"/>
              <w:rPr>
                <w:rFonts w:ascii="宋体" w:hAnsi="宋体" w:cs="宋体" w:eastAsia="宋体" w:hint="default"/>
                <w:sz w:val="15"/>
                <w:szCs w:val="15"/>
              </w:rPr>
            </w:pPr>
            <w:r>
              <w:rPr>
                <w:rFonts w:ascii="宋体" w:hAnsi="宋体" w:cs="宋体" w:eastAsia="宋体" w:hint="default"/>
                <w:b/>
                <w:bCs/>
                <w:sz w:val="15"/>
                <w:szCs w:val="15"/>
              </w:rPr>
              <w:t>东支付的股利</w:t>
            </w:r>
            <w:r>
              <w:rPr>
                <w:rFonts w:ascii="宋体" w:hAnsi="宋体" w:cs="宋体" w:eastAsia="宋体" w:hint="default"/>
                <w:sz w:val="15"/>
                <w:szCs w:val="15"/>
              </w:rPr>
            </w:r>
          </w:p>
        </w:tc>
        <w:tc>
          <w:tcPr>
            <w:tcW w:w="1224" w:type="dxa"/>
            <w:tcBorders>
              <w:top w:val="nil" w:sz="6" w:space="0" w:color="auto"/>
              <w:left w:val="nil" w:sz="6" w:space="0" w:color="auto"/>
              <w:bottom w:val="single" w:sz="8" w:space="0" w:color="000000"/>
              <w:right w:val="nil" w:sz="6" w:space="0" w:color="auto"/>
            </w:tcBorders>
          </w:tcPr>
          <w:p>
            <w:pPr>
              <w:pStyle w:val="TableParagraph"/>
              <w:spacing w:line="151" w:lineRule="exact"/>
              <w:ind w:left="2" w:right="0"/>
              <w:jc w:val="center"/>
              <w:rPr>
                <w:rFonts w:ascii="宋体" w:hAnsi="宋体" w:cs="宋体" w:eastAsia="宋体" w:hint="default"/>
                <w:sz w:val="15"/>
                <w:szCs w:val="15"/>
              </w:rPr>
            </w:pPr>
            <w:r>
              <w:rPr>
                <w:rFonts w:ascii="宋体" w:hAnsi="宋体" w:cs="宋体" w:eastAsia="宋体" w:hint="default"/>
                <w:b/>
                <w:bCs/>
                <w:sz w:val="15"/>
                <w:szCs w:val="15"/>
              </w:rPr>
              <w:t>期末少数股东</w:t>
            </w:r>
            <w:r>
              <w:rPr>
                <w:rFonts w:ascii="宋体" w:hAnsi="宋体" w:cs="宋体" w:eastAsia="宋体" w:hint="default"/>
                <w:sz w:val="15"/>
                <w:szCs w:val="15"/>
              </w:rPr>
            </w:r>
          </w:p>
          <w:p>
            <w:pPr>
              <w:pStyle w:val="TableParagraph"/>
              <w:spacing w:line="240" w:lineRule="auto" w:before="123"/>
              <w:ind w:right="0"/>
              <w:jc w:val="center"/>
              <w:rPr>
                <w:rFonts w:ascii="宋体" w:hAnsi="宋体" w:cs="宋体" w:eastAsia="宋体" w:hint="default"/>
                <w:sz w:val="15"/>
                <w:szCs w:val="15"/>
              </w:rPr>
            </w:pPr>
            <w:r>
              <w:rPr>
                <w:rFonts w:ascii="宋体" w:hAnsi="宋体" w:cs="宋体" w:eastAsia="宋体" w:hint="default"/>
                <w:b/>
                <w:bCs/>
                <w:sz w:val="15"/>
                <w:szCs w:val="15"/>
              </w:rPr>
              <w:t>权益余额</w:t>
            </w:r>
            <w:r>
              <w:rPr>
                <w:rFonts w:ascii="宋体" w:hAnsi="宋体" w:cs="宋体" w:eastAsia="宋体" w:hint="default"/>
                <w:sz w:val="15"/>
                <w:szCs w:val="15"/>
              </w:rPr>
            </w:r>
          </w:p>
        </w:tc>
      </w:tr>
      <w:tr>
        <w:trPr>
          <w:trHeight w:val="380" w:hRule="exact"/>
        </w:trPr>
        <w:tc>
          <w:tcPr>
            <w:tcW w:w="2460" w:type="dxa"/>
            <w:tcBorders>
              <w:top w:val="single" w:sz="8" w:space="0" w:color="000000"/>
              <w:left w:val="nil" w:sz="6" w:space="0" w:color="auto"/>
              <w:bottom w:val="nil" w:sz="6" w:space="0" w:color="auto"/>
              <w:right w:val="nil" w:sz="6" w:space="0" w:color="auto"/>
            </w:tcBorders>
          </w:tcPr>
          <w:p>
            <w:pPr>
              <w:pStyle w:val="TableParagraph"/>
              <w:spacing w:line="240" w:lineRule="auto" w:before="84"/>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35"/>
                <w:sz w:val="15"/>
                <w:szCs w:val="15"/>
              </w:rPr>
              <w:t> </w:t>
            </w:r>
            <w:r>
              <w:rPr>
                <w:rFonts w:ascii="宋体" w:hAnsi="宋体" w:cs="宋体" w:eastAsia="宋体" w:hint="default"/>
                <w:sz w:val="15"/>
                <w:szCs w:val="15"/>
              </w:rPr>
              <w:t>广州天瑞文化传播有限公司</w:t>
            </w:r>
          </w:p>
        </w:tc>
        <w:tc>
          <w:tcPr>
            <w:tcW w:w="1430" w:type="dxa"/>
            <w:tcBorders>
              <w:top w:val="single" w:sz="8" w:space="0" w:color="000000"/>
              <w:left w:val="nil" w:sz="6" w:space="0" w:color="auto"/>
              <w:bottom w:val="nil" w:sz="6" w:space="0" w:color="auto"/>
              <w:right w:val="nil" w:sz="6" w:space="0" w:color="auto"/>
            </w:tcBorders>
          </w:tcPr>
          <w:p>
            <w:pPr>
              <w:pStyle w:val="TableParagraph"/>
              <w:spacing w:line="240" w:lineRule="auto" w:before="119"/>
              <w:ind w:right="472"/>
              <w:jc w:val="right"/>
              <w:rPr>
                <w:rFonts w:ascii="Times New Roman" w:hAnsi="Times New Roman" w:cs="Times New Roman" w:eastAsia="Times New Roman" w:hint="default"/>
                <w:sz w:val="15"/>
                <w:szCs w:val="15"/>
              </w:rPr>
            </w:pPr>
            <w:r>
              <w:rPr>
                <w:rFonts w:ascii="Times New Roman"/>
                <w:sz w:val="15"/>
              </w:rPr>
              <w:t>40%</w:t>
            </w:r>
          </w:p>
        </w:tc>
        <w:tc>
          <w:tcPr>
            <w:tcW w:w="1228" w:type="dxa"/>
            <w:tcBorders>
              <w:top w:val="single" w:sz="8" w:space="0" w:color="000000"/>
              <w:left w:val="nil" w:sz="6" w:space="0" w:color="auto"/>
              <w:bottom w:val="nil" w:sz="6" w:space="0" w:color="auto"/>
              <w:right w:val="nil" w:sz="6" w:space="0" w:color="auto"/>
            </w:tcBorders>
          </w:tcPr>
          <w:p>
            <w:pPr>
              <w:pStyle w:val="TableParagraph"/>
              <w:spacing w:line="240" w:lineRule="auto" w:before="119"/>
              <w:ind w:right="0"/>
              <w:jc w:val="center"/>
              <w:rPr>
                <w:rFonts w:ascii="Times New Roman" w:hAnsi="Times New Roman" w:cs="Times New Roman" w:eastAsia="Times New Roman" w:hint="default"/>
                <w:sz w:val="15"/>
                <w:szCs w:val="15"/>
              </w:rPr>
            </w:pPr>
            <w:r>
              <w:rPr>
                <w:rFonts w:ascii="Times New Roman"/>
                <w:sz w:val="15"/>
              </w:rPr>
              <w:t>40%</w:t>
            </w:r>
          </w:p>
        </w:tc>
        <w:tc>
          <w:tcPr>
            <w:tcW w:w="1255" w:type="dxa"/>
            <w:tcBorders>
              <w:top w:val="single" w:sz="8" w:space="0" w:color="000000"/>
              <w:left w:val="nil" w:sz="6" w:space="0" w:color="auto"/>
              <w:bottom w:val="nil" w:sz="6" w:space="0" w:color="auto"/>
              <w:right w:val="nil" w:sz="6" w:space="0" w:color="auto"/>
            </w:tcBorders>
          </w:tcPr>
          <w:p>
            <w:pPr>
              <w:pStyle w:val="TableParagraph"/>
              <w:spacing w:line="240" w:lineRule="auto" w:before="73"/>
              <w:ind w:right="133"/>
              <w:jc w:val="right"/>
              <w:rPr>
                <w:rFonts w:ascii="Times New Roman" w:hAnsi="Times New Roman" w:cs="Times New Roman" w:eastAsia="Times New Roman" w:hint="default"/>
                <w:sz w:val="15"/>
                <w:szCs w:val="15"/>
              </w:rPr>
            </w:pPr>
            <w:r>
              <w:rPr>
                <w:rFonts w:ascii="Times New Roman"/>
                <w:spacing w:val="-1"/>
                <w:sz w:val="15"/>
              </w:rPr>
              <w:t>177,491.02</w:t>
            </w:r>
          </w:p>
        </w:tc>
        <w:tc>
          <w:tcPr>
            <w:tcW w:w="1201" w:type="dxa"/>
            <w:tcBorders>
              <w:top w:val="single" w:sz="8" w:space="0" w:color="000000"/>
              <w:left w:val="nil" w:sz="6" w:space="0" w:color="auto"/>
              <w:bottom w:val="nil" w:sz="6" w:space="0" w:color="auto"/>
              <w:right w:val="nil" w:sz="6" w:space="0" w:color="auto"/>
            </w:tcBorders>
          </w:tcPr>
          <w:p>
            <w:pPr/>
          </w:p>
        </w:tc>
        <w:tc>
          <w:tcPr>
            <w:tcW w:w="1224" w:type="dxa"/>
            <w:tcBorders>
              <w:top w:val="single" w:sz="8" w:space="0" w:color="000000"/>
              <w:left w:val="nil" w:sz="6" w:space="0" w:color="auto"/>
              <w:bottom w:val="nil" w:sz="6" w:space="0" w:color="auto"/>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5"/>
                <w:szCs w:val="15"/>
              </w:rPr>
            </w:pPr>
            <w:r>
              <w:rPr>
                <w:rFonts w:ascii="Times New Roman"/>
                <w:spacing w:val="-1"/>
                <w:sz w:val="15"/>
              </w:rPr>
              <w:t>1,587,000.61</w:t>
            </w:r>
          </w:p>
        </w:tc>
      </w:tr>
      <w:tr>
        <w:trPr>
          <w:trHeight w:val="360"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浙江天舟图书有限公司</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72"/>
              <w:jc w:val="right"/>
              <w:rPr>
                <w:rFonts w:ascii="Times New Roman" w:hAnsi="Times New Roman" w:cs="Times New Roman" w:eastAsia="Times New Roman" w:hint="default"/>
                <w:sz w:val="15"/>
                <w:szCs w:val="15"/>
              </w:rPr>
            </w:pPr>
            <w:r>
              <w:rPr>
                <w:rFonts w:ascii="Times New Roman"/>
                <w:sz w:val="15"/>
              </w:rPr>
              <w:t>30%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30%</w:t>
            </w:r>
          </w:p>
        </w:tc>
        <w:tc>
          <w:tcPr>
            <w:tcW w:w="1255"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5"/>
                <w:szCs w:val="15"/>
              </w:rPr>
            </w:pPr>
            <w:r>
              <w:rPr>
                <w:rFonts w:ascii="Times New Roman"/>
                <w:spacing w:val="-1"/>
                <w:sz w:val="15"/>
              </w:rPr>
              <w:t>608,853.32</w:t>
            </w:r>
          </w:p>
        </w:tc>
      </w:tr>
      <w:tr>
        <w:trPr>
          <w:trHeight w:val="360"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35"/>
                <w:sz w:val="15"/>
                <w:szCs w:val="15"/>
              </w:rPr>
              <w:t> </w:t>
            </w:r>
            <w:r>
              <w:rPr>
                <w:rFonts w:ascii="宋体" w:hAnsi="宋体" w:cs="宋体" w:eastAsia="宋体" w:hint="default"/>
                <w:sz w:val="15"/>
                <w:szCs w:val="15"/>
              </w:rPr>
              <w:t>北京永载文化传播有限公司</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72"/>
              <w:jc w:val="right"/>
              <w:rPr>
                <w:rFonts w:ascii="Times New Roman" w:hAnsi="Times New Roman" w:cs="Times New Roman" w:eastAsia="Times New Roman" w:hint="default"/>
                <w:sz w:val="15"/>
                <w:szCs w:val="15"/>
              </w:rPr>
            </w:pPr>
            <w:r>
              <w:rPr>
                <w:rFonts w:ascii="Times New Roman"/>
                <w:sz w:val="15"/>
              </w:rPr>
              <w:t>49%</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49%</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3"/>
              <w:jc w:val="right"/>
              <w:rPr>
                <w:rFonts w:ascii="Times New Roman" w:hAnsi="Times New Roman" w:cs="Times New Roman" w:eastAsia="Times New Roman" w:hint="default"/>
                <w:sz w:val="15"/>
                <w:szCs w:val="15"/>
              </w:rPr>
            </w:pPr>
            <w:r>
              <w:rPr>
                <w:rFonts w:ascii="Times New Roman"/>
                <w:spacing w:val="-1"/>
                <w:sz w:val="15"/>
              </w:rPr>
              <w:t>601,965.63</w:t>
            </w:r>
          </w:p>
        </w:tc>
        <w:tc>
          <w:tcPr>
            <w:tcW w:w="1201"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5"/>
                <w:szCs w:val="15"/>
              </w:rPr>
            </w:pPr>
            <w:r>
              <w:rPr>
                <w:rFonts w:ascii="Times New Roman"/>
                <w:spacing w:val="-1"/>
                <w:sz w:val="15"/>
              </w:rPr>
              <w:t>8,110,323.97</w:t>
            </w:r>
          </w:p>
        </w:tc>
      </w:tr>
      <w:tr>
        <w:trPr>
          <w:trHeight w:val="270"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8"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430"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779,456.65</w:t>
            </w:r>
            <w:r>
              <w:rPr>
                <w:rFonts w:ascii="Times New Roman"/>
                <w:spacing w:val="-1"/>
                <w:sz w:val="15"/>
              </w:rPr>
            </w:r>
          </w:p>
        </w:tc>
        <w:tc>
          <w:tcPr>
            <w:tcW w:w="1201"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10,306,177.90</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pStyle w:val="BodyText"/>
        <w:spacing w:line="240" w:lineRule="auto"/>
        <w:ind w:left="580" w:right="0"/>
        <w:jc w:val="left"/>
      </w:pPr>
      <w:r>
        <w:rPr/>
        <w:t>（</w:t>
      </w:r>
      <w:r>
        <w:rPr>
          <w:rFonts w:ascii="Times New Roman" w:hAnsi="Times New Roman" w:cs="Times New Roman" w:eastAsia="Times New Roman" w:hint="default"/>
        </w:rPr>
        <w:t>3</w:t>
      </w:r>
      <w:r>
        <w:rPr/>
        <w:t>）重要的非全资子公司的主要财务信息</w:t>
      </w: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2292"/>
        <w:gridCol w:w="2495"/>
        <w:gridCol w:w="1937"/>
        <w:gridCol w:w="2073"/>
      </w:tblGrid>
      <w:tr>
        <w:trPr>
          <w:trHeight w:val="286" w:hRule="exact"/>
        </w:trPr>
        <w:tc>
          <w:tcPr>
            <w:tcW w:w="2292" w:type="dxa"/>
            <w:tcBorders>
              <w:top w:val="nil" w:sz="6" w:space="0" w:color="auto"/>
              <w:left w:val="nil" w:sz="6" w:space="0" w:color="auto"/>
              <w:bottom w:val="nil" w:sz="6" w:space="0" w:color="auto"/>
              <w:right w:val="nil" w:sz="6" w:space="0" w:color="auto"/>
            </w:tcBorders>
          </w:tcPr>
          <w:p>
            <w:pPr/>
          </w:p>
        </w:tc>
        <w:tc>
          <w:tcPr>
            <w:tcW w:w="2495"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180" w:lineRule="exact"/>
              <w:ind w:left="116" w:right="0"/>
              <w:jc w:val="left"/>
              <w:rPr>
                <w:rFonts w:ascii="宋体" w:hAnsi="宋体" w:cs="宋体" w:eastAsia="宋体" w:hint="default"/>
                <w:sz w:val="18"/>
                <w:szCs w:val="18"/>
              </w:rPr>
            </w:pPr>
            <w:r>
              <w:rPr>
                <w:rFonts w:ascii="宋体" w:hAnsi="宋体" w:cs="宋体" w:eastAsia="宋体" w:hint="default"/>
                <w:b/>
                <w:bCs/>
                <w:sz w:val="18"/>
                <w:szCs w:val="18"/>
              </w:rPr>
              <w:t>期末余额或本期发生额</w:t>
            </w:r>
            <w:r>
              <w:rPr>
                <w:rFonts w:ascii="宋体" w:hAnsi="宋体" w:cs="宋体" w:eastAsia="宋体" w:hint="default"/>
                <w:sz w:val="18"/>
                <w:szCs w:val="18"/>
              </w:rPr>
            </w:r>
          </w:p>
        </w:tc>
        <w:tc>
          <w:tcPr>
            <w:tcW w:w="2073" w:type="dxa"/>
            <w:tcBorders>
              <w:top w:val="nil" w:sz="6" w:space="0" w:color="auto"/>
              <w:left w:val="nil" w:sz="6" w:space="0" w:color="auto"/>
              <w:bottom w:val="nil" w:sz="6" w:space="0" w:color="auto"/>
              <w:right w:val="nil" w:sz="6" w:space="0" w:color="auto"/>
            </w:tcBorders>
          </w:tcPr>
          <w:p>
            <w:pPr/>
          </w:p>
        </w:tc>
      </w:tr>
      <w:tr>
        <w:trPr>
          <w:trHeight w:val="774" w:hRule="exact"/>
        </w:trPr>
        <w:tc>
          <w:tcPr>
            <w:tcW w:w="2292" w:type="dxa"/>
            <w:tcBorders>
              <w:top w:val="nil" w:sz="6" w:space="0" w:color="auto"/>
              <w:left w:val="nil" w:sz="6" w:space="0" w:color="auto"/>
              <w:bottom w:val="single" w:sz="8" w:space="0" w:color="000000"/>
              <w:right w:val="nil" w:sz="6" w:space="0" w:color="auto"/>
            </w:tcBorders>
          </w:tcPr>
          <w:p>
            <w:pPr>
              <w:pStyle w:val="TableParagraph"/>
              <w:spacing w:line="240" w:lineRule="auto" w:before="50"/>
              <w:ind w:left="122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95" w:type="dxa"/>
            <w:tcBorders>
              <w:top w:val="nil" w:sz="6" w:space="0" w:color="auto"/>
              <w:left w:val="nil" w:sz="6" w:space="0" w:color="auto"/>
              <w:bottom w:val="single" w:sz="8" w:space="0" w:color="000000"/>
              <w:right w:val="nil" w:sz="6" w:space="0" w:color="auto"/>
            </w:tcBorders>
          </w:tcPr>
          <w:p>
            <w:pPr>
              <w:pStyle w:val="TableParagraph"/>
              <w:spacing w:line="364" w:lineRule="auto" w:before="81"/>
              <w:ind w:left="1063" w:right="165" w:hanging="363"/>
              <w:jc w:val="left"/>
              <w:rPr>
                <w:rFonts w:ascii="宋体" w:hAnsi="宋体" w:cs="宋体" w:eastAsia="宋体" w:hint="default"/>
                <w:sz w:val="18"/>
                <w:szCs w:val="18"/>
              </w:rPr>
            </w:pPr>
            <w:r>
              <w:rPr>
                <w:rFonts w:ascii="宋体" w:hAnsi="宋体" w:cs="宋体" w:eastAsia="宋体" w:hint="default"/>
                <w:b/>
                <w:bCs/>
                <w:sz w:val="18"/>
                <w:szCs w:val="18"/>
              </w:rPr>
              <w:t>广州天瑞文化传播有</w:t>
            </w:r>
            <w:r>
              <w:rPr>
                <w:rFonts w:ascii="宋体" w:hAnsi="宋体" w:cs="宋体" w:eastAsia="宋体" w:hint="default"/>
                <w:b/>
                <w:bCs/>
                <w:w w:val="99"/>
                <w:sz w:val="18"/>
                <w:szCs w:val="18"/>
              </w:rPr>
              <w:t> </w:t>
            </w:r>
            <w:r>
              <w:rPr>
                <w:rFonts w:ascii="宋体" w:hAnsi="宋体" w:cs="宋体" w:eastAsia="宋体" w:hint="default"/>
                <w:b/>
                <w:bCs/>
                <w:sz w:val="18"/>
                <w:szCs w:val="18"/>
              </w:rPr>
              <w:t>限责任公司</w:t>
            </w:r>
            <w:r>
              <w:rPr>
                <w:rFonts w:ascii="宋体" w:hAnsi="宋体" w:cs="宋体" w:eastAsia="宋体" w:hint="default"/>
                <w:sz w:val="18"/>
                <w:szCs w:val="18"/>
              </w:rPr>
            </w:r>
          </w:p>
        </w:tc>
        <w:tc>
          <w:tcPr>
            <w:tcW w:w="1937" w:type="dxa"/>
            <w:tcBorders>
              <w:top w:val="nil" w:sz="6" w:space="0" w:color="auto"/>
              <w:left w:val="nil" w:sz="6" w:space="0" w:color="auto"/>
              <w:bottom w:val="single" w:sz="8" w:space="0" w:color="000000"/>
              <w:right w:val="nil" w:sz="6" w:space="0" w:color="auto"/>
            </w:tcBorders>
          </w:tcPr>
          <w:p>
            <w:pPr>
              <w:pStyle w:val="TableParagraph"/>
              <w:spacing w:line="364" w:lineRule="auto" w:before="81"/>
              <w:ind w:left="709" w:right="141" w:hanging="543"/>
              <w:jc w:val="left"/>
              <w:rPr>
                <w:rFonts w:ascii="宋体" w:hAnsi="宋体" w:cs="宋体" w:eastAsia="宋体" w:hint="default"/>
                <w:sz w:val="18"/>
                <w:szCs w:val="18"/>
              </w:rPr>
            </w:pPr>
            <w:r>
              <w:rPr>
                <w:rFonts w:ascii="宋体" w:hAnsi="宋体" w:cs="宋体" w:eastAsia="宋体" w:hint="default"/>
                <w:b/>
                <w:bCs/>
                <w:sz w:val="18"/>
                <w:szCs w:val="18"/>
              </w:rPr>
              <w:t>浙江天舟图书有限责</w:t>
            </w:r>
            <w:r>
              <w:rPr>
                <w:rFonts w:ascii="宋体" w:hAnsi="宋体" w:cs="宋体" w:eastAsia="宋体" w:hint="default"/>
                <w:b/>
                <w:bCs/>
                <w:w w:val="99"/>
                <w:sz w:val="18"/>
                <w:szCs w:val="18"/>
              </w:rPr>
              <w:t> </w:t>
            </w:r>
            <w:r>
              <w:rPr>
                <w:rFonts w:ascii="宋体" w:hAnsi="宋体" w:cs="宋体" w:eastAsia="宋体" w:hint="default"/>
                <w:b/>
                <w:bCs/>
                <w:sz w:val="18"/>
                <w:szCs w:val="18"/>
              </w:rPr>
              <w:t>任公司</w:t>
            </w:r>
            <w:r>
              <w:rPr>
                <w:rFonts w:ascii="宋体" w:hAnsi="宋体" w:cs="宋体" w:eastAsia="宋体" w:hint="default"/>
                <w:sz w:val="18"/>
                <w:szCs w:val="18"/>
              </w:rPr>
            </w:r>
          </w:p>
        </w:tc>
        <w:tc>
          <w:tcPr>
            <w:tcW w:w="2073" w:type="dxa"/>
            <w:tcBorders>
              <w:top w:val="nil" w:sz="6" w:space="0" w:color="auto"/>
              <w:left w:val="nil" w:sz="6" w:space="0" w:color="auto"/>
              <w:bottom w:val="single" w:sz="8" w:space="0" w:color="000000"/>
              <w:right w:val="nil" w:sz="6" w:space="0" w:color="auto"/>
            </w:tcBorders>
          </w:tcPr>
          <w:p>
            <w:pPr>
              <w:pStyle w:val="TableParagraph"/>
              <w:spacing w:line="364" w:lineRule="auto" w:before="81"/>
              <w:ind w:left="686" w:right="121" w:hanging="543"/>
              <w:jc w:val="left"/>
              <w:rPr>
                <w:rFonts w:ascii="宋体" w:hAnsi="宋体" w:cs="宋体" w:eastAsia="宋体" w:hint="default"/>
                <w:sz w:val="18"/>
                <w:szCs w:val="18"/>
              </w:rPr>
            </w:pPr>
            <w:r>
              <w:rPr>
                <w:rFonts w:ascii="宋体" w:hAnsi="宋体" w:cs="宋体" w:eastAsia="宋体" w:hint="default"/>
                <w:b/>
                <w:bCs/>
                <w:sz w:val="18"/>
                <w:szCs w:val="18"/>
              </w:rPr>
              <w:t>北京永载文化传播有限</w:t>
            </w:r>
            <w:r>
              <w:rPr>
                <w:rFonts w:ascii="宋体" w:hAnsi="宋体" w:cs="宋体" w:eastAsia="宋体" w:hint="default"/>
                <w:b/>
                <w:bCs/>
                <w:w w:val="99"/>
                <w:sz w:val="18"/>
                <w:szCs w:val="18"/>
              </w:rPr>
              <w:t> </w:t>
            </w:r>
            <w:r>
              <w:rPr>
                <w:rFonts w:ascii="宋体" w:hAnsi="宋体" w:cs="宋体" w:eastAsia="宋体" w:hint="default"/>
                <w:b/>
                <w:bCs/>
                <w:sz w:val="18"/>
                <w:szCs w:val="18"/>
              </w:rPr>
              <w:t>责任公司</w:t>
            </w:r>
            <w:r>
              <w:rPr>
                <w:rFonts w:ascii="宋体" w:hAnsi="宋体" w:cs="宋体" w:eastAsia="宋体" w:hint="default"/>
                <w:sz w:val="18"/>
                <w:szCs w:val="18"/>
              </w:rPr>
            </w:r>
          </w:p>
        </w:tc>
      </w:tr>
      <w:tr>
        <w:trPr>
          <w:trHeight w:val="436" w:hRule="exact"/>
        </w:trPr>
        <w:tc>
          <w:tcPr>
            <w:tcW w:w="2292"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95"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375"/>
              <w:jc w:val="right"/>
              <w:rPr>
                <w:rFonts w:ascii="Times New Roman" w:hAnsi="Times New Roman" w:cs="Times New Roman" w:eastAsia="Times New Roman" w:hint="default"/>
                <w:sz w:val="18"/>
                <w:szCs w:val="18"/>
              </w:rPr>
            </w:pPr>
            <w:r>
              <w:rPr>
                <w:rFonts w:ascii="Times New Roman"/>
                <w:spacing w:val="-1"/>
                <w:sz w:val="18"/>
              </w:rPr>
              <w:t>4,004,294.60</w:t>
            </w:r>
          </w:p>
        </w:tc>
        <w:tc>
          <w:tcPr>
            <w:tcW w:w="1937"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632" w:right="0"/>
              <w:jc w:val="left"/>
              <w:rPr>
                <w:rFonts w:ascii="Times New Roman" w:hAnsi="Times New Roman" w:cs="Times New Roman" w:eastAsia="Times New Roman" w:hint="default"/>
                <w:sz w:val="18"/>
                <w:szCs w:val="18"/>
              </w:rPr>
            </w:pPr>
            <w:r>
              <w:rPr>
                <w:rFonts w:ascii="Times New Roman"/>
                <w:sz w:val="18"/>
              </w:rPr>
              <w:t>2,029,511.07</w:t>
            </w:r>
          </w:p>
        </w:tc>
        <w:tc>
          <w:tcPr>
            <w:tcW w:w="2073"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386"/>
              <w:jc w:val="right"/>
              <w:rPr>
                <w:rFonts w:ascii="Times New Roman" w:hAnsi="Times New Roman" w:cs="Times New Roman" w:eastAsia="Times New Roman" w:hint="default"/>
                <w:sz w:val="18"/>
                <w:szCs w:val="18"/>
              </w:rPr>
            </w:pPr>
            <w:r>
              <w:rPr>
                <w:rFonts w:ascii="Times New Roman"/>
                <w:spacing w:val="-1"/>
                <w:sz w:val="18"/>
              </w:rPr>
              <w:t>43,807,390.89</w:t>
            </w:r>
          </w:p>
        </w:tc>
      </w:tr>
      <w:tr>
        <w:trPr>
          <w:trHeight w:val="401"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5"/>
              <w:jc w:val="right"/>
              <w:rPr>
                <w:rFonts w:ascii="Times New Roman" w:hAnsi="Times New Roman" w:cs="Times New Roman" w:eastAsia="Times New Roman" w:hint="default"/>
                <w:sz w:val="18"/>
                <w:szCs w:val="18"/>
              </w:rPr>
            </w:pPr>
            <w:r>
              <w:rPr>
                <w:rFonts w:ascii="Times New Roman"/>
                <w:spacing w:val="-1"/>
                <w:sz w:val="18"/>
              </w:rPr>
              <w:t>3,662,898.22</w:t>
            </w:r>
          </w:p>
        </w:tc>
        <w:tc>
          <w:tcPr>
            <w:tcW w:w="1937"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83"/>
              <w:jc w:val="right"/>
              <w:rPr>
                <w:rFonts w:ascii="Times New Roman" w:hAnsi="Times New Roman" w:cs="Times New Roman" w:eastAsia="Times New Roman" w:hint="default"/>
                <w:sz w:val="18"/>
                <w:szCs w:val="18"/>
              </w:rPr>
            </w:pPr>
            <w:r>
              <w:rPr>
                <w:rFonts w:ascii="Times New Roman"/>
                <w:spacing w:val="-1"/>
                <w:sz w:val="18"/>
              </w:rPr>
              <w:t>443,093.40</w:t>
            </w:r>
          </w:p>
        </w:tc>
      </w:tr>
      <w:tr>
        <w:trPr>
          <w:trHeight w:val="400"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7,667,192.82</w:t>
            </w:r>
            <w:r>
              <w:rPr>
                <w:rFonts w:ascii="Times New Roman"/>
                <w:spacing w:val="-1"/>
                <w:sz w:val="18"/>
              </w:rPr>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63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2,029,511.07</w:t>
            </w:r>
            <w:r>
              <w:rPr>
                <w:rFonts w:ascii="Times New Roman"/>
                <w:sz w:val="18"/>
              </w:rPr>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8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44,250,484.29</w:t>
            </w:r>
            <w:r>
              <w:rPr>
                <w:rFonts w:ascii="Times New Roman"/>
                <w:spacing w:val="-1"/>
                <w:sz w:val="18"/>
              </w:rPr>
            </w:r>
          </w:p>
        </w:tc>
      </w:tr>
      <w:tr>
        <w:trPr>
          <w:trHeight w:val="400"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5"/>
              <w:jc w:val="right"/>
              <w:rPr>
                <w:rFonts w:ascii="Times New Roman" w:hAnsi="Times New Roman" w:cs="Times New Roman" w:eastAsia="Times New Roman" w:hint="default"/>
                <w:sz w:val="18"/>
                <w:szCs w:val="18"/>
              </w:rPr>
            </w:pPr>
            <w:r>
              <w:rPr>
                <w:rFonts w:ascii="Times New Roman"/>
                <w:spacing w:val="-1"/>
                <w:sz w:val="18"/>
              </w:rPr>
              <w:t>3,699,691.29</w:t>
            </w:r>
          </w:p>
        </w:tc>
        <w:tc>
          <w:tcPr>
            <w:tcW w:w="1937"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86"/>
              <w:jc w:val="right"/>
              <w:rPr>
                <w:rFonts w:ascii="Times New Roman" w:hAnsi="Times New Roman" w:cs="Times New Roman" w:eastAsia="Times New Roman" w:hint="default"/>
                <w:sz w:val="18"/>
                <w:szCs w:val="18"/>
              </w:rPr>
            </w:pPr>
            <w:r>
              <w:rPr>
                <w:rFonts w:ascii="Times New Roman"/>
                <w:spacing w:val="-1"/>
                <w:sz w:val="18"/>
              </w:rPr>
              <w:t>27,698,802.73</w:t>
            </w:r>
          </w:p>
        </w:tc>
      </w:tr>
      <w:tr>
        <w:trPr>
          <w:trHeight w:val="396"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95"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
        </w:tc>
      </w:tr>
      <w:tr>
        <w:trPr>
          <w:trHeight w:val="405"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3,699,691.29</w:t>
            </w:r>
            <w:r>
              <w:rPr>
                <w:rFonts w:ascii="Times New Roman"/>
                <w:spacing w:val="-1"/>
                <w:sz w:val="18"/>
              </w:rPr>
            </w:r>
          </w:p>
        </w:tc>
        <w:tc>
          <w:tcPr>
            <w:tcW w:w="1937"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8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27,698,802.73</w:t>
            </w:r>
            <w:r>
              <w:rPr>
                <w:rFonts w:ascii="Times New Roman"/>
                <w:spacing w:val="-1"/>
                <w:sz w:val="18"/>
              </w:rPr>
            </w:r>
          </w:p>
        </w:tc>
      </w:tr>
      <w:tr>
        <w:trPr>
          <w:trHeight w:val="400"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5"/>
              <w:jc w:val="right"/>
              <w:rPr>
                <w:rFonts w:ascii="Times New Roman" w:hAnsi="Times New Roman" w:cs="Times New Roman" w:eastAsia="Times New Roman" w:hint="default"/>
                <w:sz w:val="18"/>
                <w:szCs w:val="18"/>
              </w:rPr>
            </w:pPr>
            <w:r>
              <w:rPr>
                <w:rFonts w:ascii="Times New Roman"/>
                <w:spacing w:val="-1"/>
                <w:sz w:val="18"/>
              </w:rPr>
              <w:t>5,838,017.24</w:t>
            </w:r>
          </w:p>
        </w:tc>
        <w:tc>
          <w:tcPr>
            <w:tcW w:w="1937"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86"/>
              <w:jc w:val="right"/>
              <w:rPr>
                <w:rFonts w:ascii="Times New Roman" w:hAnsi="Times New Roman" w:cs="Times New Roman" w:eastAsia="Times New Roman" w:hint="default"/>
                <w:sz w:val="18"/>
                <w:szCs w:val="18"/>
              </w:rPr>
            </w:pPr>
            <w:r>
              <w:rPr>
                <w:rFonts w:ascii="Times New Roman"/>
                <w:spacing w:val="-1"/>
                <w:sz w:val="18"/>
              </w:rPr>
              <w:t>55,264,436.99</w:t>
            </w:r>
          </w:p>
        </w:tc>
      </w:tr>
      <w:tr>
        <w:trPr>
          <w:trHeight w:val="401"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净利润（净亏损）</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5"/>
              <w:jc w:val="right"/>
              <w:rPr>
                <w:rFonts w:ascii="Times New Roman" w:hAnsi="Times New Roman" w:cs="Times New Roman" w:eastAsia="Times New Roman" w:hint="default"/>
                <w:sz w:val="18"/>
                <w:szCs w:val="18"/>
              </w:rPr>
            </w:pPr>
            <w:r>
              <w:rPr>
                <w:rFonts w:ascii="Times New Roman"/>
                <w:spacing w:val="-1"/>
                <w:sz w:val="18"/>
              </w:rPr>
              <w:t>443,727.55</w:t>
            </w:r>
          </w:p>
        </w:tc>
        <w:tc>
          <w:tcPr>
            <w:tcW w:w="1937"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84"/>
              <w:jc w:val="right"/>
              <w:rPr>
                <w:rFonts w:ascii="Times New Roman" w:hAnsi="Times New Roman" w:cs="Times New Roman" w:eastAsia="Times New Roman" w:hint="default"/>
                <w:sz w:val="18"/>
                <w:szCs w:val="18"/>
              </w:rPr>
            </w:pPr>
            <w:r>
              <w:rPr>
                <w:rFonts w:ascii="Times New Roman"/>
                <w:spacing w:val="-1"/>
                <w:sz w:val="18"/>
              </w:rPr>
              <w:t>1,228,501.29</w:t>
            </w:r>
          </w:p>
        </w:tc>
      </w:tr>
      <w:tr>
        <w:trPr>
          <w:trHeight w:val="400"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5"/>
              <w:jc w:val="right"/>
              <w:rPr>
                <w:rFonts w:ascii="Times New Roman" w:hAnsi="Times New Roman" w:cs="Times New Roman" w:eastAsia="Times New Roman" w:hint="default"/>
                <w:sz w:val="18"/>
                <w:szCs w:val="18"/>
              </w:rPr>
            </w:pPr>
            <w:r>
              <w:rPr>
                <w:rFonts w:ascii="Times New Roman"/>
                <w:spacing w:val="-1"/>
                <w:sz w:val="18"/>
              </w:rPr>
              <w:t>443,727.55</w:t>
            </w:r>
          </w:p>
        </w:tc>
        <w:tc>
          <w:tcPr>
            <w:tcW w:w="1937"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84"/>
              <w:jc w:val="right"/>
              <w:rPr>
                <w:rFonts w:ascii="Times New Roman" w:hAnsi="Times New Roman" w:cs="Times New Roman" w:eastAsia="Times New Roman" w:hint="default"/>
                <w:sz w:val="18"/>
                <w:szCs w:val="18"/>
              </w:rPr>
            </w:pPr>
            <w:r>
              <w:rPr>
                <w:rFonts w:ascii="Times New Roman"/>
                <w:spacing w:val="-1"/>
                <w:sz w:val="18"/>
              </w:rPr>
              <w:t>1,228,501.29</w:t>
            </w:r>
          </w:p>
        </w:tc>
      </w:tr>
      <w:tr>
        <w:trPr>
          <w:trHeight w:val="294"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7"/>
              <w:jc w:val="right"/>
              <w:rPr>
                <w:rFonts w:ascii="Times New Roman" w:hAnsi="Times New Roman" w:cs="Times New Roman" w:eastAsia="Times New Roman" w:hint="default"/>
                <w:sz w:val="18"/>
                <w:szCs w:val="18"/>
              </w:rPr>
            </w:pPr>
            <w:r>
              <w:rPr>
                <w:rFonts w:ascii="Times New Roman"/>
                <w:spacing w:val="-1"/>
                <w:sz w:val="18"/>
              </w:rPr>
              <w:t>368,948.04</w:t>
            </w:r>
          </w:p>
        </w:tc>
        <w:tc>
          <w:tcPr>
            <w:tcW w:w="1937"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86"/>
              <w:jc w:val="right"/>
              <w:rPr>
                <w:rFonts w:ascii="Times New Roman" w:hAnsi="Times New Roman" w:cs="Times New Roman" w:eastAsia="Times New Roman" w:hint="default"/>
                <w:sz w:val="18"/>
                <w:szCs w:val="18"/>
              </w:rPr>
            </w:pPr>
            <w:r>
              <w:rPr>
                <w:rFonts w:ascii="Times New Roman"/>
                <w:spacing w:val="-1"/>
                <w:sz w:val="18"/>
              </w:rPr>
              <w:t>11,219,754.78</w:t>
            </w:r>
          </w:p>
        </w:tc>
      </w:tr>
    </w:tbl>
    <w:p>
      <w:pPr>
        <w:spacing w:line="240" w:lineRule="auto" w:before="13"/>
        <w:rPr>
          <w:rFonts w:ascii="宋体" w:hAnsi="宋体" w:cs="宋体" w:eastAsia="宋体" w:hint="default"/>
          <w:sz w:val="29"/>
          <w:szCs w:val="29"/>
        </w:rPr>
      </w:pPr>
    </w:p>
    <w:p>
      <w:pPr>
        <w:pStyle w:val="BodyText"/>
        <w:spacing w:line="240" w:lineRule="auto" w:before="44"/>
        <w:ind w:left="580" w:right="0"/>
        <w:jc w:val="left"/>
      </w:pPr>
      <w:r>
        <w:rPr/>
        <w:t>接上表：</w:t>
      </w:r>
    </w:p>
    <w:p>
      <w:pPr>
        <w:spacing w:line="240" w:lineRule="auto" w:before="2"/>
        <w:rPr>
          <w:rFonts w:ascii="宋体" w:hAnsi="宋体" w:cs="宋体" w:eastAsia="宋体"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2281"/>
        <w:gridCol w:w="2503"/>
        <w:gridCol w:w="1950"/>
        <w:gridCol w:w="2062"/>
      </w:tblGrid>
      <w:tr>
        <w:trPr>
          <w:trHeight w:val="284" w:hRule="exact"/>
        </w:trPr>
        <w:tc>
          <w:tcPr>
            <w:tcW w:w="2281" w:type="dxa"/>
            <w:tcBorders>
              <w:top w:val="nil" w:sz="6" w:space="0" w:color="auto"/>
              <w:left w:val="nil" w:sz="6" w:space="0" w:color="auto"/>
              <w:bottom w:val="nil" w:sz="6" w:space="0" w:color="auto"/>
              <w:right w:val="nil" w:sz="6" w:space="0" w:color="auto"/>
            </w:tcBorders>
          </w:tcPr>
          <w:p>
            <w:pPr/>
          </w:p>
        </w:tc>
        <w:tc>
          <w:tcPr>
            <w:tcW w:w="2503"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nil" w:sz="6" w:space="0" w:color="auto"/>
              <w:right w:val="nil" w:sz="6" w:space="0" w:color="auto"/>
            </w:tcBorders>
          </w:tcPr>
          <w:p>
            <w:pPr>
              <w:pStyle w:val="TableParagraph"/>
              <w:spacing w:line="180" w:lineRule="exact"/>
              <w:ind w:left="109" w:right="0"/>
              <w:jc w:val="left"/>
              <w:rPr>
                <w:rFonts w:ascii="宋体" w:hAnsi="宋体" w:cs="宋体" w:eastAsia="宋体" w:hint="default"/>
                <w:sz w:val="18"/>
                <w:szCs w:val="18"/>
              </w:rPr>
            </w:pPr>
            <w:r>
              <w:rPr>
                <w:rFonts w:ascii="宋体" w:hAnsi="宋体" w:cs="宋体" w:eastAsia="宋体" w:hint="default"/>
                <w:b/>
                <w:bCs/>
                <w:sz w:val="18"/>
                <w:szCs w:val="18"/>
              </w:rPr>
              <w:t>期初余额或上期发生额</w:t>
            </w:r>
            <w:r>
              <w:rPr>
                <w:rFonts w:ascii="宋体" w:hAnsi="宋体" w:cs="宋体" w:eastAsia="宋体" w:hint="default"/>
                <w:sz w:val="18"/>
                <w:szCs w:val="18"/>
              </w:rPr>
            </w:r>
          </w:p>
        </w:tc>
        <w:tc>
          <w:tcPr>
            <w:tcW w:w="2062" w:type="dxa"/>
            <w:tcBorders>
              <w:top w:val="nil" w:sz="6" w:space="0" w:color="auto"/>
              <w:left w:val="nil" w:sz="6" w:space="0" w:color="auto"/>
              <w:bottom w:val="nil" w:sz="6" w:space="0" w:color="auto"/>
              <w:right w:val="nil" w:sz="6" w:space="0" w:color="auto"/>
            </w:tcBorders>
          </w:tcPr>
          <w:p>
            <w:pPr/>
          </w:p>
        </w:tc>
      </w:tr>
      <w:tr>
        <w:trPr>
          <w:trHeight w:val="753" w:hRule="exact"/>
        </w:trPr>
        <w:tc>
          <w:tcPr>
            <w:tcW w:w="2281" w:type="dxa"/>
            <w:tcBorders>
              <w:top w:val="nil" w:sz="6" w:space="0" w:color="auto"/>
              <w:left w:val="nil" w:sz="6" w:space="0" w:color="auto"/>
              <w:bottom w:val="single" w:sz="8" w:space="0" w:color="000000"/>
              <w:right w:val="nil" w:sz="6" w:space="0" w:color="auto"/>
            </w:tcBorders>
          </w:tcPr>
          <w:p>
            <w:pPr>
              <w:pStyle w:val="TableParagraph"/>
              <w:spacing w:line="240" w:lineRule="auto" w:before="49"/>
              <w:ind w:left="121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03" w:type="dxa"/>
            <w:tcBorders>
              <w:top w:val="nil" w:sz="6" w:space="0" w:color="auto"/>
              <w:left w:val="nil" w:sz="6" w:space="0" w:color="auto"/>
              <w:bottom w:val="single" w:sz="8" w:space="0" w:color="000000"/>
              <w:right w:val="nil" w:sz="6" w:space="0" w:color="auto"/>
            </w:tcBorders>
          </w:tcPr>
          <w:p>
            <w:pPr>
              <w:pStyle w:val="TableParagraph"/>
              <w:spacing w:line="364" w:lineRule="auto" w:before="82"/>
              <w:ind w:left="1059" w:right="177" w:hanging="363"/>
              <w:jc w:val="left"/>
              <w:rPr>
                <w:rFonts w:ascii="宋体" w:hAnsi="宋体" w:cs="宋体" w:eastAsia="宋体" w:hint="default"/>
                <w:sz w:val="18"/>
                <w:szCs w:val="18"/>
              </w:rPr>
            </w:pPr>
            <w:r>
              <w:rPr>
                <w:rFonts w:ascii="宋体" w:hAnsi="宋体" w:cs="宋体" w:eastAsia="宋体" w:hint="default"/>
                <w:b/>
                <w:bCs/>
                <w:sz w:val="18"/>
                <w:szCs w:val="18"/>
              </w:rPr>
              <w:t>广州天瑞文化传播有</w:t>
            </w:r>
            <w:r>
              <w:rPr>
                <w:rFonts w:ascii="宋体" w:hAnsi="宋体" w:cs="宋体" w:eastAsia="宋体" w:hint="default"/>
                <w:b/>
                <w:bCs/>
                <w:w w:val="99"/>
                <w:sz w:val="18"/>
                <w:szCs w:val="18"/>
              </w:rPr>
              <w:t> </w:t>
            </w:r>
            <w:r>
              <w:rPr>
                <w:rFonts w:ascii="宋体" w:hAnsi="宋体" w:cs="宋体" w:eastAsia="宋体" w:hint="default"/>
                <w:b/>
                <w:bCs/>
                <w:sz w:val="18"/>
                <w:szCs w:val="18"/>
              </w:rPr>
              <w:t>限责任公司</w:t>
            </w:r>
            <w:r>
              <w:rPr>
                <w:rFonts w:ascii="宋体" w:hAnsi="宋体" w:cs="宋体" w:eastAsia="宋体" w:hint="default"/>
                <w:sz w:val="18"/>
                <w:szCs w:val="18"/>
              </w:rPr>
            </w:r>
          </w:p>
        </w:tc>
        <w:tc>
          <w:tcPr>
            <w:tcW w:w="1950" w:type="dxa"/>
            <w:tcBorders>
              <w:top w:val="nil" w:sz="6" w:space="0" w:color="auto"/>
              <w:left w:val="nil" w:sz="6" w:space="0" w:color="auto"/>
              <w:bottom w:val="single" w:sz="8" w:space="0" w:color="000000"/>
              <w:right w:val="nil" w:sz="6" w:space="0" w:color="auto"/>
            </w:tcBorders>
          </w:tcPr>
          <w:p>
            <w:pPr>
              <w:pStyle w:val="TableParagraph"/>
              <w:spacing w:line="364" w:lineRule="auto" w:before="82"/>
              <w:ind w:left="721" w:right="142" w:hanging="543"/>
              <w:jc w:val="left"/>
              <w:rPr>
                <w:rFonts w:ascii="宋体" w:hAnsi="宋体" w:cs="宋体" w:eastAsia="宋体" w:hint="default"/>
                <w:sz w:val="18"/>
                <w:szCs w:val="18"/>
              </w:rPr>
            </w:pPr>
            <w:r>
              <w:rPr>
                <w:rFonts w:ascii="宋体" w:hAnsi="宋体" w:cs="宋体" w:eastAsia="宋体" w:hint="default"/>
                <w:b/>
                <w:bCs/>
                <w:sz w:val="18"/>
                <w:szCs w:val="18"/>
              </w:rPr>
              <w:t>浙江天舟图书有限责</w:t>
            </w:r>
            <w:r>
              <w:rPr>
                <w:rFonts w:ascii="宋体" w:hAnsi="宋体" w:cs="宋体" w:eastAsia="宋体" w:hint="default"/>
                <w:b/>
                <w:bCs/>
                <w:w w:val="99"/>
                <w:sz w:val="18"/>
                <w:szCs w:val="18"/>
              </w:rPr>
              <w:t> </w:t>
            </w:r>
            <w:r>
              <w:rPr>
                <w:rFonts w:ascii="宋体" w:hAnsi="宋体" w:cs="宋体" w:eastAsia="宋体" w:hint="default"/>
                <w:b/>
                <w:bCs/>
                <w:sz w:val="18"/>
                <w:szCs w:val="18"/>
              </w:rPr>
              <w:t>任公司</w:t>
            </w:r>
            <w:r>
              <w:rPr>
                <w:rFonts w:ascii="宋体" w:hAnsi="宋体" w:cs="宋体" w:eastAsia="宋体" w:hint="default"/>
                <w:sz w:val="18"/>
                <w:szCs w:val="18"/>
              </w:rPr>
            </w:r>
          </w:p>
        </w:tc>
        <w:tc>
          <w:tcPr>
            <w:tcW w:w="2062" w:type="dxa"/>
            <w:tcBorders>
              <w:top w:val="nil" w:sz="6" w:space="0" w:color="auto"/>
              <w:left w:val="nil" w:sz="6" w:space="0" w:color="auto"/>
              <w:bottom w:val="single" w:sz="8" w:space="0" w:color="000000"/>
              <w:right w:val="nil" w:sz="6" w:space="0" w:color="auto"/>
            </w:tcBorders>
          </w:tcPr>
          <w:p>
            <w:pPr>
              <w:pStyle w:val="TableParagraph"/>
              <w:spacing w:line="364" w:lineRule="auto" w:before="82"/>
              <w:ind w:left="687" w:right="109" w:hanging="543"/>
              <w:jc w:val="left"/>
              <w:rPr>
                <w:rFonts w:ascii="宋体" w:hAnsi="宋体" w:cs="宋体" w:eastAsia="宋体" w:hint="default"/>
                <w:sz w:val="18"/>
                <w:szCs w:val="18"/>
              </w:rPr>
            </w:pPr>
            <w:r>
              <w:rPr>
                <w:rFonts w:ascii="宋体" w:hAnsi="宋体" w:cs="宋体" w:eastAsia="宋体" w:hint="default"/>
                <w:b/>
                <w:bCs/>
                <w:sz w:val="18"/>
                <w:szCs w:val="18"/>
              </w:rPr>
              <w:t>北京永载文化传播有限</w:t>
            </w:r>
            <w:r>
              <w:rPr>
                <w:rFonts w:ascii="宋体" w:hAnsi="宋体" w:cs="宋体" w:eastAsia="宋体" w:hint="default"/>
                <w:b/>
                <w:bCs/>
                <w:w w:val="99"/>
                <w:sz w:val="18"/>
                <w:szCs w:val="18"/>
              </w:rPr>
              <w:t> </w:t>
            </w:r>
            <w:r>
              <w:rPr>
                <w:rFonts w:ascii="宋体" w:hAnsi="宋体" w:cs="宋体" w:eastAsia="宋体" w:hint="default"/>
                <w:b/>
                <w:bCs/>
                <w:sz w:val="18"/>
                <w:szCs w:val="18"/>
              </w:rPr>
              <w:t>责任公司</w:t>
            </w:r>
            <w:r>
              <w:rPr>
                <w:rFonts w:ascii="宋体" w:hAnsi="宋体" w:cs="宋体" w:eastAsia="宋体" w:hint="default"/>
                <w:sz w:val="18"/>
                <w:szCs w:val="18"/>
              </w:rPr>
            </w:r>
          </w:p>
        </w:tc>
      </w:tr>
      <w:tr>
        <w:trPr>
          <w:trHeight w:val="447" w:hRule="exact"/>
        </w:trPr>
        <w:tc>
          <w:tcPr>
            <w:tcW w:w="2281"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03" w:type="dxa"/>
            <w:tcBorders>
              <w:top w:val="single" w:sz="8" w:space="0" w:color="000000"/>
              <w:left w:val="nil" w:sz="6" w:space="0" w:color="auto"/>
              <w:bottom w:val="nil" w:sz="6" w:space="0" w:color="auto"/>
              <w:right w:val="nil" w:sz="6" w:space="0" w:color="auto"/>
            </w:tcBorders>
          </w:tcPr>
          <w:p>
            <w:pPr>
              <w:pStyle w:val="TableParagraph"/>
              <w:spacing w:line="240" w:lineRule="auto" w:before="120"/>
              <w:ind w:right="382"/>
              <w:jc w:val="right"/>
              <w:rPr>
                <w:rFonts w:ascii="Times New Roman" w:hAnsi="Times New Roman" w:cs="Times New Roman" w:eastAsia="Times New Roman" w:hint="default"/>
                <w:sz w:val="18"/>
                <w:szCs w:val="18"/>
              </w:rPr>
            </w:pPr>
            <w:r>
              <w:rPr>
                <w:rFonts w:ascii="Times New Roman"/>
                <w:spacing w:val="-1"/>
                <w:sz w:val="18"/>
              </w:rPr>
              <w:t>5,335,407.12</w:t>
            </w:r>
          </w:p>
        </w:tc>
        <w:tc>
          <w:tcPr>
            <w:tcW w:w="1950" w:type="dxa"/>
            <w:tcBorders>
              <w:top w:val="single" w:sz="8" w:space="0" w:color="000000"/>
              <w:left w:val="nil" w:sz="6" w:space="0" w:color="auto"/>
              <w:bottom w:val="nil" w:sz="6" w:space="0" w:color="auto"/>
              <w:right w:val="nil" w:sz="6" w:space="0" w:color="auto"/>
            </w:tcBorders>
          </w:tcPr>
          <w:p>
            <w:pPr>
              <w:pStyle w:val="TableParagraph"/>
              <w:spacing w:line="240" w:lineRule="auto" w:before="120"/>
              <w:ind w:left="654" w:right="0"/>
              <w:jc w:val="left"/>
              <w:rPr>
                <w:rFonts w:ascii="Times New Roman" w:hAnsi="Times New Roman" w:cs="Times New Roman" w:eastAsia="Times New Roman" w:hint="default"/>
                <w:sz w:val="18"/>
                <w:szCs w:val="18"/>
              </w:rPr>
            </w:pPr>
            <w:r>
              <w:rPr>
                <w:rFonts w:ascii="Times New Roman"/>
                <w:sz w:val="18"/>
              </w:rPr>
              <w:t>2,029,511.07</w:t>
            </w:r>
          </w:p>
        </w:tc>
        <w:tc>
          <w:tcPr>
            <w:tcW w:w="2062" w:type="dxa"/>
            <w:tcBorders>
              <w:top w:val="single" w:sz="8" w:space="0" w:color="000000"/>
              <w:left w:val="nil" w:sz="6" w:space="0" w:color="auto"/>
              <w:bottom w:val="nil" w:sz="6" w:space="0" w:color="auto"/>
              <w:right w:val="nil" w:sz="6" w:space="0" w:color="auto"/>
            </w:tcBorders>
          </w:tcPr>
          <w:p>
            <w:pPr>
              <w:pStyle w:val="TableParagraph"/>
              <w:spacing w:line="240" w:lineRule="auto" w:before="120"/>
              <w:ind w:right="384"/>
              <w:jc w:val="right"/>
              <w:rPr>
                <w:rFonts w:ascii="Times New Roman" w:hAnsi="Times New Roman" w:cs="Times New Roman" w:eastAsia="Times New Roman" w:hint="default"/>
                <w:sz w:val="18"/>
                <w:szCs w:val="18"/>
              </w:rPr>
            </w:pPr>
            <w:r>
              <w:rPr>
                <w:rFonts w:ascii="Times New Roman"/>
                <w:spacing w:val="-1"/>
                <w:sz w:val="18"/>
              </w:rPr>
              <w:t>32,636,903.62</w:t>
            </w:r>
          </w:p>
        </w:tc>
      </w:tr>
      <w:tr>
        <w:trPr>
          <w:trHeight w:val="400"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82"/>
              <w:jc w:val="right"/>
              <w:rPr>
                <w:rFonts w:ascii="Times New Roman" w:hAnsi="Times New Roman" w:cs="Times New Roman" w:eastAsia="Times New Roman" w:hint="default"/>
                <w:sz w:val="18"/>
                <w:szCs w:val="18"/>
              </w:rPr>
            </w:pPr>
            <w:r>
              <w:rPr>
                <w:rFonts w:ascii="Times New Roman"/>
                <w:w w:val="95"/>
                <w:sz w:val="18"/>
              </w:rPr>
              <w:t>1,748.88</w:t>
            </w:r>
          </w:p>
        </w:tc>
        <w:tc>
          <w:tcPr>
            <w:tcW w:w="1950"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83"/>
              <w:jc w:val="right"/>
              <w:rPr>
                <w:rFonts w:ascii="Times New Roman" w:hAnsi="Times New Roman" w:cs="Times New Roman" w:eastAsia="Times New Roman" w:hint="default"/>
                <w:sz w:val="18"/>
                <w:szCs w:val="18"/>
              </w:rPr>
            </w:pPr>
            <w:r>
              <w:rPr>
                <w:rFonts w:ascii="Times New Roman"/>
                <w:spacing w:val="-1"/>
                <w:sz w:val="18"/>
              </w:rPr>
              <w:t>578,911.97</w:t>
            </w:r>
          </w:p>
        </w:tc>
      </w:tr>
      <w:tr>
        <w:trPr>
          <w:trHeight w:val="401"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50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8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5,337,156.00</w:t>
            </w:r>
            <w:r>
              <w:rPr>
                <w:rFonts w:ascii="Times New Roman"/>
                <w:spacing w:val="-1"/>
                <w:sz w:val="18"/>
              </w:rPr>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65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2,029,511.07</w:t>
            </w:r>
            <w:r>
              <w:rPr>
                <w:rFonts w:ascii="Times New Roman"/>
                <w:sz w:val="18"/>
              </w:rPr>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8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33,215,815.59</w:t>
            </w:r>
            <w:r>
              <w:rPr>
                <w:rFonts w:ascii="Times New Roman"/>
                <w:spacing w:val="-1"/>
                <w:sz w:val="18"/>
              </w:rPr>
            </w:r>
          </w:p>
        </w:tc>
      </w:tr>
      <w:tr>
        <w:trPr>
          <w:trHeight w:val="404"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0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82"/>
              <w:jc w:val="right"/>
              <w:rPr>
                <w:rFonts w:ascii="Times New Roman" w:hAnsi="Times New Roman" w:cs="Times New Roman" w:eastAsia="Times New Roman" w:hint="default"/>
                <w:sz w:val="18"/>
                <w:szCs w:val="18"/>
              </w:rPr>
            </w:pPr>
            <w:r>
              <w:rPr>
                <w:rFonts w:ascii="Times New Roman"/>
                <w:spacing w:val="-1"/>
                <w:sz w:val="18"/>
              </w:rPr>
              <w:t>1,813,382.02</w:t>
            </w:r>
          </w:p>
        </w:tc>
        <w:tc>
          <w:tcPr>
            <w:tcW w:w="1950"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84"/>
              <w:jc w:val="right"/>
              <w:rPr>
                <w:rFonts w:ascii="Times New Roman" w:hAnsi="Times New Roman" w:cs="Times New Roman" w:eastAsia="Times New Roman" w:hint="default"/>
                <w:sz w:val="18"/>
                <w:szCs w:val="18"/>
              </w:rPr>
            </w:pPr>
            <w:r>
              <w:rPr>
                <w:rFonts w:ascii="Times New Roman"/>
                <w:spacing w:val="-1"/>
                <w:sz w:val="18"/>
              </w:rPr>
              <w:t>17,892,635.32</w:t>
            </w:r>
          </w:p>
        </w:tc>
      </w:tr>
      <w:tr>
        <w:trPr>
          <w:trHeight w:val="289"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03"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79" w:top="1480" w:bottom="1160" w:left="1580" w:right="1300"/>
        </w:sectPr>
      </w:pPr>
    </w:p>
    <w:p>
      <w:pPr>
        <w:spacing w:line="240" w:lineRule="auto" w:before="7"/>
        <w:rPr>
          <w:rFonts w:ascii="宋体" w:hAnsi="宋体" w:cs="宋体" w:eastAsia="宋体" w:hint="default"/>
          <w:sz w:val="5"/>
          <w:szCs w:val="5"/>
        </w:rPr>
      </w:pPr>
    </w:p>
    <w:tbl>
      <w:tblPr>
        <w:tblW w:w="0" w:type="auto"/>
        <w:jc w:val="left"/>
        <w:tblInd w:w="372" w:type="dxa"/>
        <w:tblLayout w:type="fixed"/>
        <w:tblCellMar>
          <w:top w:w="0" w:type="dxa"/>
          <w:left w:w="0" w:type="dxa"/>
          <w:bottom w:w="0" w:type="dxa"/>
          <w:right w:w="0" w:type="dxa"/>
        </w:tblCellMar>
        <w:tblLook w:val="01E0"/>
      </w:tblPr>
      <w:tblGrid>
        <w:gridCol w:w="2281"/>
        <w:gridCol w:w="2503"/>
        <w:gridCol w:w="1950"/>
        <w:gridCol w:w="2062"/>
      </w:tblGrid>
      <w:tr>
        <w:trPr>
          <w:trHeight w:val="286" w:hRule="exact"/>
        </w:trPr>
        <w:tc>
          <w:tcPr>
            <w:tcW w:w="2281" w:type="dxa"/>
            <w:tcBorders>
              <w:top w:val="nil" w:sz="6" w:space="0" w:color="auto"/>
              <w:left w:val="nil" w:sz="6" w:space="0" w:color="auto"/>
              <w:bottom w:val="nil" w:sz="6" w:space="0" w:color="auto"/>
              <w:right w:val="nil" w:sz="6" w:space="0" w:color="auto"/>
            </w:tcBorders>
          </w:tcPr>
          <w:p>
            <w:pPr/>
          </w:p>
        </w:tc>
        <w:tc>
          <w:tcPr>
            <w:tcW w:w="2503"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nil" w:sz="6" w:space="0" w:color="auto"/>
              <w:right w:val="nil" w:sz="6" w:space="0" w:color="auto"/>
            </w:tcBorders>
          </w:tcPr>
          <w:p>
            <w:pPr>
              <w:pStyle w:val="TableParagraph"/>
              <w:spacing w:line="180" w:lineRule="exact"/>
              <w:ind w:left="109" w:right="0"/>
              <w:jc w:val="left"/>
              <w:rPr>
                <w:rFonts w:ascii="宋体" w:hAnsi="宋体" w:cs="宋体" w:eastAsia="宋体" w:hint="default"/>
                <w:sz w:val="18"/>
                <w:szCs w:val="18"/>
              </w:rPr>
            </w:pPr>
            <w:r>
              <w:rPr>
                <w:rFonts w:ascii="宋体" w:hAnsi="宋体" w:cs="宋体" w:eastAsia="宋体" w:hint="default"/>
                <w:b/>
                <w:bCs/>
                <w:sz w:val="18"/>
                <w:szCs w:val="18"/>
              </w:rPr>
              <w:t>期初余额或上期发生额</w:t>
            </w:r>
            <w:r>
              <w:rPr>
                <w:rFonts w:ascii="宋体" w:hAnsi="宋体" w:cs="宋体" w:eastAsia="宋体" w:hint="default"/>
                <w:sz w:val="18"/>
                <w:szCs w:val="18"/>
              </w:rPr>
            </w:r>
          </w:p>
        </w:tc>
        <w:tc>
          <w:tcPr>
            <w:tcW w:w="2062" w:type="dxa"/>
            <w:tcBorders>
              <w:top w:val="nil" w:sz="6" w:space="0" w:color="auto"/>
              <w:left w:val="nil" w:sz="6" w:space="0" w:color="auto"/>
              <w:bottom w:val="nil" w:sz="6" w:space="0" w:color="auto"/>
              <w:right w:val="nil" w:sz="6" w:space="0" w:color="auto"/>
            </w:tcBorders>
          </w:tcPr>
          <w:p>
            <w:pPr/>
          </w:p>
        </w:tc>
      </w:tr>
      <w:tr>
        <w:trPr>
          <w:trHeight w:val="755" w:hRule="exact"/>
        </w:trPr>
        <w:tc>
          <w:tcPr>
            <w:tcW w:w="2281" w:type="dxa"/>
            <w:tcBorders>
              <w:top w:val="nil" w:sz="6" w:space="0" w:color="auto"/>
              <w:left w:val="nil" w:sz="6" w:space="0" w:color="auto"/>
              <w:bottom w:val="single" w:sz="8" w:space="0" w:color="000000"/>
              <w:right w:val="nil" w:sz="6" w:space="0" w:color="auto"/>
            </w:tcBorders>
          </w:tcPr>
          <w:p>
            <w:pPr>
              <w:pStyle w:val="TableParagraph"/>
              <w:spacing w:line="240" w:lineRule="auto" w:before="50"/>
              <w:ind w:left="121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03" w:type="dxa"/>
            <w:tcBorders>
              <w:top w:val="nil" w:sz="6" w:space="0" w:color="auto"/>
              <w:left w:val="nil" w:sz="6" w:space="0" w:color="auto"/>
              <w:bottom w:val="single" w:sz="8" w:space="0" w:color="000000"/>
              <w:right w:val="nil" w:sz="6" w:space="0" w:color="auto"/>
            </w:tcBorders>
          </w:tcPr>
          <w:p>
            <w:pPr>
              <w:pStyle w:val="TableParagraph"/>
              <w:spacing w:line="364" w:lineRule="auto" w:before="81"/>
              <w:ind w:left="1059" w:right="177" w:hanging="363"/>
              <w:jc w:val="left"/>
              <w:rPr>
                <w:rFonts w:ascii="宋体" w:hAnsi="宋体" w:cs="宋体" w:eastAsia="宋体" w:hint="default"/>
                <w:sz w:val="18"/>
                <w:szCs w:val="18"/>
              </w:rPr>
            </w:pPr>
            <w:r>
              <w:rPr>
                <w:rFonts w:ascii="宋体" w:hAnsi="宋体" w:cs="宋体" w:eastAsia="宋体" w:hint="default"/>
                <w:b/>
                <w:bCs/>
                <w:sz w:val="18"/>
                <w:szCs w:val="18"/>
              </w:rPr>
              <w:t>广州天瑞文化传播有</w:t>
            </w:r>
            <w:r>
              <w:rPr>
                <w:rFonts w:ascii="宋体" w:hAnsi="宋体" w:cs="宋体" w:eastAsia="宋体" w:hint="default"/>
                <w:b/>
                <w:bCs/>
                <w:w w:val="99"/>
                <w:sz w:val="18"/>
                <w:szCs w:val="18"/>
              </w:rPr>
              <w:t> </w:t>
            </w:r>
            <w:r>
              <w:rPr>
                <w:rFonts w:ascii="宋体" w:hAnsi="宋体" w:cs="宋体" w:eastAsia="宋体" w:hint="default"/>
                <w:b/>
                <w:bCs/>
                <w:sz w:val="18"/>
                <w:szCs w:val="18"/>
              </w:rPr>
              <w:t>限责任公司</w:t>
            </w:r>
            <w:r>
              <w:rPr>
                <w:rFonts w:ascii="宋体" w:hAnsi="宋体" w:cs="宋体" w:eastAsia="宋体" w:hint="default"/>
                <w:sz w:val="18"/>
                <w:szCs w:val="18"/>
              </w:rPr>
            </w:r>
          </w:p>
        </w:tc>
        <w:tc>
          <w:tcPr>
            <w:tcW w:w="1950" w:type="dxa"/>
            <w:tcBorders>
              <w:top w:val="nil" w:sz="6" w:space="0" w:color="auto"/>
              <w:left w:val="nil" w:sz="6" w:space="0" w:color="auto"/>
              <w:bottom w:val="single" w:sz="8" w:space="0" w:color="000000"/>
              <w:right w:val="nil" w:sz="6" w:space="0" w:color="auto"/>
            </w:tcBorders>
          </w:tcPr>
          <w:p>
            <w:pPr>
              <w:pStyle w:val="TableParagraph"/>
              <w:spacing w:line="364" w:lineRule="auto" w:before="81"/>
              <w:ind w:left="721" w:right="142" w:hanging="543"/>
              <w:jc w:val="left"/>
              <w:rPr>
                <w:rFonts w:ascii="宋体" w:hAnsi="宋体" w:cs="宋体" w:eastAsia="宋体" w:hint="default"/>
                <w:sz w:val="18"/>
                <w:szCs w:val="18"/>
              </w:rPr>
            </w:pPr>
            <w:r>
              <w:rPr>
                <w:rFonts w:ascii="宋体" w:hAnsi="宋体" w:cs="宋体" w:eastAsia="宋体" w:hint="default"/>
                <w:b/>
                <w:bCs/>
                <w:sz w:val="18"/>
                <w:szCs w:val="18"/>
              </w:rPr>
              <w:t>浙江天舟图书有限责</w:t>
            </w:r>
            <w:r>
              <w:rPr>
                <w:rFonts w:ascii="宋体" w:hAnsi="宋体" w:cs="宋体" w:eastAsia="宋体" w:hint="default"/>
                <w:b/>
                <w:bCs/>
                <w:w w:val="99"/>
                <w:sz w:val="18"/>
                <w:szCs w:val="18"/>
              </w:rPr>
              <w:t> </w:t>
            </w:r>
            <w:r>
              <w:rPr>
                <w:rFonts w:ascii="宋体" w:hAnsi="宋体" w:cs="宋体" w:eastAsia="宋体" w:hint="default"/>
                <w:b/>
                <w:bCs/>
                <w:sz w:val="18"/>
                <w:szCs w:val="18"/>
              </w:rPr>
              <w:t>任公司</w:t>
            </w:r>
            <w:r>
              <w:rPr>
                <w:rFonts w:ascii="宋体" w:hAnsi="宋体" w:cs="宋体" w:eastAsia="宋体" w:hint="default"/>
                <w:sz w:val="18"/>
                <w:szCs w:val="18"/>
              </w:rPr>
            </w:r>
          </w:p>
        </w:tc>
        <w:tc>
          <w:tcPr>
            <w:tcW w:w="2062" w:type="dxa"/>
            <w:tcBorders>
              <w:top w:val="nil" w:sz="6" w:space="0" w:color="auto"/>
              <w:left w:val="nil" w:sz="6" w:space="0" w:color="auto"/>
              <w:bottom w:val="single" w:sz="8" w:space="0" w:color="000000"/>
              <w:right w:val="nil" w:sz="6" w:space="0" w:color="auto"/>
            </w:tcBorders>
          </w:tcPr>
          <w:p>
            <w:pPr>
              <w:pStyle w:val="TableParagraph"/>
              <w:spacing w:line="364" w:lineRule="auto" w:before="81"/>
              <w:ind w:left="687" w:right="109" w:hanging="543"/>
              <w:jc w:val="left"/>
              <w:rPr>
                <w:rFonts w:ascii="宋体" w:hAnsi="宋体" w:cs="宋体" w:eastAsia="宋体" w:hint="default"/>
                <w:sz w:val="18"/>
                <w:szCs w:val="18"/>
              </w:rPr>
            </w:pPr>
            <w:r>
              <w:rPr>
                <w:rFonts w:ascii="宋体" w:hAnsi="宋体" w:cs="宋体" w:eastAsia="宋体" w:hint="default"/>
                <w:b/>
                <w:bCs/>
                <w:sz w:val="18"/>
                <w:szCs w:val="18"/>
              </w:rPr>
              <w:t>北京永载文化传播有限</w:t>
            </w:r>
            <w:r>
              <w:rPr>
                <w:rFonts w:ascii="宋体" w:hAnsi="宋体" w:cs="宋体" w:eastAsia="宋体" w:hint="default"/>
                <w:b/>
                <w:bCs/>
                <w:w w:val="99"/>
                <w:sz w:val="18"/>
                <w:szCs w:val="18"/>
              </w:rPr>
              <w:t> </w:t>
            </w:r>
            <w:r>
              <w:rPr>
                <w:rFonts w:ascii="宋体" w:hAnsi="宋体" w:cs="宋体" w:eastAsia="宋体" w:hint="default"/>
                <w:b/>
                <w:bCs/>
                <w:sz w:val="18"/>
                <w:szCs w:val="18"/>
              </w:rPr>
              <w:t>责任公司</w:t>
            </w:r>
            <w:r>
              <w:rPr>
                <w:rFonts w:ascii="宋体" w:hAnsi="宋体" w:cs="宋体" w:eastAsia="宋体" w:hint="default"/>
                <w:sz w:val="18"/>
                <w:szCs w:val="18"/>
              </w:rPr>
            </w:r>
          </w:p>
        </w:tc>
      </w:tr>
      <w:tr>
        <w:trPr>
          <w:trHeight w:val="445" w:hRule="exact"/>
        </w:trPr>
        <w:tc>
          <w:tcPr>
            <w:tcW w:w="2281" w:type="dxa"/>
            <w:tcBorders>
              <w:top w:val="single" w:sz="8" w:space="0" w:color="000000"/>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03"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38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1,813,382.02</w:t>
            </w:r>
            <w:r>
              <w:rPr>
                <w:rFonts w:ascii="Times New Roman"/>
                <w:spacing w:val="-1"/>
                <w:sz w:val="18"/>
              </w:rPr>
            </w:r>
          </w:p>
        </w:tc>
        <w:tc>
          <w:tcPr>
            <w:tcW w:w="1950" w:type="dxa"/>
            <w:tcBorders>
              <w:top w:val="single" w:sz="8" w:space="0" w:color="000000"/>
              <w:left w:val="nil" w:sz="6" w:space="0" w:color="auto"/>
              <w:bottom w:val="nil" w:sz="6" w:space="0" w:color="auto"/>
              <w:right w:val="nil" w:sz="6" w:space="0" w:color="auto"/>
            </w:tcBorders>
          </w:tcPr>
          <w:p>
            <w:pPr/>
          </w:p>
        </w:tc>
        <w:tc>
          <w:tcPr>
            <w:tcW w:w="2062"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38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17,892,635.32</w:t>
            </w:r>
            <w:r>
              <w:rPr>
                <w:rFonts w:ascii="Times New Roman"/>
                <w:spacing w:val="-1"/>
                <w:sz w:val="18"/>
              </w:rPr>
            </w:r>
          </w:p>
        </w:tc>
      </w:tr>
      <w:tr>
        <w:trPr>
          <w:trHeight w:val="400"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50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82"/>
              <w:jc w:val="right"/>
              <w:rPr>
                <w:rFonts w:ascii="Times New Roman" w:hAnsi="Times New Roman" w:cs="Times New Roman" w:eastAsia="Times New Roman" w:hint="default"/>
                <w:sz w:val="18"/>
                <w:szCs w:val="18"/>
              </w:rPr>
            </w:pPr>
            <w:r>
              <w:rPr>
                <w:rFonts w:ascii="Times New Roman"/>
                <w:spacing w:val="-1"/>
                <w:sz w:val="18"/>
              </w:rPr>
              <w:t>6,552,510.23</w:t>
            </w:r>
          </w:p>
        </w:tc>
        <w:tc>
          <w:tcPr>
            <w:tcW w:w="1950"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84"/>
              <w:jc w:val="right"/>
              <w:rPr>
                <w:rFonts w:ascii="Times New Roman" w:hAnsi="Times New Roman" w:cs="Times New Roman" w:eastAsia="Times New Roman" w:hint="default"/>
                <w:sz w:val="18"/>
                <w:szCs w:val="18"/>
              </w:rPr>
            </w:pPr>
            <w:r>
              <w:rPr>
                <w:rFonts w:ascii="Times New Roman"/>
                <w:spacing w:val="-1"/>
                <w:sz w:val="18"/>
              </w:rPr>
              <w:t>57,312,770.11</w:t>
            </w:r>
          </w:p>
        </w:tc>
      </w:tr>
      <w:tr>
        <w:trPr>
          <w:trHeight w:val="400"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宋体" w:hAnsi="宋体" w:cs="宋体" w:eastAsia="宋体" w:hint="default"/>
                <w:sz w:val="18"/>
                <w:szCs w:val="18"/>
              </w:rPr>
            </w:pPr>
            <w:r>
              <w:rPr>
                <w:rFonts w:ascii="宋体" w:hAnsi="宋体" w:cs="宋体" w:eastAsia="宋体" w:hint="default"/>
                <w:sz w:val="18"/>
                <w:szCs w:val="18"/>
              </w:rPr>
              <w:t>净利润（净亏损）</w:t>
            </w:r>
          </w:p>
        </w:tc>
        <w:tc>
          <w:tcPr>
            <w:tcW w:w="25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82"/>
              <w:jc w:val="right"/>
              <w:rPr>
                <w:rFonts w:ascii="Times New Roman" w:hAnsi="Times New Roman" w:cs="Times New Roman" w:eastAsia="Times New Roman" w:hint="default"/>
                <w:sz w:val="18"/>
                <w:szCs w:val="18"/>
              </w:rPr>
            </w:pPr>
            <w:r>
              <w:rPr>
                <w:rFonts w:ascii="Times New Roman"/>
                <w:spacing w:val="-1"/>
                <w:sz w:val="18"/>
              </w:rPr>
              <w:t>406,454.12</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820" w:right="0"/>
              <w:jc w:val="left"/>
              <w:rPr>
                <w:rFonts w:ascii="Times New Roman" w:hAnsi="Times New Roman" w:cs="Times New Roman" w:eastAsia="Times New Roman" w:hint="default"/>
                <w:sz w:val="18"/>
                <w:szCs w:val="18"/>
              </w:rPr>
            </w:pPr>
            <w:r>
              <w:rPr>
                <w:rFonts w:ascii="Times New Roman"/>
                <w:sz w:val="18"/>
              </w:rPr>
              <w:t>-11,921.58</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81"/>
              <w:jc w:val="right"/>
              <w:rPr>
                <w:rFonts w:ascii="Times New Roman" w:hAnsi="Times New Roman" w:cs="Times New Roman" w:eastAsia="Times New Roman" w:hint="default"/>
                <w:sz w:val="18"/>
                <w:szCs w:val="18"/>
              </w:rPr>
            </w:pPr>
            <w:r>
              <w:rPr>
                <w:rFonts w:ascii="Times New Roman"/>
                <w:spacing w:val="-1"/>
                <w:sz w:val="18"/>
              </w:rPr>
              <w:t>1,269,639.08</w:t>
            </w:r>
          </w:p>
        </w:tc>
      </w:tr>
      <w:tr>
        <w:trPr>
          <w:trHeight w:val="401"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50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82"/>
              <w:jc w:val="right"/>
              <w:rPr>
                <w:rFonts w:ascii="Times New Roman" w:hAnsi="Times New Roman" w:cs="Times New Roman" w:eastAsia="Times New Roman" w:hint="default"/>
                <w:sz w:val="18"/>
                <w:szCs w:val="18"/>
              </w:rPr>
            </w:pPr>
            <w:r>
              <w:rPr>
                <w:rFonts w:ascii="Times New Roman"/>
                <w:spacing w:val="-1"/>
                <w:sz w:val="18"/>
              </w:rPr>
              <w:t>406,454.12</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822" w:right="0"/>
              <w:jc w:val="left"/>
              <w:rPr>
                <w:rFonts w:ascii="Times New Roman" w:hAnsi="Times New Roman" w:cs="Times New Roman" w:eastAsia="Times New Roman" w:hint="default"/>
                <w:sz w:val="18"/>
                <w:szCs w:val="18"/>
              </w:rPr>
            </w:pPr>
            <w:r>
              <w:rPr>
                <w:rFonts w:ascii="Times New Roman"/>
                <w:sz w:val="18"/>
              </w:rPr>
              <w:t>-11,921.58</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81"/>
              <w:jc w:val="right"/>
              <w:rPr>
                <w:rFonts w:ascii="Times New Roman" w:hAnsi="Times New Roman" w:cs="Times New Roman" w:eastAsia="Times New Roman" w:hint="default"/>
                <w:sz w:val="18"/>
                <w:szCs w:val="18"/>
              </w:rPr>
            </w:pPr>
            <w:r>
              <w:rPr>
                <w:rFonts w:ascii="Times New Roman"/>
                <w:spacing w:val="-1"/>
                <w:sz w:val="18"/>
              </w:rPr>
              <w:t>1,269,639.08</w:t>
            </w:r>
          </w:p>
        </w:tc>
      </w:tr>
      <w:tr>
        <w:trPr>
          <w:trHeight w:val="295"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250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82"/>
              <w:jc w:val="right"/>
              <w:rPr>
                <w:rFonts w:ascii="Times New Roman" w:hAnsi="Times New Roman" w:cs="Times New Roman" w:eastAsia="Times New Roman" w:hint="default"/>
                <w:sz w:val="18"/>
                <w:szCs w:val="18"/>
              </w:rPr>
            </w:pPr>
            <w:r>
              <w:rPr>
                <w:rFonts w:ascii="Times New Roman"/>
                <w:spacing w:val="-1"/>
                <w:sz w:val="18"/>
              </w:rPr>
              <w:t>501,769.34</w:t>
            </w:r>
          </w:p>
        </w:tc>
        <w:tc>
          <w:tcPr>
            <w:tcW w:w="1950"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81"/>
              <w:jc w:val="right"/>
              <w:rPr>
                <w:rFonts w:ascii="Times New Roman" w:hAnsi="Times New Roman" w:cs="Times New Roman" w:eastAsia="Times New Roman" w:hint="default"/>
                <w:sz w:val="18"/>
                <w:szCs w:val="18"/>
              </w:rPr>
            </w:pPr>
            <w:r>
              <w:rPr>
                <w:rFonts w:ascii="Times New Roman"/>
                <w:spacing w:val="-1"/>
                <w:sz w:val="18"/>
              </w:rPr>
              <w:t>7,688,769.93</w:t>
            </w:r>
          </w:p>
        </w:tc>
      </w:tr>
    </w:tbl>
    <w:p>
      <w:pPr>
        <w:spacing w:line="240" w:lineRule="auto" w:before="1"/>
        <w:rPr>
          <w:rFonts w:ascii="宋体" w:hAnsi="宋体" w:cs="宋体" w:eastAsia="宋体" w:hint="default"/>
          <w:sz w:val="29"/>
          <w:szCs w:val="29"/>
        </w:rPr>
      </w:pPr>
    </w:p>
    <w:p>
      <w:pPr>
        <w:pStyle w:val="BodyText"/>
        <w:spacing w:line="240" w:lineRule="auto" w:before="44"/>
        <w:ind w:left="840" w:right="546"/>
        <w:jc w:val="left"/>
      </w:pPr>
      <w:r>
        <w:rPr>
          <w:rFonts w:ascii="Times New Roman" w:hAnsi="Times New Roman" w:cs="Times New Roman" w:eastAsia="Times New Roman" w:hint="default"/>
        </w:rPr>
        <w:t>2.</w:t>
      </w:r>
      <w:r>
        <w:rPr/>
        <w:t>在联营企业中的权益</w:t>
      </w:r>
    </w:p>
    <w:p>
      <w:pPr>
        <w:spacing w:line="240" w:lineRule="auto" w:before="8"/>
        <w:rPr>
          <w:rFonts w:ascii="宋体" w:hAnsi="宋体" w:cs="宋体" w:eastAsia="宋体" w:hint="default"/>
          <w:sz w:val="20"/>
          <w:szCs w:val="20"/>
        </w:rPr>
      </w:pPr>
    </w:p>
    <w:p>
      <w:pPr>
        <w:pStyle w:val="BodyText"/>
        <w:spacing w:line="240" w:lineRule="auto"/>
        <w:ind w:left="840" w:right="546"/>
        <w:jc w:val="left"/>
      </w:pPr>
      <w:r>
        <w:rPr/>
        <w:t>（</w:t>
      </w:r>
      <w:r>
        <w:rPr>
          <w:rFonts w:ascii="Times New Roman" w:hAnsi="Times New Roman" w:cs="Times New Roman" w:eastAsia="Times New Roman" w:hint="default"/>
        </w:rPr>
        <w:t>1</w:t>
      </w:r>
      <w:r>
        <w:rPr/>
        <w:t>）重要的联营企业</w:t>
      </w:r>
    </w:p>
    <w:p>
      <w:pPr>
        <w:spacing w:line="240" w:lineRule="auto" w:before="3"/>
        <w:rPr>
          <w:rFonts w:ascii="宋体" w:hAnsi="宋体" w:cs="宋体" w:eastAsia="宋体" w:hint="default"/>
          <w:sz w:val="22"/>
          <w:szCs w:val="22"/>
        </w:rPr>
      </w:pPr>
    </w:p>
    <w:tbl>
      <w:tblPr>
        <w:tblW w:w="0" w:type="auto"/>
        <w:jc w:val="left"/>
        <w:tblInd w:w="372" w:type="dxa"/>
        <w:tblLayout w:type="fixed"/>
        <w:tblCellMar>
          <w:top w:w="0" w:type="dxa"/>
          <w:left w:w="0" w:type="dxa"/>
          <w:bottom w:w="0" w:type="dxa"/>
          <w:right w:w="0" w:type="dxa"/>
        </w:tblCellMar>
        <w:tblLook w:val="01E0"/>
      </w:tblPr>
      <w:tblGrid>
        <w:gridCol w:w="1654"/>
        <w:gridCol w:w="1015"/>
        <w:gridCol w:w="689"/>
        <w:gridCol w:w="817"/>
        <w:gridCol w:w="766"/>
        <w:gridCol w:w="717"/>
        <w:gridCol w:w="1745"/>
        <w:gridCol w:w="1120"/>
      </w:tblGrid>
      <w:tr>
        <w:trPr>
          <w:trHeight w:val="185" w:hRule="exact"/>
        </w:trPr>
        <w:tc>
          <w:tcPr>
            <w:tcW w:w="5659" w:type="dxa"/>
            <w:gridSpan w:val="6"/>
            <w:tcBorders>
              <w:top w:val="nil" w:sz="6" w:space="0" w:color="auto"/>
              <w:left w:val="nil" w:sz="6" w:space="0" w:color="auto"/>
              <w:bottom w:val="nil" w:sz="6" w:space="0" w:color="auto"/>
              <w:right w:val="nil" w:sz="6" w:space="0" w:color="auto"/>
            </w:tcBorders>
          </w:tcPr>
          <w:p>
            <w:pPr>
              <w:pStyle w:val="TableParagraph"/>
              <w:spacing w:line="213" w:lineRule="exact"/>
              <w:ind w:right="101"/>
              <w:jc w:val="right"/>
              <w:rPr>
                <w:rFonts w:ascii="宋体" w:hAnsi="宋体" w:cs="宋体" w:eastAsia="宋体" w:hint="default"/>
                <w:sz w:val="18"/>
                <w:szCs w:val="18"/>
              </w:rPr>
            </w:pPr>
            <w:r>
              <w:rPr>
                <w:rFonts w:ascii="宋体" w:hAnsi="宋体" w:cs="宋体" w:eastAsia="宋体" w:hint="default"/>
                <w:b/>
                <w:bCs/>
                <w:w w:val="95"/>
                <w:sz w:val="18"/>
                <w:szCs w:val="18"/>
              </w:rPr>
              <w:t>持股比例（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745" w:type="dxa"/>
            <w:tcBorders>
              <w:top w:val="nil" w:sz="6" w:space="0" w:color="auto"/>
              <w:left w:val="nil" w:sz="6" w:space="0" w:color="auto"/>
              <w:bottom w:val="nil" w:sz="6" w:space="0" w:color="auto"/>
              <w:right w:val="nil" w:sz="6" w:space="0" w:color="auto"/>
            </w:tcBorders>
          </w:tcPr>
          <w:p>
            <w:pPr/>
          </w:p>
        </w:tc>
        <w:tc>
          <w:tcPr>
            <w:tcW w:w="1120" w:type="dxa"/>
            <w:vMerge w:val="restart"/>
            <w:tcBorders>
              <w:top w:val="nil" w:sz="6" w:space="0" w:color="auto"/>
              <w:left w:val="nil" w:sz="6" w:space="0" w:color="auto"/>
              <w:right w:val="nil" w:sz="6" w:space="0" w:color="auto"/>
            </w:tcBorders>
          </w:tcPr>
          <w:p>
            <w:pPr>
              <w:pStyle w:val="TableParagraph"/>
              <w:spacing w:line="180" w:lineRule="exact"/>
              <w:ind w:left="78" w:right="0"/>
              <w:jc w:val="left"/>
              <w:rPr>
                <w:rFonts w:ascii="宋体" w:hAnsi="宋体" w:cs="宋体" w:eastAsia="宋体" w:hint="default"/>
                <w:sz w:val="18"/>
                <w:szCs w:val="18"/>
              </w:rPr>
            </w:pPr>
            <w:r>
              <w:rPr>
                <w:rFonts w:ascii="宋体" w:hAnsi="宋体" w:cs="宋体" w:eastAsia="宋体" w:hint="default"/>
                <w:b/>
                <w:bCs/>
                <w:sz w:val="18"/>
                <w:szCs w:val="18"/>
              </w:rPr>
              <w:t>对集团活动</w:t>
            </w:r>
            <w:r>
              <w:rPr>
                <w:rFonts w:ascii="宋体" w:hAnsi="宋体" w:cs="宋体" w:eastAsia="宋体" w:hint="default"/>
                <w:sz w:val="18"/>
                <w:szCs w:val="18"/>
              </w:rPr>
            </w:r>
          </w:p>
          <w:p>
            <w:pPr>
              <w:pStyle w:val="TableParagraph"/>
              <w:spacing w:line="328" w:lineRule="auto" w:before="83"/>
              <w:ind w:left="349" w:right="137" w:hanging="272"/>
              <w:jc w:val="left"/>
              <w:rPr>
                <w:rFonts w:ascii="宋体" w:hAnsi="宋体" w:cs="宋体" w:eastAsia="宋体" w:hint="default"/>
                <w:sz w:val="18"/>
                <w:szCs w:val="18"/>
              </w:rPr>
            </w:pPr>
            <w:r>
              <w:rPr>
                <w:rFonts w:ascii="宋体" w:hAnsi="宋体" w:cs="宋体" w:eastAsia="宋体" w:hint="default"/>
                <w:b/>
                <w:bCs/>
                <w:sz w:val="18"/>
                <w:szCs w:val="18"/>
              </w:rPr>
              <w:t>是否具有战</w:t>
            </w:r>
            <w:r>
              <w:rPr>
                <w:rFonts w:ascii="宋体" w:hAnsi="宋体" w:cs="宋体" w:eastAsia="宋体" w:hint="default"/>
                <w:b/>
                <w:bCs/>
                <w:w w:val="99"/>
                <w:sz w:val="18"/>
                <w:szCs w:val="18"/>
              </w:rPr>
              <w:t> </w:t>
            </w:r>
            <w:r>
              <w:rPr>
                <w:rFonts w:ascii="宋体" w:hAnsi="宋体" w:cs="宋体" w:eastAsia="宋体" w:hint="default"/>
                <w:b/>
                <w:bCs/>
                <w:sz w:val="18"/>
                <w:szCs w:val="18"/>
              </w:rPr>
              <w:t>略性</w:t>
            </w:r>
            <w:r>
              <w:rPr>
                <w:rFonts w:ascii="宋体" w:hAnsi="宋体" w:cs="宋体" w:eastAsia="宋体" w:hint="default"/>
                <w:sz w:val="18"/>
                <w:szCs w:val="18"/>
              </w:rPr>
            </w:r>
          </w:p>
        </w:tc>
      </w:tr>
      <w:tr>
        <w:trPr>
          <w:trHeight w:val="324" w:hRule="exact"/>
        </w:trPr>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87"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015" w:type="dxa"/>
            <w:vMerge w:val="restart"/>
            <w:tcBorders>
              <w:top w:val="nil" w:sz="6" w:space="0" w:color="auto"/>
              <w:left w:val="nil" w:sz="6" w:space="0" w:color="auto"/>
              <w:right w:val="nil" w:sz="6" w:space="0" w:color="auto"/>
            </w:tcBorders>
          </w:tcPr>
          <w:p>
            <w:pPr>
              <w:pStyle w:val="TableParagraph"/>
              <w:spacing w:line="156" w:lineRule="exact"/>
              <w:ind w:right="37"/>
              <w:jc w:val="center"/>
              <w:rPr>
                <w:rFonts w:ascii="宋体" w:hAnsi="宋体" w:cs="宋体" w:eastAsia="宋体" w:hint="default"/>
                <w:sz w:val="18"/>
                <w:szCs w:val="18"/>
              </w:rPr>
            </w:pPr>
            <w:r>
              <w:rPr>
                <w:rFonts w:ascii="宋体" w:hAnsi="宋体" w:cs="宋体" w:eastAsia="宋体" w:hint="default"/>
                <w:b/>
                <w:bCs/>
                <w:sz w:val="18"/>
                <w:szCs w:val="18"/>
              </w:rPr>
              <w:t>主要经营</w:t>
            </w:r>
            <w:r>
              <w:rPr>
                <w:rFonts w:ascii="宋体" w:hAnsi="宋体" w:cs="宋体" w:eastAsia="宋体" w:hint="default"/>
                <w:sz w:val="18"/>
                <w:szCs w:val="18"/>
              </w:rPr>
            </w:r>
          </w:p>
          <w:p>
            <w:pPr>
              <w:pStyle w:val="TableParagraph"/>
              <w:spacing w:line="240" w:lineRule="auto" w:before="83"/>
              <w:ind w:right="37"/>
              <w:jc w:val="center"/>
              <w:rPr>
                <w:rFonts w:ascii="宋体" w:hAnsi="宋体" w:cs="宋体" w:eastAsia="宋体" w:hint="default"/>
                <w:sz w:val="18"/>
                <w:szCs w:val="18"/>
              </w:rPr>
            </w:pPr>
            <w:r>
              <w:rPr>
                <w:rFonts w:ascii="宋体" w:hAnsi="宋体" w:cs="宋体" w:eastAsia="宋体" w:hint="default"/>
                <w:b/>
                <w:bCs/>
                <w:w w:val="99"/>
                <w:sz w:val="18"/>
                <w:szCs w:val="18"/>
              </w:rPr>
              <w:t>地</w:t>
            </w:r>
            <w:r>
              <w:rPr>
                <w:rFonts w:ascii="宋体" w:hAnsi="宋体" w:cs="宋体" w:eastAsia="宋体" w:hint="default"/>
                <w:sz w:val="18"/>
                <w:szCs w:val="18"/>
              </w:rPr>
            </w:r>
          </w:p>
        </w:tc>
        <w:tc>
          <w:tcPr>
            <w:tcW w:w="689" w:type="dxa"/>
            <w:vMerge w:val="restart"/>
            <w:tcBorders>
              <w:top w:val="nil" w:sz="6" w:space="0" w:color="auto"/>
              <w:left w:val="nil" w:sz="6" w:space="0" w:color="auto"/>
              <w:right w:val="nil" w:sz="6" w:space="0" w:color="auto"/>
            </w:tcBorders>
          </w:tcPr>
          <w:p>
            <w:pPr>
              <w:pStyle w:val="TableParagraph"/>
              <w:spacing w:line="156" w:lineRule="exact"/>
              <w:ind w:left="7" w:right="0"/>
              <w:jc w:val="center"/>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sz w:val="18"/>
                <w:szCs w:val="18"/>
              </w:rPr>
            </w:r>
          </w:p>
          <w:p>
            <w:pPr>
              <w:pStyle w:val="TableParagraph"/>
              <w:spacing w:line="240" w:lineRule="auto" w:before="83"/>
              <w:ind w:left="5" w:right="0"/>
              <w:jc w:val="center"/>
              <w:rPr>
                <w:rFonts w:ascii="宋体" w:hAnsi="宋体" w:cs="宋体" w:eastAsia="宋体" w:hint="default"/>
                <w:sz w:val="18"/>
                <w:szCs w:val="18"/>
              </w:rPr>
            </w:pPr>
            <w:r>
              <w:rPr>
                <w:rFonts w:ascii="宋体" w:hAnsi="宋体" w:cs="宋体" w:eastAsia="宋体" w:hint="default"/>
                <w:b/>
                <w:bCs/>
                <w:w w:val="99"/>
                <w:sz w:val="18"/>
                <w:szCs w:val="18"/>
              </w:rPr>
              <w:t>地</w:t>
            </w:r>
            <w:r>
              <w:rPr>
                <w:rFonts w:ascii="宋体" w:hAnsi="宋体" w:cs="宋体" w:eastAsia="宋体" w:hint="default"/>
                <w:sz w:val="18"/>
                <w:szCs w:val="18"/>
              </w:rPr>
            </w:r>
          </w:p>
        </w:tc>
        <w:tc>
          <w:tcPr>
            <w:tcW w:w="817" w:type="dxa"/>
            <w:vMerge w:val="restart"/>
            <w:tcBorders>
              <w:top w:val="nil" w:sz="6" w:space="0" w:color="auto"/>
              <w:left w:val="nil" w:sz="6" w:space="0" w:color="auto"/>
              <w:right w:val="nil" w:sz="6" w:space="0" w:color="auto"/>
            </w:tcBorders>
          </w:tcPr>
          <w:p>
            <w:pPr>
              <w:pStyle w:val="TableParagraph"/>
              <w:spacing w:line="134" w:lineRule="exact"/>
              <w:ind w:left="247" w:right="0"/>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sz w:val="18"/>
                <w:szCs w:val="18"/>
              </w:rPr>
            </w:r>
          </w:p>
          <w:p>
            <w:pPr>
              <w:pStyle w:val="TableParagraph"/>
              <w:spacing w:line="240" w:lineRule="auto" w:before="124"/>
              <w:ind w:left="247" w:right="0"/>
              <w:jc w:val="left"/>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766"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745" w:type="dxa"/>
            <w:vMerge w:val="restart"/>
            <w:tcBorders>
              <w:top w:val="nil" w:sz="6" w:space="0" w:color="auto"/>
              <w:left w:val="nil" w:sz="6" w:space="0" w:color="auto"/>
              <w:right w:val="nil" w:sz="6" w:space="0" w:color="auto"/>
            </w:tcBorders>
          </w:tcPr>
          <w:p>
            <w:pPr>
              <w:pStyle w:val="TableParagraph"/>
              <w:spacing w:line="156" w:lineRule="exact"/>
              <w:ind w:left="101" w:right="0" w:firstLine="14"/>
              <w:jc w:val="left"/>
              <w:rPr>
                <w:rFonts w:ascii="宋体" w:hAnsi="宋体" w:cs="宋体" w:eastAsia="宋体" w:hint="default"/>
                <w:sz w:val="18"/>
                <w:szCs w:val="18"/>
              </w:rPr>
            </w:pPr>
            <w:r>
              <w:rPr>
                <w:rFonts w:ascii="宋体" w:hAnsi="宋体" w:cs="宋体" w:eastAsia="宋体" w:hint="default"/>
                <w:b/>
                <w:bCs/>
                <w:sz w:val="18"/>
                <w:szCs w:val="18"/>
              </w:rPr>
              <w:t>本集团在被投资单</w:t>
            </w:r>
            <w:r>
              <w:rPr>
                <w:rFonts w:ascii="宋体" w:hAnsi="宋体" w:cs="宋体" w:eastAsia="宋体" w:hint="default"/>
                <w:sz w:val="18"/>
                <w:szCs w:val="18"/>
              </w:rPr>
            </w:r>
          </w:p>
          <w:p>
            <w:pPr>
              <w:pStyle w:val="TableParagraph"/>
              <w:spacing w:line="240" w:lineRule="auto" w:before="83"/>
              <w:ind w:left="101" w:right="0"/>
              <w:jc w:val="left"/>
              <w:rPr>
                <w:rFonts w:ascii="宋体" w:hAnsi="宋体" w:cs="宋体" w:eastAsia="宋体" w:hint="default"/>
                <w:sz w:val="18"/>
                <w:szCs w:val="18"/>
              </w:rPr>
            </w:pPr>
            <w:r>
              <w:rPr>
                <w:rFonts w:ascii="宋体" w:hAnsi="宋体" w:cs="宋体" w:eastAsia="宋体" w:hint="default"/>
                <w:b/>
                <w:bCs/>
                <w:spacing w:val="-7"/>
                <w:sz w:val="18"/>
                <w:szCs w:val="18"/>
              </w:rPr>
              <w:t>位表决权比例（</w:t>
            </w:r>
            <w:r>
              <w:rPr>
                <w:rFonts w:ascii="Times New Roman" w:hAnsi="Times New Roman" w:cs="Times New Roman" w:eastAsia="Times New Roman" w:hint="default"/>
                <w:b/>
                <w:bCs/>
                <w:spacing w:val="-7"/>
                <w:sz w:val="18"/>
                <w:szCs w:val="18"/>
              </w:rPr>
              <w:t>%</w:t>
            </w:r>
            <w:r>
              <w:rPr>
                <w:rFonts w:ascii="宋体" w:hAnsi="宋体" w:cs="宋体" w:eastAsia="宋体" w:hint="default"/>
                <w:b/>
                <w:bCs/>
                <w:spacing w:val="-7"/>
                <w:sz w:val="18"/>
                <w:szCs w:val="18"/>
              </w:rPr>
              <w:t>）</w:t>
            </w:r>
            <w:r>
              <w:rPr>
                <w:rFonts w:ascii="宋体" w:hAnsi="宋体" w:cs="宋体" w:eastAsia="宋体" w:hint="default"/>
                <w:spacing w:val="-7"/>
                <w:sz w:val="18"/>
                <w:szCs w:val="18"/>
              </w:rPr>
            </w:r>
          </w:p>
        </w:tc>
        <w:tc>
          <w:tcPr>
            <w:tcW w:w="1120" w:type="dxa"/>
            <w:vMerge/>
            <w:tcBorders>
              <w:left w:val="nil" w:sz="6" w:space="0" w:color="auto"/>
              <w:right w:val="nil" w:sz="6" w:space="0" w:color="auto"/>
            </w:tcBorders>
          </w:tcPr>
          <w:p>
            <w:pPr/>
          </w:p>
        </w:tc>
      </w:tr>
      <w:tr>
        <w:trPr>
          <w:trHeight w:val="395" w:hRule="exact"/>
        </w:trPr>
        <w:tc>
          <w:tcPr>
            <w:tcW w:w="1654" w:type="dxa"/>
            <w:tcBorders>
              <w:top w:val="nil" w:sz="6" w:space="0" w:color="auto"/>
              <w:left w:val="nil" w:sz="6" w:space="0" w:color="auto"/>
              <w:bottom w:val="single" w:sz="4" w:space="0" w:color="000000"/>
              <w:right w:val="nil" w:sz="6" w:space="0" w:color="auto"/>
            </w:tcBorders>
          </w:tcPr>
          <w:p>
            <w:pPr/>
          </w:p>
        </w:tc>
        <w:tc>
          <w:tcPr>
            <w:tcW w:w="1015" w:type="dxa"/>
            <w:vMerge/>
            <w:tcBorders>
              <w:left w:val="nil" w:sz="6" w:space="0" w:color="auto"/>
              <w:bottom w:val="single" w:sz="4" w:space="0" w:color="000000"/>
              <w:right w:val="nil" w:sz="6" w:space="0" w:color="auto"/>
            </w:tcBorders>
          </w:tcPr>
          <w:p>
            <w:pPr/>
          </w:p>
        </w:tc>
        <w:tc>
          <w:tcPr>
            <w:tcW w:w="689" w:type="dxa"/>
            <w:vMerge/>
            <w:tcBorders>
              <w:left w:val="nil" w:sz="6" w:space="0" w:color="auto"/>
              <w:bottom w:val="single" w:sz="4" w:space="0" w:color="000000"/>
              <w:right w:val="nil" w:sz="6" w:space="0" w:color="auto"/>
            </w:tcBorders>
          </w:tcPr>
          <w:p>
            <w:pPr/>
          </w:p>
        </w:tc>
        <w:tc>
          <w:tcPr>
            <w:tcW w:w="817" w:type="dxa"/>
            <w:vMerge/>
            <w:tcBorders>
              <w:left w:val="nil" w:sz="6" w:space="0" w:color="auto"/>
              <w:bottom w:val="single" w:sz="4" w:space="0" w:color="000000"/>
              <w:right w:val="nil" w:sz="6" w:space="0" w:color="auto"/>
            </w:tcBorders>
          </w:tcPr>
          <w:p>
            <w:pPr/>
          </w:p>
        </w:tc>
        <w:tc>
          <w:tcPr>
            <w:tcW w:w="766" w:type="dxa"/>
            <w:tcBorders>
              <w:top w:val="nil" w:sz="6" w:space="0" w:color="auto"/>
              <w:left w:val="nil" w:sz="6" w:space="0" w:color="auto"/>
              <w:bottom w:val="single" w:sz="4" w:space="0" w:color="000000"/>
              <w:right w:val="nil" w:sz="6" w:space="0" w:color="auto"/>
            </w:tcBorders>
          </w:tcPr>
          <w:p>
            <w:pPr>
              <w:pStyle w:val="TableParagraph"/>
              <w:spacing w:line="190" w:lineRule="exact"/>
              <w:ind w:right="32"/>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17" w:type="dxa"/>
            <w:tcBorders>
              <w:top w:val="nil" w:sz="6" w:space="0" w:color="auto"/>
              <w:left w:val="nil" w:sz="6" w:space="0" w:color="auto"/>
              <w:bottom w:val="single" w:sz="4" w:space="0" w:color="000000"/>
              <w:right w:val="nil" w:sz="6" w:space="0" w:color="auto"/>
            </w:tcBorders>
          </w:tcPr>
          <w:p>
            <w:pPr>
              <w:pStyle w:val="TableParagraph"/>
              <w:spacing w:line="190" w:lineRule="exact"/>
              <w:ind w:left="152"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745" w:type="dxa"/>
            <w:vMerge/>
            <w:tcBorders>
              <w:left w:val="nil" w:sz="6" w:space="0" w:color="auto"/>
              <w:bottom w:val="single" w:sz="4" w:space="0" w:color="000000"/>
              <w:right w:val="nil" w:sz="6" w:space="0" w:color="auto"/>
            </w:tcBorders>
          </w:tcPr>
          <w:p>
            <w:pPr/>
          </w:p>
        </w:tc>
        <w:tc>
          <w:tcPr>
            <w:tcW w:w="1120" w:type="dxa"/>
            <w:vMerge/>
            <w:tcBorders>
              <w:left w:val="nil" w:sz="6" w:space="0" w:color="auto"/>
              <w:bottom w:val="single" w:sz="4" w:space="0" w:color="000000"/>
              <w:right w:val="nil" w:sz="6" w:space="0" w:color="auto"/>
            </w:tcBorders>
          </w:tcPr>
          <w:p>
            <w:pPr/>
          </w:p>
        </w:tc>
      </w:tr>
      <w:tr>
        <w:trPr>
          <w:trHeight w:val="625" w:hRule="exact"/>
        </w:trPr>
        <w:tc>
          <w:tcPr>
            <w:tcW w:w="165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1015" w:type="dxa"/>
            <w:tcBorders>
              <w:top w:val="single" w:sz="4" w:space="0" w:color="000000"/>
              <w:left w:val="nil" w:sz="6" w:space="0" w:color="auto"/>
              <w:bottom w:val="nil" w:sz="6" w:space="0" w:color="auto"/>
              <w:right w:val="nil" w:sz="6" w:space="0" w:color="auto"/>
            </w:tcBorders>
          </w:tcPr>
          <w:p>
            <w:pPr/>
          </w:p>
        </w:tc>
        <w:tc>
          <w:tcPr>
            <w:tcW w:w="689" w:type="dxa"/>
            <w:tcBorders>
              <w:top w:val="single" w:sz="4" w:space="0" w:color="000000"/>
              <w:left w:val="nil" w:sz="6" w:space="0" w:color="auto"/>
              <w:bottom w:val="nil" w:sz="6" w:space="0" w:color="auto"/>
              <w:right w:val="nil" w:sz="6" w:space="0" w:color="auto"/>
            </w:tcBorders>
          </w:tcPr>
          <w:p>
            <w:pPr/>
          </w:p>
        </w:tc>
        <w:tc>
          <w:tcPr>
            <w:tcW w:w="817" w:type="dxa"/>
            <w:tcBorders>
              <w:top w:val="single" w:sz="4" w:space="0" w:color="000000"/>
              <w:left w:val="nil" w:sz="6" w:space="0" w:color="auto"/>
              <w:bottom w:val="nil" w:sz="6" w:space="0" w:color="auto"/>
              <w:right w:val="nil" w:sz="6" w:space="0" w:color="auto"/>
            </w:tcBorders>
          </w:tcPr>
          <w:p>
            <w:pPr/>
          </w:p>
        </w:tc>
        <w:tc>
          <w:tcPr>
            <w:tcW w:w="766" w:type="dxa"/>
            <w:tcBorders>
              <w:top w:val="single" w:sz="4" w:space="0" w:color="000000"/>
              <w:left w:val="nil" w:sz="6" w:space="0" w:color="auto"/>
              <w:bottom w:val="nil" w:sz="6" w:space="0" w:color="auto"/>
              <w:right w:val="nil" w:sz="6" w:space="0" w:color="auto"/>
            </w:tcBorders>
          </w:tcPr>
          <w:p>
            <w:pPr/>
          </w:p>
        </w:tc>
        <w:tc>
          <w:tcPr>
            <w:tcW w:w="717" w:type="dxa"/>
            <w:tcBorders>
              <w:top w:val="single" w:sz="4" w:space="0" w:color="000000"/>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nil" w:sz="6" w:space="0" w:color="auto"/>
              <w:right w:val="nil" w:sz="6" w:space="0" w:color="auto"/>
            </w:tcBorders>
          </w:tcPr>
          <w:p>
            <w:pPr/>
          </w:p>
        </w:tc>
        <w:tc>
          <w:tcPr>
            <w:tcW w:w="1120" w:type="dxa"/>
            <w:tcBorders>
              <w:top w:val="single" w:sz="4" w:space="0" w:color="000000"/>
              <w:left w:val="nil" w:sz="6" w:space="0" w:color="auto"/>
              <w:bottom w:val="nil" w:sz="6" w:space="0" w:color="auto"/>
              <w:right w:val="nil" w:sz="6" w:space="0" w:color="auto"/>
            </w:tcBorders>
          </w:tcPr>
          <w:p>
            <w:pPr/>
          </w:p>
        </w:tc>
      </w:tr>
      <w:tr>
        <w:trPr>
          <w:trHeight w:val="601" w:hRule="exact"/>
        </w:trPr>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101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r>
      <w:tr>
        <w:trPr>
          <w:trHeight w:val="1009" w:hRule="exact"/>
        </w:trPr>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4"/>
                <w:sz w:val="18"/>
                <w:szCs w:val="18"/>
              </w:rPr>
              <w:t> </w:t>
            </w:r>
            <w:r>
              <w:rPr>
                <w:rFonts w:ascii="宋体" w:hAnsi="宋体" w:cs="宋体" w:eastAsia="宋体" w:hint="default"/>
                <w:sz w:val="18"/>
                <w:szCs w:val="18"/>
              </w:rPr>
              <w:t>京</w:t>
            </w:r>
            <w:r>
              <w:rPr>
                <w:rFonts w:ascii="宋体" w:hAnsi="宋体" w:cs="宋体" w:eastAsia="宋体" w:hint="default"/>
                <w:spacing w:val="-64"/>
                <w:sz w:val="18"/>
                <w:szCs w:val="18"/>
              </w:rPr>
              <w:t> </w:t>
            </w:r>
            <w:r>
              <w:rPr>
                <w:rFonts w:ascii="宋体" w:hAnsi="宋体" w:cs="宋体" w:eastAsia="宋体" w:hint="default"/>
                <w:sz w:val="18"/>
                <w:szCs w:val="18"/>
              </w:rPr>
              <w:t>决</w:t>
            </w:r>
            <w:r>
              <w:rPr>
                <w:rFonts w:ascii="宋体" w:hAnsi="宋体" w:cs="宋体" w:eastAsia="宋体" w:hint="default"/>
                <w:spacing w:val="-64"/>
                <w:sz w:val="18"/>
                <w:szCs w:val="18"/>
              </w:rPr>
              <w:t> </w:t>
            </w:r>
            <w:r>
              <w:rPr>
                <w:rFonts w:ascii="宋体" w:hAnsi="宋体" w:cs="宋体" w:eastAsia="宋体" w:hint="default"/>
                <w:sz w:val="18"/>
                <w:szCs w:val="18"/>
              </w:rPr>
              <w:t>胜</w:t>
            </w:r>
            <w:r>
              <w:rPr>
                <w:rFonts w:ascii="宋体" w:hAnsi="宋体" w:cs="宋体" w:eastAsia="宋体" w:hint="default"/>
                <w:spacing w:val="-62"/>
                <w:sz w:val="18"/>
                <w:szCs w:val="18"/>
              </w:rPr>
              <w:t> </w:t>
            </w:r>
            <w:r>
              <w:rPr>
                <w:rFonts w:ascii="宋体" w:hAnsi="宋体" w:cs="宋体" w:eastAsia="宋体" w:hint="default"/>
                <w:sz w:val="18"/>
                <w:szCs w:val="18"/>
              </w:rPr>
              <w:t>网</w:t>
            </w:r>
            <w:r>
              <w:rPr>
                <w:rFonts w:ascii="宋体" w:hAnsi="宋体" w:cs="宋体" w:eastAsia="宋体" w:hint="default"/>
                <w:spacing w:val="-64"/>
                <w:sz w:val="18"/>
                <w:szCs w:val="18"/>
              </w:rPr>
              <w:t> </w:t>
            </w:r>
            <w:r>
              <w:rPr>
                <w:rFonts w:ascii="宋体" w:hAnsi="宋体" w:cs="宋体" w:eastAsia="宋体" w:hint="default"/>
                <w:sz w:val="18"/>
                <w:szCs w:val="18"/>
              </w:rPr>
              <w:t>教</w:t>
            </w:r>
            <w:r>
              <w:rPr>
                <w:rFonts w:ascii="宋体" w:hAnsi="宋体" w:cs="宋体" w:eastAsia="宋体" w:hint="default"/>
                <w:spacing w:val="-64"/>
                <w:sz w:val="18"/>
                <w:szCs w:val="18"/>
              </w:rPr>
              <w:t> </w:t>
            </w:r>
            <w:r>
              <w:rPr>
                <w:rFonts w:ascii="宋体" w:hAnsi="宋体" w:cs="宋体" w:eastAsia="宋体" w:hint="default"/>
                <w:sz w:val="18"/>
                <w:szCs w:val="18"/>
              </w:rPr>
              <w:t>育</w:t>
            </w:r>
          </w:p>
          <w:p>
            <w:pPr>
              <w:pStyle w:val="TableParagraph"/>
              <w:spacing w:line="350" w:lineRule="atLeast" w:before="10"/>
              <w:ind w:left="108" w:right="124"/>
              <w:jc w:val="left"/>
              <w:rPr>
                <w:rFonts w:ascii="宋体" w:hAnsi="宋体" w:cs="宋体" w:eastAsia="宋体" w:hint="default"/>
                <w:sz w:val="18"/>
                <w:szCs w:val="18"/>
              </w:rPr>
            </w:pPr>
            <w:r>
              <w:rPr>
                <w:rFonts w:ascii="宋体" w:hAnsi="宋体" w:cs="宋体" w:eastAsia="宋体" w:hint="default"/>
                <w:sz w:val="18"/>
                <w:szCs w:val="18"/>
              </w:rPr>
              <w:t>科</w:t>
            </w:r>
            <w:r>
              <w:rPr>
                <w:rFonts w:ascii="宋体" w:hAnsi="宋体" w:cs="宋体" w:eastAsia="宋体" w:hint="default"/>
                <w:spacing w:val="-64"/>
                <w:sz w:val="18"/>
                <w:szCs w:val="18"/>
              </w:rPr>
              <w:t> </w:t>
            </w:r>
            <w:r>
              <w:rPr>
                <w:rFonts w:ascii="宋体" w:hAnsi="宋体" w:cs="宋体" w:eastAsia="宋体" w:hint="default"/>
                <w:sz w:val="18"/>
                <w:szCs w:val="18"/>
              </w:rPr>
              <w:t>技</w:t>
            </w:r>
            <w:r>
              <w:rPr>
                <w:rFonts w:ascii="宋体" w:hAnsi="宋体" w:cs="宋体" w:eastAsia="宋体" w:hint="default"/>
                <w:spacing w:val="-64"/>
                <w:sz w:val="18"/>
                <w:szCs w:val="18"/>
              </w:rPr>
              <w:t> </w:t>
            </w:r>
            <w:r>
              <w:rPr>
                <w:rFonts w:ascii="宋体" w:hAnsi="宋体" w:cs="宋体" w:eastAsia="宋体" w:hint="default"/>
                <w:sz w:val="18"/>
                <w:szCs w:val="18"/>
              </w:rPr>
              <w:t>股</w:t>
            </w:r>
            <w:r>
              <w:rPr>
                <w:rFonts w:ascii="宋体" w:hAnsi="宋体" w:cs="宋体" w:eastAsia="宋体" w:hint="default"/>
                <w:spacing w:val="-64"/>
                <w:sz w:val="18"/>
                <w:szCs w:val="18"/>
              </w:rPr>
              <w:t> </w:t>
            </w:r>
            <w:r>
              <w:rPr>
                <w:rFonts w:ascii="宋体" w:hAnsi="宋体" w:cs="宋体" w:eastAsia="宋体" w:hint="default"/>
                <w:sz w:val="18"/>
                <w:szCs w:val="18"/>
              </w:rPr>
              <w:t>份</w:t>
            </w:r>
            <w:r>
              <w:rPr>
                <w:rFonts w:ascii="宋体" w:hAnsi="宋体" w:cs="宋体" w:eastAsia="宋体" w:hint="default"/>
                <w:spacing w:val="-62"/>
                <w:sz w:val="18"/>
                <w:szCs w:val="18"/>
              </w:rPr>
              <w:t> </w:t>
            </w:r>
            <w:r>
              <w:rPr>
                <w:rFonts w:ascii="宋体" w:hAnsi="宋体" w:cs="宋体" w:eastAsia="宋体" w:hint="default"/>
                <w:sz w:val="18"/>
                <w:szCs w:val="18"/>
              </w:rPr>
              <w:t>有</w:t>
            </w:r>
            <w:r>
              <w:rPr>
                <w:rFonts w:ascii="宋体" w:hAnsi="宋体" w:cs="宋体" w:eastAsia="宋体" w:hint="default"/>
                <w:spacing w:val="-64"/>
                <w:sz w:val="18"/>
                <w:szCs w:val="18"/>
              </w:rPr>
              <w:t> </w:t>
            </w:r>
            <w:r>
              <w:rPr>
                <w:rFonts w:ascii="宋体" w:hAnsi="宋体" w:cs="宋体" w:eastAsia="宋体" w:hint="default"/>
                <w:sz w:val="18"/>
                <w:szCs w:val="18"/>
              </w:rPr>
              <w:t>限</w:t>
            </w:r>
            <w:r>
              <w:rPr>
                <w:rFonts w:ascii="宋体" w:hAnsi="宋体" w:cs="宋体" w:eastAsia="宋体" w:hint="default"/>
                <w:spacing w:val="-64"/>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364" w:lineRule="auto"/>
              <w:ind w:left="257" w:right="158" w:hanging="89"/>
              <w:jc w:val="left"/>
              <w:rPr>
                <w:rFonts w:ascii="宋体" w:hAnsi="宋体" w:cs="宋体" w:eastAsia="宋体" w:hint="default"/>
                <w:sz w:val="18"/>
                <w:szCs w:val="18"/>
              </w:rPr>
            </w:pPr>
            <w:r>
              <w:rPr>
                <w:rFonts w:ascii="宋体" w:hAnsi="宋体" w:cs="宋体" w:eastAsia="宋体" w:hint="default"/>
                <w:sz w:val="18"/>
                <w:szCs w:val="18"/>
              </w:rPr>
              <w:t>北京 市</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364" w:lineRule="auto"/>
              <w:ind w:left="338" w:right="116" w:hanging="180"/>
              <w:jc w:val="left"/>
              <w:rPr>
                <w:rFonts w:ascii="宋体" w:hAnsi="宋体" w:cs="宋体" w:eastAsia="宋体" w:hint="default"/>
                <w:sz w:val="18"/>
                <w:szCs w:val="18"/>
              </w:rPr>
            </w:pPr>
            <w:r>
              <w:rPr>
                <w:rFonts w:ascii="宋体" w:hAnsi="宋体" w:cs="宋体" w:eastAsia="宋体" w:hint="default"/>
                <w:sz w:val="18"/>
                <w:szCs w:val="18"/>
              </w:rPr>
              <w:t>网络教 育</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1"/>
              <w:jc w:val="center"/>
              <w:rPr>
                <w:rFonts w:ascii="Times New Roman" w:hAnsi="Times New Roman" w:cs="Times New Roman" w:eastAsia="Times New Roman" w:hint="default"/>
                <w:sz w:val="18"/>
                <w:szCs w:val="18"/>
              </w:rPr>
            </w:pPr>
            <w:r>
              <w:rPr>
                <w:rFonts w:ascii="Times New Roman"/>
                <w:sz w:val="18"/>
              </w:rPr>
              <w:t>18.889</w:t>
            </w:r>
          </w:p>
        </w:tc>
        <w:tc>
          <w:tcPr>
            <w:tcW w:w="717"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64"/>
              <w:jc w:val="center"/>
              <w:rPr>
                <w:rFonts w:ascii="Times New Roman" w:hAnsi="Times New Roman" w:cs="Times New Roman" w:eastAsia="Times New Roman" w:hint="default"/>
                <w:sz w:val="18"/>
                <w:szCs w:val="18"/>
              </w:rPr>
            </w:pPr>
            <w:r>
              <w:rPr>
                <w:rFonts w:ascii="Times New Roman"/>
                <w:sz w:val="18"/>
              </w:rPr>
              <w:t>18.889</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4"/>
        <w:rPr>
          <w:rFonts w:ascii="宋体" w:hAnsi="宋体" w:cs="宋体" w:eastAsia="宋体" w:hint="default"/>
          <w:sz w:val="21"/>
          <w:szCs w:val="21"/>
        </w:rPr>
      </w:pPr>
    </w:p>
    <w:p>
      <w:pPr>
        <w:pStyle w:val="BodyText"/>
        <w:spacing w:line="367" w:lineRule="auto" w:before="44"/>
        <w:ind w:left="115" w:right="0" w:firstLine="364"/>
        <w:jc w:val="left"/>
      </w:pPr>
      <w:r>
        <w:rPr/>
        <w:t>注：投资完成后，天舟文化成为决胜网第二大股东，在决胜网董事会成员中派有董事，对决胜网财务和经 营政策具有重大影响。</w:t>
      </w:r>
    </w:p>
    <w:p>
      <w:pPr>
        <w:spacing w:line="240" w:lineRule="auto" w:before="2"/>
        <w:rPr>
          <w:rFonts w:ascii="宋体" w:hAnsi="宋体" w:cs="宋体" w:eastAsia="宋体" w:hint="default"/>
          <w:sz w:val="14"/>
          <w:szCs w:val="14"/>
        </w:rPr>
      </w:pPr>
    </w:p>
    <w:p>
      <w:pPr>
        <w:pStyle w:val="BodyText"/>
        <w:tabs>
          <w:tab w:pos="1620" w:val="left" w:leader="none"/>
        </w:tabs>
        <w:spacing w:line="240" w:lineRule="auto"/>
        <w:ind w:left="900" w:right="546"/>
        <w:jc w:val="left"/>
      </w:pPr>
      <w:r>
        <w:rPr/>
        <w:t>（</w:t>
      </w:r>
      <w:r>
        <w:rPr>
          <w:rFonts w:ascii="Times New Roman" w:hAnsi="Times New Roman" w:cs="Times New Roman" w:eastAsia="Times New Roman" w:hint="default"/>
        </w:rPr>
        <w:t>2</w:t>
      </w:r>
      <w:r>
        <w:rPr/>
        <w:t>）</w:t>
        <w:tab/>
        <w:t>重要联营企业的主要财务信息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372" w:type="dxa"/>
        <w:tblLayout w:type="fixed"/>
        <w:tblCellMar>
          <w:top w:w="0" w:type="dxa"/>
          <w:left w:w="0" w:type="dxa"/>
          <w:bottom w:w="0" w:type="dxa"/>
          <w:right w:w="0" w:type="dxa"/>
        </w:tblCellMar>
        <w:tblLook w:val="01E0"/>
      </w:tblPr>
      <w:tblGrid>
        <w:gridCol w:w="3701"/>
        <w:gridCol w:w="4823"/>
      </w:tblGrid>
      <w:tr>
        <w:trPr>
          <w:trHeight w:val="797" w:hRule="exact"/>
        </w:trPr>
        <w:tc>
          <w:tcPr>
            <w:tcW w:w="3701"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9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823"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392" w:right="0"/>
              <w:jc w:val="center"/>
              <w:rPr>
                <w:rFonts w:ascii="宋体" w:hAnsi="宋体" w:cs="宋体" w:eastAsia="宋体" w:hint="default"/>
                <w:sz w:val="18"/>
                <w:szCs w:val="18"/>
              </w:rPr>
            </w:pPr>
            <w:r>
              <w:rPr>
                <w:rFonts w:ascii="宋体" w:hAnsi="宋体" w:cs="宋体" w:eastAsia="宋体" w:hint="default"/>
                <w:b/>
                <w:bCs/>
                <w:sz w:val="18"/>
                <w:szCs w:val="18"/>
              </w:rPr>
              <w:t>期末余额或本期发生额</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94" w:right="0"/>
              <w:jc w:val="center"/>
              <w:rPr>
                <w:rFonts w:ascii="宋体" w:hAnsi="宋体" w:cs="宋体" w:eastAsia="宋体" w:hint="default"/>
                <w:sz w:val="18"/>
                <w:szCs w:val="18"/>
              </w:rPr>
            </w:pPr>
            <w:r>
              <w:rPr>
                <w:rFonts w:ascii="宋体" w:hAnsi="宋体" w:cs="宋体" w:eastAsia="宋体" w:hint="default"/>
                <w:b/>
                <w:bCs/>
                <w:sz w:val="18"/>
                <w:szCs w:val="18"/>
              </w:rPr>
              <w:t>北京决胜网教育科技股份有限公司</w:t>
            </w:r>
            <w:r>
              <w:rPr>
                <w:rFonts w:ascii="宋体" w:hAnsi="宋体" w:cs="宋体" w:eastAsia="宋体" w:hint="default"/>
                <w:sz w:val="18"/>
                <w:szCs w:val="18"/>
              </w:rPr>
            </w:r>
          </w:p>
        </w:tc>
      </w:tr>
      <w:tr>
        <w:trPr>
          <w:trHeight w:val="437" w:hRule="exact"/>
        </w:trPr>
        <w:tc>
          <w:tcPr>
            <w:tcW w:w="3701"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4823" w:type="dxa"/>
            <w:tcBorders>
              <w:top w:val="single" w:sz="8" w:space="0" w:color="000000"/>
              <w:left w:val="nil" w:sz="6" w:space="0" w:color="auto"/>
              <w:bottom w:val="nil" w:sz="6" w:space="0" w:color="auto"/>
              <w:right w:val="nil" w:sz="6" w:space="0" w:color="auto"/>
            </w:tcBorders>
          </w:tcPr>
          <w:p>
            <w:pPr>
              <w:pStyle w:val="TableParagraph"/>
              <w:spacing w:line="240" w:lineRule="auto" w:before="120"/>
              <w:ind w:right="1263"/>
              <w:jc w:val="right"/>
              <w:rPr>
                <w:rFonts w:ascii="Times New Roman" w:hAnsi="Times New Roman" w:cs="Times New Roman" w:eastAsia="Times New Roman" w:hint="default"/>
                <w:sz w:val="18"/>
                <w:szCs w:val="18"/>
              </w:rPr>
            </w:pPr>
            <w:r>
              <w:rPr>
                <w:rFonts w:ascii="Times New Roman"/>
                <w:spacing w:val="-1"/>
                <w:sz w:val="18"/>
              </w:rPr>
              <w:t>210,471,171.00</w:t>
            </w:r>
          </w:p>
        </w:tc>
      </w:tr>
      <w:tr>
        <w:trPr>
          <w:trHeight w:val="400" w:hRule="exact"/>
        </w:trPr>
        <w:tc>
          <w:tcPr>
            <w:tcW w:w="37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482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63"/>
              <w:jc w:val="right"/>
              <w:rPr>
                <w:rFonts w:ascii="Times New Roman" w:hAnsi="Times New Roman" w:cs="Times New Roman" w:eastAsia="Times New Roman" w:hint="default"/>
                <w:sz w:val="18"/>
                <w:szCs w:val="18"/>
              </w:rPr>
            </w:pPr>
            <w:r>
              <w:rPr>
                <w:rFonts w:ascii="Times New Roman"/>
                <w:spacing w:val="-1"/>
                <w:sz w:val="18"/>
              </w:rPr>
              <w:t>7,388,914.31</w:t>
            </w:r>
          </w:p>
        </w:tc>
      </w:tr>
      <w:tr>
        <w:trPr>
          <w:trHeight w:val="401" w:hRule="exact"/>
        </w:trPr>
        <w:tc>
          <w:tcPr>
            <w:tcW w:w="37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482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63"/>
              <w:jc w:val="right"/>
              <w:rPr>
                <w:rFonts w:ascii="Times New Roman" w:hAnsi="Times New Roman" w:cs="Times New Roman" w:eastAsia="Times New Roman" w:hint="default"/>
                <w:sz w:val="18"/>
                <w:szCs w:val="18"/>
              </w:rPr>
            </w:pPr>
            <w:r>
              <w:rPr>
                <w:rFonts w:ascii="Times New Roman"/>
                <w:spacing w:val="-1"/>
                <w:sz w:val="18"/>
              </w:rPr>
              <w:t>217,860,085.31</w:t>
            </w:r>
          </w:p>
        </w:tc>
      </w:tr>
      <w:tr>
        <w:trPr>
          <w:trHeight w:val="794" w:hRule="exact"/>
        </w:trPr>
        <w:tc>
          <w:tcPr>
            <w:tcW w:w="3701" w:type="dxa"/>
            <w:tcBorders>
              <w:top w:val="nil" w:sz="6" w:space="0" w:color="auto"/>
              <w:left w:val="nil" w:sz="6" w:space="0" w:color="auto"/>
              <w:bottom w:val="nil" w:sz="6" w:space="0" w:color="auto"/>
              <w:right w:val="nil" w:sz="6" w:space="0" w:color="auto"/>
            </w:tcBorders>
          </w:tcPr>
          <w:p>
            <w:pPr>
              <w:pStyle w:val="TableParagraph"/>
              <w:spacing w:line="405" w:lineRule="auto" w:before="50"/>
              <w:ind w:left="108" w:right="2691"/>
              <w:jc w:val="left"/>
              <w:rPr>
                <w:rFonts w:ascii="宋体" w:hAnsi="宋体" w:cs="宋体" w:eastAsia="宋体" w:hint="default"/>
                <w:sz w:val="18"/>
                <w:szCs w:val="18"/>
              </w:rPr>
            </w:pPr>
            <w:r>
              <w:rPr>
                <w:rFonts w:ascii="宋体" w:hAnsi="宋体" w:cs="宋体" w:eastAsia="宋体" w:hint="default"/>
                <w:sz w:val="18"/>
                <w:szCs w:val="18"/>
              </w:rPr>
              <w:t>流动负债 非流动负债</w:t>
            </w:r>
          </w:p>
        </w:tc>
        <w:tc>
          <w:tcPr>
            <w:tcW w:w="482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63"/>
              <w:jc w:val="right"/>
              <w:rPr>
                <w:rFonts w:ascii="Times New Roman" w:hAnsi="Times New Roman" w:cs="Times New Roman" w:eastAsia="Times New Roman" w:hint="default"/>
                <w:sz w:val="18"/>
                <w:szCs w:val="18"/>
              </w:rPr>
            </w:pPr>
            <w:r>
              <w:rPr>
                <w:rFonts w:ascii="Times New Roman"/>
                <w:spacing w:val="-1"/>
                <w:sz w:val="18"/>
              </w:rPr>
              <w:t>25,191,085.65</w:t>
            </w:r>
          </w:p>
        </w:tc>
      </w:tr>
      <w:tr>
        <w:trPr>
          <w:trHeight w:val="406" w:hRule="exact"/>
        </w:trPr>
        <w:tc>
          <w:tcPr>
            <w:tcW w:w="37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482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263"/>
              <w:jc w:val="right"/>
              <w:rPr>
                <w:rFonts w:ascii="Times New Roman" w:hAnsi="Times New Roman" w:cs="Times New Roman" w:eastAsia="Times New Roman" w:hint="default"/>
                <w:sz w:val="18"/>
                <w:szCs w:val="18"/>
              </w:rPr>
            </w:pPr>
            <w:r>
              <w:rPr>
                <w:rFonts w:ascii="Times New Roman"/>
                <w:spacing w:val="-1"/>
                <w:sz w:val="18"/>
              </w:rPr>
              <w:t>25,191,085.65</w:t>
            </w:r>
          </w:p>
        </w:tc>
      </w:tr>
      <w:tr>
        <w:trPr>
          <w:trHeight w:val="400" w:hRule="exact"/>
        </w:trPr>
        <w:tc>
          <w:tcPr>
            <w:tcW w:w="37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归属于母公司股东净资产</w:t>
            </w:r>
          </w:p>
        </w:tc>
        <w:tc>
          <w:tcPr>
            <w:tcW w:w="482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63"/>
              <w:jc w:val="right"/>
              <w:rPr>
                <w:rFonts w:ascii="Times New Roman" w:hAnsi="Times New Roman" w:cs="Times New Roman" w:eastAsia="Times New Roman" w:hint="default"/>
                <w:sz w:val="18"/>
                <w:szCs w:val="18"/>
              </w:rPr>
            </w:pPr>
            <w:r>
              <w:rPr>
                <w:rFonts w:ascii="Times New Roman"/>
                <w:spacing w:val="-1"/>
                <w:sz w:val="18"/>
              </w:rPr>
              <w:t>190,931,624.35</w:t>
            </w:r>
          </w:p>
        </w:tc>
      </w:tr>
      <w:tr>
        <w:trPr>
          <w:trHeight w:val="394" w:hRule="exact"/>
        </w:trPr>
        <w:tc>
          <w:tcPr>
            <w:tcW w:w="37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482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63"/>
              <w:jc w:val="right"/>
              <w:rPr>
                <w:rFonts w:ascii="Times New Roman" w:hAnsi="Times New Roman" w:cs="Times New Roman" w:eastAsia="Times New Roman" w:hint="default"/>
                <w:sz w:val="18"/>
                <w:szCs w:val="18"/>
              </w:rPr>
            </w:pPr>
            <w:r>
              <w:rPr>
                <w:rFonts w:ascii="Times New Roman"/>
                <w:spacing w:val="-1"/>
                <w:sz w:val="18"/>
              </w:rPr>
              <w:t>36,065,074.52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500" w:bottom="1160" w:left="1320" w:right="1300"/>
        </w:sectPr>
      </w:pPr>
    </w:p>
    <w:p>
      <w:pPr>
        <w:spacing w:line="240" w:lineRule="auto" w:before="7"/>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4472"/>
        <w:gridCol w:w="3078"/>
      </w:tblGrid>
      <w:tr>
        <w:trPr>
          <w:trHeight w:val="290"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078" w:type="dxa"/>
            <w:tcBorders>
              <w:top w:val="nil" w:sz="6" w:space="0" w:color="auto"/>
              <w:left w:val="nil" w:sz="6" w:space="0" w:color="auto"/>
              <w:bottom w:val="nil" w:sz="6" w:space="0" w:color="auto"/>
              <w:right w:val="nil" w:sz="6" w:space="0" w:color="auto"/>
            </w:tcBorders>
          </w:tcPr>
          <w:p>
            <w:pPr/>
          </w:p>
        </w:tc>
      </w:tr>
      <w:tr>
        <w:trPr>
          <w:trHeight w:val="405"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00"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98"/>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395"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0" w:right="0"/>
              <w:jc w:val="left"/>
              <w:rPr>
                <w:rFonts w:ascii="宋体" w:hAnsi="宋体" w:cs="宋体" w:eastAsia="宋体" w:hint="default"/>
                <w:sz w:val="18"/>
                <w:szCs w:val="18"/>
              </w:rPr>
            </w:pPr>
            <w:r>
              <w:rPr>
                <w:rFonts w:ascii="宋体" w:hAnsi="宋体" w:cs="宋体" w:eastAsia="宋体" w:hint="default"/>
                <w:sz w:val="18"/>
                <w:szCs w:val="18"/>
              </w:rPr>
              <w:t>存在公开报价的权益投资的公允价值</w:t>
            </w:r>
          </w:p>
        </w:tc>
        <w:tc>
          <w:tcPr>
            <w:tcW w:w="3078" w:type="dxa"/>
            <w:tcBorders>
              <w:top w:val="nil" w:sz="6" w:space="0" w:color="auto"/>
              <w:left w:val="nil" w:sz="6" w:space="0" w:color="auto"/>
              <w:bottom w:val="nil" w:sz="6" w:space="0" w:color="auto"/>
              <w:right w:val="nil" w:sz="6" w:space="0" w:color="auto"/>
            </w:tcBorders>
          </w:tcPr>
          <w:p>
            <w:pPr/>
          </w:p>
        </w:tc>
      </w:tr>
      <w:tr>
        <w:trPr>
          <w:trHeight w:val="406"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98"/>
              <w:jc w:val="right"/>
              <w:rPr>
                <w:rFonts w:ascii="Times New Roman" w:hAnsi="Times New Roman" w:cs="Times New Roman" w:eastAsia="Times New Roman" w:hint="default"/>
                <w:sz w:val="18"/>
                <w:szCs w:val="18"/>
              </w:rPr>
            </w:pPr>
            <w:r>
              <w:rPr>
                <w:rFonts w:ascii="Times New Roman"/>
                <w:spacing w:val="-1"/>
                <w:sz w:val="18"/>
              </w:rPr>
              <w:t>54,412,945.19</w:t>
            </w:r>
          </w:p>
        </w:tc>
      </w:tr>
      <w:tr>
        <w:trPr>
          <w:trHeight w:val="400"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归属于母公司股东净利润</w:t>
            </w:r>
          </w:p>
        </w:tc>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8"/>
              <w:jc w:val="right"/>
              <w:rPr>
                <w:rFonts w:ascii="Times New Roman" w:hAnsi="Times New Roman" w:cs="Times New Roman" w:eastAsia="Times New Roman" w:hint="default"/>
                <w:sz w:val="18"/>
                <w:szCs w:val="18"/>
              </w:rPr>
            </w:pPr>
            <w:r>
              <w:rPr>
                <w:rFonts w:ascii="Times New Roman"/>
                <w:spacing w:val="-1"/>
                <w:sz w:val="18"/>
              </w:rPr>
              <w:t>3,731,271.53</w:t>
            </w:r>
          </w:p>
        </w:tc>
      </w:tr>
      <w:tr>
        <w:trPr>
          <w:trHeight w:val="395"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078" w:type="dxa"/>
            <w:tcBorders>
              <w:top w:val="nil" w:sz="6" w:space="0" w:color="auto"/>
              <w:left w:val="nil" w:sz="6" w:space="0" w:color="auto"/>
              <w:bottom w:val="nil" w:sz="6" w:space="0" w:color="auto"/>
              <w:right w:val="nil" w:sz="6" w:space="0" w:color="auto"/>
            </w:tcBorders>
          </w:tcPr>
          <w:p>
            <w:pPr/>
          </w:p>
        </w:tc>
      </w:tr>
      <w:tr>
        <w:trPr>
          <w:trHeight w:val="406"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00" w:right="0"/>
              <w:jc w:val="left"/>
              <w:rPr>
                <w:rFonts w:ascii="宋体" w:hAnsi="宋体" w:cs="宋体" w:eastAsia="宋体" w:hint="default"/>
                <w:sz w:val="18"/>
                <w:szCs w:val="18"/>
              </w:rPr>
            </w:pPr>
            <w:r>
              <w:rPr>
                <w:rFonts w:ascii="宋体" w:hAnsi="宋体" w:cs="宋体" w:eastAsia="宋体" w:hint="default"/>
                <w:sz w:val="18"/>
                <w:szCs w:val="18"/>
              </w:rPr>
              <w:t>归属于母公司股东综合收益总额</w:t>
            </w:r>
          </w:p>
        </w:tc>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98"/>
              <w:jc w:val="right"/>
              <w:rPr>
                <w:rFonts w:ascii="Times New Roman" w:hAnsi="Times New Roman" w:cs="Times New Roman" w:eastAsia="Times New Roman" w:hint="default"/>
                <w:sz w:val="18"/>
                <w:szCs w:val="18"/>
              </w:rPr>
            </w:pPr>
            <w:r>
              <w:rPr>
                <w:rFonts w:ascii="Times New Roman"/>
                <w:spacing w:val="-1"/>
                <w:sz w:val="18"/>
              </w:rPr>
              <w:t>3,731,271.53</w:t>
            </w:r>
          </w:p>
        </w:tc>
      </w:tr>
      <w:tr>
        <w:trPr>
          <w:trHeight w:val="285"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收到的来自联营企业的股利</w:t>
            </w:r>
          </w:p>
        </w:tc>
        <w:tc>
          <w:tcPr>
            <w:tcW w:w="3078"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26"/>
          <w:szCs w:val="26"/>
        </w:rPr>
      </w:pPr>
    </w:p>
    <w:p>
      <w:pPr>
        <w:pStyle w:val="Heading3"/>
        <w:spacing w:line="240" w:lineRule="auto" w:before="26"/>
        <w:ind w:left="300" w:right="0"/>
        <w:jc w:val="left"/>
        <w:rPr>
          <w:rFonts w:ascii="黑体" w:hAnsi="黑体" w:cs="黑体" w:eastAsia="黑体" w:hint="default"/>
          <w:b w:val="0"/>
          <w:bCs w:val="0"/>
        </w:rPr>
      </w:pPr>
      <w:r>
        <w:rPr>
          <w:rFonts w:ascii="黑体" w:hAnsi="黑体" w:cs="黑体" w:eastAsia="黑体" w:hint="default"/>
        </w:rPr>
        <w:t>九、与金融工具相关的风险</w:t>
      </w:r>
      <w:r>
        <w:rPr>
          <w:rFonts w:ascii="黑体" w:hAnsi="黑体" w:cs="黑体" w:eastAsia="黑体" w:hint="default"/>
          <w:b w:val="0"/>
          <w:bCs w:val="0"/>
        </w:rPr>
      </w:r>
    </w:p>
    <w:p>
      <w:pPr>
        <w:spacing w:line="240" w:lineRule="auto" w:before="7"/>
        <w:rPr>
          <w:rFonts w:ascii="黑体" w:hAnsi="黑体" w:cs="黑体" w:eastAsia="黑体" w:hint="default"/>
          <w:b/>
          <w:bCs/>
          <w:sz w:val="30"/>
          <w:szCs w:val="30"/>
        </w:rPr>
      </w:pPr>
    </w:p>
    <w:p>
      <w:pPr>
        <w:pStyle w:val="BodyText"/>
        <w:spacing w:line="367" w:lineRule="auto"/>
        <w:ind w:left="300" w:right="244" w:firstLine="359"/>
        <w:jc w:val="both"/>
      </w:pPr>
      <w:r>
        <w:rPr/>
        <w:t>本公司报告期的金融工具，金融资产主要为因经营而直接产生的贷款与应收款项，如货币资金、应收 票据、应收账款、其他应收款、一年内到期的非流动资产、其他流动资产、可供出售金融资产等；金融负</w:t>
      </w:r>
      <w:r>
        <w:rPr>
          <w:spacing w:val="-73"/>
        </w:rPr>
        <w:t> </w:t>
      </w:r>
      <w:r>
        <w:rPr>
          <w:spacing w:val="-73"/>
        </w:rPr>
      </w:r>
      <w:r>
        <w:rPr/>
        <w:t>债主要为因经营而直接产生的其他金融负债，如应付账款、其他应付款等。这些金融工具的主要目的在于</w:t>
      </w:r>
      <w:r>
        <w:rPr>
          <w:spacing w:val="-73"/>
        </w:rPr>
        <w:t> </w:t>
      </w:r>
      <w:r>
        <w:rPr>
          <w:spacing w:val="-73"/>
        </w:rPr>
      </w:r>
      <w:r>
        <w:rPr/>
        <w:t>为本公司的运营融资。</w:t>
      </w:r>
    </w:p>
    <w:p>
      <w:pPr>
        <w:spacing w:line="240" w:lineRule="auto" w:before="2"/>
        <w:rPr>
          <w:rFonts w:ascii="宋体" w:hAnsi="宋体" w:cs="宋体" w:eastAsia="宋体" w:hint="default"/>
          <w:sz w:val="14"/>
          <w:szCs w:val="14"/>
        </w:rPr>
      </w:pPr>
    </w:p>
    <w:p>
      <w:pPr>
        <w:pStyle w:val="BodyText"/>
        <w:spacing w:line="240" w:lineRule="auto"/>
        <w:ind w:left="660" w:right="0"/>
        <w:jc w:val="left"/>
      </w:pPr>
      <w:r>
        <w:rPr/>
        <w:t>本公司的金融工具导致的主要风险主要包括信用风险、流动风险及市场风险。</w:t>
      </w:r>
    </w:p>
    <w:p>
      <w:pPr>
        <w:spacing w:line="240" w:lineRule="auto" w:before="6"/>
        <w:rPr>
          <w:rFonts w:ascii="宋体" w:hAnsi="宋体" w:cs="宋体" w:eastAsia="宋体" w:hint="default"/>
          <w:sz w:val="21"/>
          <w:szCs w:val="21"/>
        </w:rPr>
      </w:pPr>
    </w:p>
    <w:p>
      <w:pPr>
        <w:pStyle w:val="BodyText"/>
        <w:spacing w:line="240" w:lineRule="auto"/>
        <w:ind w:left="660"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金融工具分类</w:t>
      </w:r>
    </w:p>
    <w:p>
      <w:pPr>
        <w:spacing w:line="240" w:lineRule="auto" w:before="6"/>
        <w:rPr>
          <w:rFonts w:ascii="宋体" w:hAnsi="宋体" w:cs="宋体" w:eastAsia="宋体" w:hint="default"/>
          <w:sz w:val="20"/>
          <w:szCs w:val="20"/>
        </w:rPr>
      </w:pPr>
    </w:p>
    <w:p>
      <w:pPr>
        <w:pStyle w:val="BodyText"/>
        <w:spacing w:line="240" w:lineRule="auto"/>
        <w:ind w:left="660" w:right="0"/>
        <w:jc w:val="left"/>
      </w:pPr>
      <w:r>
        <w:rPr/>
        <w:t>（</w:t>
      </w:r>
      <w:r>
        <w:rPr>
          <w:rFonts w:ascii="Times New Roman" w:hAnsi="Times New Roman" w:cs="Times New Roman" w:eastAsia="Times New Roman" w:hint="default"/>
        </w:rPr>
        <w:t>1</w:t>
      </w:r>
      <w:r>
        <w:rPr/>
        <w:t>）资产负债表日的各类金融资产的账面价值如下：</w:t>
      </w:r>
    </w:p>
    <w:p>
      <w:pPr>
        <w:spacing w:line="240" w:lineRule="auto" w:before="7"/>
        <w:rPr>
          <w:rFonts w:ascii="宋体" w:hAnsi="宋体" w:cs="宋体" w:eastAsia="宋体" w:hint="default"/>
          <w:sz w:val="16"/>
          <w:szCs w:val="16"/>
        </w:rPr>
      </w:pPr>
    </w:p>
    <w:p>
      <w:pPr>
        <w:spacing w:before="54"/>
        <w:ind w:left="4957" w:right="3246" w:firstLine="0"/>
        <w:jc w:val="center"/>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p>
      <w:pPr>
        <w:spacing w:line="240" w:lineRule="auto" w:before="4"/>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pgSz w:w="11910" w:h="16840"/>
          <w:pgMar w:header="0" w:footer="979" w:top="1480" w:bottom="1160" w:left="1500" w:right="1560"/>
        </w:sectPr>
      </w:pPr>
    </w:p>
    <w:p>
      <w:pPr>
        <w:spacing w:before="54"/>
        <w:ind w:left="672" w:right="-13" w:firstLine="0"/>
        <w:jc w:val="left"/>
        <w:rPr>
          <w:rFonts w:ascii="宋体" w:hAnsi="宋体" w:cs="宋体" w:eastAsia="宋体" w:hint="default"/>
          <w:sz w:val="15"/>
          <w:szCs w:val="15"/>
        </w:rPr>
      </w:pPr>
      <w:r>
        <w:rPr>
          <w:rFonts w:ascii="宋体" w:hAnsi="宋体" w:cs="宋体" w:eastAsia="宋体" w:hint="default"/>
          <w:b/>
          <w:bCs/>
          <w:spacing w:val="-1"/>
          <w:sz w:val="15"/>
          <w:szCs w:val="15"/>
        </w:rPr>
        <w:t>金融资产项目</w:t>
      </w:r>
      <w:r>
        <w:rPr>
          <w:rFonts w:ascii="宋体" w:hAnsi="宋体" w:cs="宋体" w:eastAsia="宋体" w:hint="default"/>
          <w:spacing w:val="-1"/>
          <w:sz w:val="15"/>
          <w:szCs w:val="15"/>
        </w:rPr>
      </w:r>
    </w:p>
    <w:p>
      <w:pPr>
        <w:spacing w:line="391" w:lineRule="auto" w:before="74"/>
        <w:ind w:left="538" w:right="-5" w:hanging="152"/>
        <w:jc w:val="left"/>
        <w:rPr>
          <w:rFonts w:ascii="宋体" w:hAnsi="宋体" w:cs="宋体" w:eastAsia="宋体" w:hint="default"/>
          <w:sz w:val="15"/>
          <w:szCs w:val="15"/>
        </w:rPr>
      </w:pPr>
      <w:r>
        <w:rPr>
          <w:spacing w:val="-1"/>
        </w:rPr>
        <w:br w:type="column"/>
      </w:r>
      <w:r>
        <w:rPr>
          <w:rFonts w:ascii="宋体" w:hAnsi="宋体" w:cs="宋体" w:eastAsia="宋体" w:hint="default"/>
          <w:b/>
          <w:bCs/>
          <w:spacing w:val="-1"/>
          <w:sz w:val="15"/>
          <w:szCs w:val="15"/>
        </w:rPr>
        <w:t>以公允价值计量且其变动计</w:t>
      </w:r>
      <w:r>
        <w:rPr>
          <w:rFonts w:ascii="宋体" w:hAnsi="宋体" w:cs="宋体" w:eastAsia="宋体" w:hint="default"/>
          <w:b/>
          <w:bCs/>
          <w:spacing w:val="-63"/>
          <w:sz w:val="15"/>
          <w:szCs w:val="15"/>
        </w:rPr>
        <w:t> </w:t>
      </w:r>
      <w:r>
        <w:rPr>
          <w:rFonts w:ascii="宋体" w:hAnsi="宋体" w:cs="宋体" w:eastAsia="宋体" w:hint="default"/>
          <w:b/>
          <w:bCs/>
          <w:spacing w:val="-63"/>
          <w:sz w:val="15"/>
          <w:szCs w:val="15"/>
        </w:rPr>
      </w:r>
      <w:r>
        <w:rPr>
          <w:rFonts w:ascii="宋体" w:hAnsi="宋体" w:cs="宋体" w:eastAsia="宋体" w:hint="default"/>
          <w:b/>
          <w:bCs/>
          <w:sz w:val="15"/>
          <w:szCs w:val="15"/>
        </w:rPr>
        <w:t>入当期损益的金融资产</w:t>
      </w:r>
      <w:r>
        <w:rPr>
          <w:rFonts w:ascii="宋体" w:hAnsi="宋体" w:cs="宋体" w:eastAsia="宋体" w:hint="default"/>
          <w:sz w:val="15"/>
          <w:szCs w:val="15"/>
        </w:rPr>
      </w:r>
    </w:p>
    <w:p>
      <w:pPr>
        <w:spacing w:line="240" w:lineRule="auto" w:before="12"/>
        <w:rPr>
          <w:rFonts w:ascii="宋体" w:hAnsi="宋体" w:cs="宋体" w:eastAsia="宋体" w:hint="default"/>
          <w:b/>
          <w:bCs/>
          <w:sz w:val="17"/>
          <w:szCs w:val="17"/>
        </w:rPr>
      </w:pPr>
      <w:r>
        <w:rPr/>
        <w:br w:type="column"/>
      </w:r>
      <w:r>
        <w:rPr>
          <w:rFonts w:ascii="宋体"/>
          <w:b/>
          <w:sz w:val="17"/>
        </w:rPr>
      </w:r>
    </w:p>
    <w:p>
      <w:pPr>
        <w:spacing w:before="0"/>
        <w:ind w:left="37" w:right="-18" w:firstLine="0"/>
        <w:jc w:val="left"/>
        <w:rPr>
          <w:rFonts w:ascii="宋体" w:hAnsi="宋体" w:cs="宋体" w:eastAsia="宋体" w:hint="default"/>
          <w:sz w:val="15"/>
          <w:szCs w:val="15"/>
        </w:rPr>
      </w:pPr>
      <w:r>
        <w:rPr>
          <w:rFonts w:ascii="宋体" w:hAnsi="宋体" w:cs="宋体" w:eastAsia="宋体" w:hint="default"/>
          <w:b/>
          <w:bCs/>
          <w:sz w:val="15"/>
          <w:szCs w:val="15"/>
        </w:rPr>
        <w:t>持有至到期投资</w:t>
      </w:r>
      <w:r>
        <w:rPr>
          <w:rFonts w:ascii="宋体" w:hAnsi="宋体" w:cs="宋体" w:eastAsia="宋体" w:hint="default"/>
          <w:b/>
          <w:bCs/>
          <w:spacing w:val="37"/>
          <w:sz w:val="15"/>
          <w:szCs w:val="15"/>
        </w:rPr>
        <w:t> </w:t>
      </w:r>
      <w:r>
        <w:rPr>
          <w:rFonts w:ascii="宋体" w:hAnsi="宋体" w:cs="宋体" w:eastAsia="宋体" w:hint="default"/>
          <w:b/>
          <w:bCs/>
          <w:sz w:val="15"/>
          <w:szCs w:val="15"/>
        </w:rPr>
        <w:t>贷款和应收款项</w:t>
      </w:r>
      <w:r>
        <w:rPr>
          <w:rFonts w:ascii="宋体" w:hAnsi="宋体" w:cs="宋体" w:eastAsia="宋体" w:hint="default"/>
          <w:sz w:val="15"/>
          <w:szCs w:val="15"/>
        </w:rPr>
      </w:r>
    </w:p>
    <w:p>
      <w:pPr>
        <w:spacing w:line="188" w:lineRule="exact" w:before="54"/>
        <w:ind w:left="126" w:right="1621" w:firstLine="0"/>
        <w:jc w:val="center"/>
        <w:rPr>
          <w:rFonts w:ascii="宋体" w:hAnsi="宋体" w:cs="宋体" w:eastAsia="宋体" w:hint="default"/>
          <w:sz w:val="15"/>
          <w:szCs w:val="15"/>
        </w:rPr>
      </w:pPr>
      <w:r>
        <w:rPr/>
        <w:br w:type="column"/>
      </w:r>
      <w:r>
        <w:rPr>
          <w:rFonts w:ascii="宋体" w:hAnsi="宋体" w:cs="宋体" w:eastAsia="宋体" w:hint="default"/>
          <w:b/>
          <w:bCs/>
          <w:sz w:val="15"/>
          <w:szCs w:val="15"/>
        </w:rPr>
        <w:t>可供出售金融</w:t>
      </w:r>
      <w:r>
        <w:rPr>
          <w:rFonts w:ascii="宋体" w:hAnsi="宋体" w:cs="宋体" w:eastAsia="宋体" w:hint="default"/>
          <w:sz w:val="15"/>
          <w:szCs w:val="15"/>
        </w:rPr>
      </w:r>
    </w:p>
    <w:p>
      <w:pPr>
        <w:spacing w:line="180" w:lineRule="exact" w:before="0"/>
        <w:ind w:left="1650" w:right="0" w:firstLine="0"/>
        <w:jc w:val="left"/>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p>
      <w:pPr>
        <w:spacing w:line="188" w:lineRule="exact" w:before="0"/>
        <w:ind w:left="126" w:right="1619" w:firstLine="0"/>
        <w:jc w:val="center"/>
        <w:rPr>
          <w:rFonts w:ascii="宋体" w:hAnsi="宋体" w:cs="宋体" w:eastAsia="宋体" w:hint="default"/>
          <w:sz w:val="15"/>
          <w:szCs w:val="15"/>
        </w:rPr>
      </w:pPr>
      <w:r>
        <w:rPr>
          <w:rFonts w:ascii="宋体" w:hAnsi="宋体" w:cs="宋体" w:eastAsia="宋体" w:hint="default"/>
          <w:b/>
          <w:bCs/>
          <w:sz w:val="15"/>
          <w:szCs w:val="15"/>
        </w:rPr>
        <w:t>资产</w:t>
      </w:r>
      <w:r>
        <w:rPr>
          <w:rFonts w:ascii="宋体" w:hAnsi="宋体" w:cs="宋体" w:eastAsia="宋体" w:hint="default"/>
          <w:sz w:val="15"/>
          <w:szCs w:val="15"/>
        </w:rPr>
      </w:r>
    </w:p>
    <w:p>
      <w:pPr>
        <w:spacing w:after="0" w:line="188" w:lineRule="exact"/>
        <w:jc w:val="center"/>
        <w:rPr>
          <w:rFonts w:ascii="宋体" w:hAnsi="宋体" w:cs="宋体" w:eastAsia="宋体" w:hint="default"/>
          <w:sz w:val="15"/>
          <w:szCs w:val="15"/>
        </w:rPr>
        <w:sectPr>
          <w:type w:val="continuous"/>
          <w:pgSz w:w="11910" w:h="16840"/>
          <w:pgMar w:top="1580" w:bottom="1140" w:left="1500" w:right="1560"/>
          <w:cols w:num="4" w:equalWidth="0">
            <w:col w:w="1578" w:space="40"/>
            <w:col w:w="2197" w:space="40"/>
            <w:col w:w="2261" w:space="40"/>
            <w:col w:w="2694"/>
          </w:cols>
        </w:sectPr>
      </w:pPr>
    </w:p>
    <w:p>
      <w:pPr>
        <w:spacing w:line="20" w:lineRule="exact"/>
        <w:ind w:left="295" w:right="0" w:firstLine="0"/>
        <w:rPr>
          <w:rFonts w:ascii="宋体" w:hAnsi="宋体" w:cs="宋体" w:eastAsia="宋体" w:hint="default"/>
          <w:sz w:val="2"/>
          <w:szCs w:val="2"/>
        </w:rPr>
      </w:pPr>
      <w:r>
        <w:rPr>
          <w:rFonts w:ascii="宋体" w:hAnsi="宋体" w:cs="宋体" w:eastAsia="宋体" w:hint="default"/>
          <w:sz w:val="2"/>
          <w:szCs w:val="2"/>
        </w:rPr>
        <w:pict>
          <v:group style="width:415.9pt;height:.5pt;mso-position-horizontal-relative:char;mso-position-vertical-relative:line" coordorigin="0,0" coordsize="8318,10">
            <v:group style="position:absolute;left:5;top:5;width:1647;height:2" coordorigin="5,5" coordsize="1647,2">
              <v:shape style="position:absolute;left:5;top:5;width:1647;height:2" coordorigin="5,5" coordsize="1647,0" path="m5,5l1651,5e" filled="false" stroked="true" strokeweight=".47998pt" strokecolor="#000000">
                <v:path arrowok="t"/>
              </v:shape>
            </v:group>
            <v:group style="position:absolute;left:1651;top:5;width:10;height:2" coordorigin="1651,5" coordsize="10,2">
              <v:shape style="position:absolute;left:1651;top:5;width:10;height:2" coordorigin="1651,5" coordsize="10,0" path="m1651,5l1661,5e" filled="false" stroked="true" strokeweight=".47998pt" strokecolor="#000000">
                <v:path arrowok="t"/>
              </v:shape>
            </v:group>
            <v:group style="position:absolute;left:1661;top:5;width:1914;height:2" coordorigin="1661,5" coordsize="1914,2">
              <v:shape style="position:absolute;left:1661;top:5;width:1914;height:2" coordorigin="1661,5" coordsize="1914,0" path="m1661,5l3574,5e" filled="false" stroked="true" strokeweight=".47998pt" strokecolor="#000000">
                <v:path arrowok="t"/>
              </v:shape>
            </v:group>
            <v:group style="position:absolute;left:3574;top:5;width:10;height:2" coordorigin="3574,5" coordsize="10,2">
              <v:shape style="position:absolute;left:3574;top:5;width:10;height:2" coordorigin="3574,5" coordsize="10,0" path="m3574,5l3584,5e" filled="false" stroked="true" strokeweight=".47998pt" strokecolor="#000000">
                <v:path arrowok="t"/>
              </v:shape>
            </v:group>
            <v:group style="position:absolute;left:3584;top:5;width:1088;height:2" coordorigin="3584,5" coordsize="1088,2">
              <v:shape style="position:absolute;left:3584;top:5;width:1088;height:2" coordorigin="3584,5" coordsize="1088,0" path="m3584,5l4671,5e" filled="false" stroked="true" strokeweight=".47998pt" strokecolor="#000000">
                <v:path arrowok="t"/>
              </v:shape>
            </v:group>
            <v:group style="position:absolute;left:4671;top:5;width:10;height:2" coordorigin="4671,5" coordsize="10,2">
              <v:shape style="position:absolute;left:4671;top:5;width:10;height:2" coordorigin="4671,5" coordsize="10,0" path="m4671,5l4681,5e" filled="false" stroked="true" strokeweight=".47998pt" strokecolor="#000000">
                <v:path arrowok="t"/>
              </v:shape>
            </v:group>
            <v:group style="position:absolute;left:4681;top:5;width:1227;height:2" coordorigin="4681,5" coordsize="1227,2">
              <v:shape style="position:absolute;left:4681;top:5;width:1227;height:2" coordorigin="4681,5" coordsize="1227,0" path="m4681,5l5907,5e" filled="false" stroked="true" strokeweight=".47998pt" strokecolor="#000000">
                <v:path arrowok="t"/>
              </v:shape>
            </v:group>
            <v:group style="position:absolute;left:5907;top:5;width:10;height:2" coordorigin="5907,5" coordsize="10,2">
              <v:shape style="position:absolute;left:5907;top:5;width:10;height:2" coordorigin="5907,5" coordsize="10,0" path="m5907,5l5917,5e" filled="false" stroked="true" strokeweight=".47998pt" strokecolor="#000000">
                <v:path arrowok="t"/>
              </v:shape>
            </v:group>
            <v:group style="position:absolute;left:5917;top:5;width:1088;height:2" coordorigin="5917,5" coordsize="1088,2">
              <v:shape style="position:absolute;left:5917;top:5;width:1088;height:2" coordorigin="5917,5" coordsize="1088,0" path="m5917,5l7004,5e" filled="false" stroked="true" strokeweight=".47998pt" strokecolor="#000000">
                <v:path arrowok="t"/>
              </v:shape>
            </v:group>
            <v:group style="position:absolute;left:7004;top:5;width:10;height:2" coordorigin="7004,5" coordsize="10,2">
              <v:shape style="position:absolute;left:7004;top:5;width:10;height:2" coordorigin="7004,5" coordsize="10,0" path="m7004,5l7014,5e" filled="false" stroked="true" strokeweight=".47998pt" strokecolor="#000000">
                <v:path arrowok="t"/>
              </v:shape>
            </v:group>
            <v:group style="position:absolute;left:7014;top:5;width:1299;height:2" coordorigin="7014,5" coordsize="1299,2">
              <v:shape style="position:absolute;left:7014;top:5;width:1299;height:2" coordorigin="7014,5" coordsize="1299,0" path="m7014,5l8313,5e" filled="false" stroked="true" strokeweight=".47998pt" strokecolor="#000000">
                <v:path arrowok="t"/>
              </v:shape>
            </v:group>
          </v:group>
        </w:pict>
      </w:r>
      <w:r>
        <w:rPr>
          <w:rFonts w:ascii="宋体" w:hAnsi="宋体" w:cs="宋体" w:eastAsia="宋体" w:hint="default"/>
          <w:sz w:val="2"/>
          <w:szCs w:val="2"/>
        </w:rPr>
      </w:r>
    </w:p>
    <w:p>
      <w:pPr>
        <w:tabs>
          <w:tab w:pos="5180" w:val="left" w:leader="none"/>
          <w:tab w:pos="7585" w:val="left" w:leader="none"/>
        </w:tabs>
        <w:spacing w:before="70"/>
        <w:ind w:left="300" w:right="0" w:firstLine="0"/>
        <w:jc w:val="left"/>
        <w:rPr>
          <w:rFonts w:ascii="Times New Roman" w:hAnsi="Times New Roman" w:cs="Times New Roman" w:eastAsia="Times New Roman" w:hint="default"/>
          <w:sz w:val="15"/>
          <w:szCs w:val="15"/>
        </w:rPr>
      </w:pPr>
      <w:r>
        <w:rPr>
          <w:rFonts w:ascii="宋体" w:hAnsi="宋体" w:cs="宋体" w:eastAsia="宋体" w:hint="default"/>
          <w:spacing w:val="-1"/>
          <w:position w:val="-4"/>
          <w:sz w:val="15"/>
          <w:szCs w:val="15"/>
        </w:rPr>
        <w:t>货币资金</w:t>
        <w:tab/>
      </w:r>
      <w:r>
        <w:rPr>
          <w:rFonts w:ascii="Times New Roman" w:hAnsi="Times New Roman" w:cs="Times New Roman" w:eastAsia="Times New Roman" w:hint="default"/>
          <w:spacing w:val="-1"/>
          <w:sz w:val="15"/>
          <w:szCs w:val="15"/>
        </w:rPr>
        <w:t>497,692,570.51</w:t>
        <w:tab/>
        <w:t>497,692,570.51</w:t>
      </w:r>
    </w:p>
    <w:p>
      <w:pPr>
        <w:spacing w:line="240" w:lineRule="auto" w:before="1"/>
        <w:rPr>
          <w:rFonts w:ascii="Times New Roman" w:hAnsi="Times New Roman" w:cs="Times New Roman" w:eastAsia="Times New Roman" w:hint="default"/>
          <w:sz w:val="9"/>
          <w:szCs w:val="9"/>
        </w:rPr>
      </w:pPr>
    </w:p>
    <w:p>
      <w:pPr>
        <w:spacing w:before="54"/>
        <w:ind w:left="300" w:right="0" w:firstLine="0"/>
        <w:jc w:val="left"/>
        <w:rPr>
          <w:rFonts w:ascii="宋体" w:hAnsi="宋体" w:cs="宋体" w:eastAsia="宋体" w:hint="default"/>
          <w:sz w:val="15"/>
          <w:szCs w:val="15"/>
        </w:rPr>
      </w:pPr>
      <w:r>
        <w:rPr>
          <w:rFonts w:ascii="宋体" w:hAnsi="宋体" w:cs="宋体" w:eastAsia="宋体" w:hint="default"/>
          <w:sz w:val="15"/>
          <w:szCs w:val="15"/>
        </w:rPr>
        <w:t>应收票据</w:t>
      </w:r>
    </w:p>
    <w:p>
      <w:pPr>
        <w:spacing w:line="240" w:lineRule="auto" w:before="9"/>
        <w:rPr>
          <w:rFonts w:ascii="宋体" w:hAnsi="宋体" w:cs="宋体" w:eastAsia="宋体" w:hint="default"/>
          <w:sz w:val="11"/>
          <w:szCs w:val="11"/>
        </w:rPr>
      </w:pPr>
    </w:p>
    <w:p>
      <w:pPr>
        <w:tabs>
          <w:tab w:pos="5257" w:val="left" w:leader="none"/>
          <w:tab w:pos="7662" w:val="left" w:leader="none"/>
        </w:tabs>
        <w:spacing w:before="0"/>
        <w:ind w:left="300" w:right="0" w:firstLine="0"/>
        <w:jc w:val="left"/>
        <w:rPr>
          <w:rFonts w:ascii="Times New Roman" w:hAnsi="Times New Roman" w:cs="Times New Roman" w:eastAsia="Times New Roman" w:hint="default"/>
          <w:sz w:val="15"/>
          <w:szCs w:val="15"/>
        </w:rPr>
      </w:pPr>
      <w:r>
        <w:rPr>
          <w:rFonts w:ascii="宋体" w:hAnsi="宋体" w:cs="宋体" w:eastAsia="宋体" w:hint="default"/>
          <w:spacing w:val="-1"/>
          <w:position w:val="-4"/>
          <w:sz w:val="15"/>
          <w:szCs w:val="15"/>
        </w:rPr>
        <w:t>应收账款</w:t>
        <w:tab/>
      </w:r>
      <w:r>
        <w:rPr>
          <w:rFonts w:ascii="Times New Roman" w:hAnsi="Times New Roman" w:cs="Times New Roman" w:eastAsia="Times New Roman" w:hint="default"/>
          <w:spacing w:val="-1"/>
          <w:sz w:val="15"/>
          <w:szCs w:val="15"/>
        </w:rPr>
        <w:t>54,150,583.95</w:t>
        <w:tab/>
        <w:t>54,150,583.95</w:t>
      </w:r>
    </w:p>
    <w:p>
      <w:pPr>
        <w:tabs>
          <w:tab w:pos="5518" w:val="left" w:leader="none"/>
          <w:tab w:pos="7924" w:val="left" w:leader="none"/>
        </w:tabs>
        <w:spacing w:before="149"/>
        <w:ind w:left="300" w:right="0" w:firstLine="0"/>
        <w:jc w:val="left"/>
        <w:rPr>
          <w:rFonts w:ascii="Times New Roman" w:hAnsi="Times New Roman" w:cs="Times New Roman" w:eastAsia="Times New Roman" w:hint="default"/>
          <w:sz w:val="15"/>
          <w:szCs w:val="15"/>
        </w:rPr>
      </w:pPr>
      <w:r>
        <w:rPr>
          <w:rFonts w:ascii="宋体" w:hAnsi="宋体" w:cs="宋体" w:eastAsia="宋体" w:hint="default"/>
          <w:spacing w:val="-1"/>
          <w:position w:val="-4"/>
          <w:sz w:val="15"/>
          <w:szCs w:val="15"/>
        </w:rPr>
        <w:t>应收利息</w:t>
        <w:tab/>
      </w:r>
      <w:r>
        <w:rPr>
          <w:rFonts w:ascii="Times New Roman" w:hAnsi="Times New Roman" w:cs="Times New Roman" w:eastAsia="Times New Roman" w:hint="default"/>
          <w:spacing w:val="-1"/>
          <w:sz w:val="15"/>
          <w:szCs w:val="15"/>
        </w:rPr>
        <w:t>81,114.09</w:t>
        <w:tab/>
        <w:t>81,114.09</w:t>
      </w:r>
    </w:p>
    <w:p>
      <w:pPr>
        <w:tabs>
          <w:tab w:pos="5331" w:val="left" w:leader="none"/>
          <w:tab w:pos="7737" w:val="left" w:leader="none"/>
        </w:tabs>
        <w:spacing w:before="149"/>
        <w:ind w:left="300" w:right="0" w:firstLine="0"/>
        <w:jc w:val="left"/>
        <w:rPr>
          <w:rFonts w:ascii="Times New Roman" w:hAnsi="Times New Roman" w:cs="Times New Roman" w:eastAsia="Times New Roman" w:hint="default"/>
          <w:sz w:val="15"/>
          <w:szCs w:val="15"/>
        </w:rPr>
      </w:pPr>
      <w:r>
        <w:rPr>
          <w:rFonts w:ascii="宋体" w:hAnsi="宋体" w:cs="宋体" w:eastAsia="宋体" w:hint="default"/>
          <w:spacing w:val="-1"/>
          <w:position w:val="-4"/>
          <w:sz w:val="15"/>
          <w:szCs w:val="15"/>
        </w:rPr>
        <w:t>其他应收款</w:t>
        <w:tab/>
      </w:r>
      <w:r>
        <w:rPr>
          <w:rFonts w:ascii="Times New Roman" w:hAnsi="Times New Roman" w:cs="Times New Roman" w:eastAsia="Times New Roman" w:hint="default"/>
          <w:spacing w:val="-1"/>
          <w:sz w:val="15"/>
          <w:szCs w:val="15"/>
        </w:rPr>
        <w:t>7,500,935.98</w:t>
        <w:tab/>
        <w:t>7,500,935.98</w:t>
      </w:r>
    </w:p>
    <w:p>
      <w:pPr>
        <w:spacing w:line="391" w:lineRule="auto" w:before="159"/>
        <w:ind w:left="300" w:right="6796" w:firstLine="0"/>
        <w:jc w:val="left"/>
        <w:rPr>
          <w:rFonts w:ascii="宋体" w:hAnsi="宋体" w:cs="宋体" w:eastAsia="宋体" w:hint="default"/>
          <w:sz w:val="15"/>
          <w:szCs w:val="15"/>
        </w:rPr>
      </w:pPr>
      <w:r>
        <w:rPr>
          <w:rFonts w:ascii="宋体" w:hAnsi="宋体" w:cs="宋体" w:eastAsia="宋体" w:hint="default"/>
          <w:spacing w:val="12"/>
          <w:sz w:val="15"/>
          <w:szCs w:val="15"/>
        </w:rPr>
        <w:t>一年内到期的非流动资</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产</w:t>
      </w:r>
    </w:p>
    <w:p>
      <w:pPr>
        <w:tabs>
          <w:tab w:pos="5257" w:val="left" w:leader="none"/>
          <w:tab w:pos="7662" w:val="left" w:leader="none"/>
        </w:tabs>
        <w:spacing w:before="58"/>
        <w:ind w:left="300" w:right="0" w:firstLine="0"/>
        <w:jc w:val="left"/>
        <w:rPr>
          <w:rFonts w:ascii="Times New Roman" w:hAnsi="Times New Roman" w:cs="Times New Roman" w:eastAsia="Times New Roman" w:hint="default"/>
          <w:sz w:val="15"/>
          <w:szCs w:val="15"/>
        </w:rPr>
      </w:pPr>
      <w:r>
        <w:rPr>
          <w:rFonts w:ascii="宋体" w:hAnsi="宋体" w:cs="宋体" w:eastAsia="宋体" w:hint="default"/>
          <w:spacing w:val="-1"/>
          <w:position w:val="-4"/>
          <w:sz w:val="15"/>
          <w:szCs w:val="15"/>
        </w:rPr>
        <w:t>其他流动资产</w:t>
        <w:tab/>
      </w:r>
      <w:r>
        <w:rPr>
          <w:rFonts w:ascii="Times New Roman" w:hAnsi="Times New Roman" w:cs="Times New Roman" w:eastAsia="Times New Roman" w:hint="default"/>
          <w:spacing w:val="-1"/>
          <w:sz w:val="15"/>
          <w:szCs w:val="15"/>
        </w:rPr>
        <w:t>16,488,413.96</w:t>
        <w:tab/>
        <w:t>16,488,413.96</w:t>
      </w:r>
    </w:p>
    <w:p>
      <w:pPr>
        <w:tabs>
          <w:tab w:pos="6356" w:val="left" w:leader="none"/>
          <w:tab w:pos="7662" w:val="left" w:leader="none"/>
        </w:tabs>
        <w:spacing w:before="149"/>
        <w:ind w:left="300" w:right="0" w:firstLine="0"/>
        <w:jc w:val="left"/>
        <w:rPr>
          <w:rFonts w:ascii="Times New Roman" w:hAnsi="Times New Roman" w:cs="Times New Roman" w:eastAsia="Times New Roman" w:hint="default"/>
          <w:sz w:val="15"/>
          <w:szCs w:val="15"/>
        </w:rPr>
      </w:pPr>
      <w:r>
        <w:rPr>
          <w:rFonts w:ascii="宋体" w:hAnsi="宋体" w:cs="宋体" w:eastAsia="宋体" w:hint="default"/>
          <w:spacing w:val="-2"/>
          <w:position w:val="-4"/>
          <w:sz w:val="15"/>
          <w:szCs w:val="15"/>
        </w:rPr>
        <w:t>可供出售金融资产</w:t>
        <w:tab/>
      </w:r>
      <w:r>
        <w:rPr>
          <w:rFonts w:ascii="Times New Roman" w:hAnsi="Times New Roman" w:cs="Times New Roman" w:eastAsia="Times New Roman" w:hint="default"/>
          <w:spacing w:val="-1"/>
          <w:sz w:val="15"/>
          <w:szCs w:val="15"/>
        </w:rPr>
        <w:t>77,347,000.00</w:t>
        <w:tab/>
        <w:t>77,347,000.00</w:t>
      </w:r>
    </w:p>
    <w:p>
      <w:pPr>
        <w:tabs>
          <w:tab w:pos="5180" w:val="left" w:leader="none"/>
          <w:tab w:pos="6356" w:val="left" w:leader="none"/>
          <w:tab w:pos="7585" w:val="left" w:leader="none"/>
        </w:tabs>
        <w:spacing w:before="149"/>
        <w:ind w:left="972" w:right="0" w:firstLine="0"/>
        <w:jc w:val="left"/>
        <w:rPr>
          <w:rFonts w:ascii="Times New Roman" w:hAnsi="Times New Roman" w:cs="Times New Roman" w:eastAsia="Times New Roman" w:hint="default"/>
          <w:sz w:val="15"/>
          <w:szCs w:val="15"/>
        </w:rPr>
      </w:pPr>
      <w:r>
        <w:rPr>
          <w:rFonts w:ascii="宋体" w:hAnsi="宋体" w:cs="宋体" w:eastAsia="宋体" w:hint="default"/>
          <w:position w:val="-4"/>
          <w:sz w:val="15"/>
          <w:szCs w:val="15"/>
        </w:rPr>
        <w:t>合计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1"/>
          <w:sz w:val="15"/>
          <w:szCs w:val="15"/>
          <w:u w:val="thick" w:color="000000"/>
        </w:rPr>
        <w:t>575,913,618.49</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77,347,000.00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653,260,618.49</w:t>
      </w:r>
      <w:r>
        <w:rPr>
          <w:rFonts w:ascii="Times New Roman" w:hAnsi="Times New Roman" w:cs="Times New Roman" w:eastAsia="Times New Roman" w:hint="default"/>
          <w:spacing w:val="-1"/>
          <w:sz w:val="15"/>
          <w:szCs w:val="15"/>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BodyText"/>
        <w:spacing w:line="240" w:lineRule="auto"/>
        <w:ind w:left="660" w:right="0"/>
        <w:jc w:val="left"/>
      </w:pPr>
      <w:r>
        <w:rPr/>
        <w:t>接上表：</w:t>
      </w:r>
    </w:p>
    <w:p>
      <w:pPr>
        <w:spacing w:line="240" w:lineRule="auto" w:before="5"/>
        <w:rPr>
          <w:rFonts w:ascii="宋体" w:hAnsi="宋体" w:cs="宋体" w:eastAsia="宋体" w:hint="default"/>
          <w:sz w:val="25"/>
          <w:szCs w:val="25"/>
        </w:rPr>
      </w:pPr>
    </w:p>
    <w:tbl>
      <w:tblPr>
        <w:tblW w:w="0" w:type="auto"/>
        <w:jc w:val="left"/>
        <w:tblInd w:w="163" w:type="dxa"/>
        <w:tblLayout w:type="fixed"/>
        <w:tblCellMar>
          <w:top w:w="0" w:type="dxa"/>
          <w:left w:w="0" w:type="dxa"/>
          <w:bottom w:w="0" w:type="dxa"/>
          <w:right w:w="0" w:type="dxa"/>
        </w:tblCellMar>
        <w:tblLook w:val="01E0"/>
      </w:tblPr>
      <w:tblGrid>
        <w:gridCol w:w="1507"/>
        <w:gridCol w:w="2077"/>
        <w:gridCol w:w="1262"/>
        <w:gridCol w:w="1307"/>
        <w:gridCol w:w="1526"/>
        <w:gridCol w:w="903"/>
      </w:tblGrid>
      <w:tr>
        <w:trPr>
          <w:trHeight w:val="246" w:hRule="exact"/>
        </w:trPr>
        <w:tc>
          <w:tcPr>
            <w:tcW w:w="1507"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151" w:lineRule="exact"/>
              <w:ind w:left="-10"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1526"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r>
      <w:tr>
        <w:trPr>
          <w:trHeight w:val="261"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95" w:right="0"/>
              <w:jc w:val="left"/>
              <w:rPr>
                <w:rFonts w:ascii="宋体" w:hAnsi="宋体" w:cs="宋体" w:eastAsia="宋体" w:hint="default"/>
                <w:sz w:val="15"/>
                <w:szCs w:val="15"/>
              </w:rPr>
            </w:pPr>
            <w:r>
              <w:rPr>
                <w:rFonts w:ascii="宋体" w:hAnsi="宋体" w:cs="宋体" w:eastAsia="宋体" w:hint="default"/>
                <w:b/>
                <w:bCs/>
                <w:sz w:val="15"/>
                <w:szCs w:val="15"/>
              </w:rPr>
              <w:t>金融资产项目</w:t>
            </w:r>
            <w:r>
              <w:rPr>
                <w:rFonts w:ascii="宋体" w:hAnsi="宋体" w:cs="宋体" w:eastAsia="宋体" w:hint="default"/>
                <w:sz w:val="15"/>
                <w:szCs w:val="15"/>
              </w:rPr>
            </w:r>
          </w:p>
        </w:tc>
        <w:tc>
          <w:tcPr>
            <w:tcW w:w="2077" w:type="dxa"/>
            <w:vMerge w:val="restart"/>
            <w:tcBorders>
              <w:top w:val="nil" w:sz="6" w:space="0" w:color="auto"/>
              <w:left w:val="nil" w:sz="6" w:space="0" w:color="auto"/>
              <w:right w:val="nil" w:sz="6" w:space="0" w:color="auto"/>
            </w:tcBorders>
          </w:tcPr>
          <w:p>
            <w:pPr>
              <w:pStyle w:val="TableParagraph"/>
              <w:spacing w:line="391" w:lineRule="auto" w:before="69"/>
              <w:ind w:left="357" w:right="59" w:hanging="152"/>
              <w:jc w:val="left"/>
              <w:rPr>
                <w:rFonts w:ascii="宋体" w:hAnsi="宋体" w:cs="宋体" w:eastAsia="宋体" w:hint="default"/>
                <w:sz w:val="15"/>
                <w:szCs w:val="15"/>
              </w:rPr>
            </w:pPr>
            <w:r>
              <w:rPr>
                <w:rFonts w:ascii="宋体" w:hAnsi="宋体" w:cs="宋体" w:eastAsia="宋体" w:hint="default"/>
                <w:b/>
                <w:bCs/>
                <w:spacing w:val="-1"/>
                <w:sz w:val="15"/>
                <w:szCs w:val="15"/>
              </w:rPr>
              <w:t>以公允价值计量且其变动计</w:t>
            </w:r>
            <w:r>
              <w:rPr>
                <w:rFonts w:ascii="宋体" w:hAnsi="宋体" w:cs="宋体" w:eastAsia="宋体" w:hint="default"/>
                <w:b/>
                <w:bCs/>
                <w:spacing w:val="-63"/>
                <w:sz w:val="15"/>
                <w:szCs w:val="15"/>
              </w:rPr>
              <w:t> </w:t>
            </w:r>
            <w:r>
              <w:rPr>
                <w:rFonts w:ascii="宋体" w:hAnsi="宋体" w:cs="宋体" w:eastAsia="宋体" w:hint="default"/>
                <w:b/>
                <w:bCs/>
                <w:spacing w:val="-63"/>
                <w:sz w:val="15"/>
                <w:szCs w:val="15"/>
              </w:rPr>
            </w:r>
            <w:r>
              <w:rPr>
                <w:rFonts w:ascii="宋体" w:hAnsi="宋体" w:cs="宋体" w:eastAsia="宋体" w:hint="default"/>
                <w:b/>
                <w:bCs/>
                <w:sz w:val="15"/>
                <w:szCs w:val="15"/>
              </w:rPr>
              <w:t>入当期损益的金融资产</w:t>
            </w:r>
            <w:r>
              <w:rPr>
                <w:rFonts w:ascii="宋体" w:hAnsi="宋体" w:cs="宋体" w:eastAsia="宋体" w:hint="default"/>
                <w:sz w:val="15"/>
                <w:szCs w:val="15"/>
              </w:rPr>
            </w:r>
          </w:p>
        </w:tc>
        <w:tc>
          <w:tcPr>
            <w:tcW w:w="1262"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r>
      <w:tr>
        <w:trPr>
          <w:trHeight w:val="411" w:hRule="exact"/>
        </w:trPr>
        <w:tc>
          <w:tcPr>
            <w:tcW w:w="1507" w:type="dxa"/>
            <w:tcBorders>
              <w:top w:val="nil" w:sz="6" w:space="0" w:color="auto"/>
              <w:left w:val="nil" w:sz="6" w:space="0" w:color="auto"/>
              <w:bottom w:val="single" w:sz="4" w:space="0" w:color="000000"/>
              <w:right w:val="nil" w:sz="6" w:space="0" w:color="auto"/>
            </w:tcBorders>
          </w:tcPr>
          <w:p>
            <w:pPr/>
          </w:p>
        </w:tc>
        <w:tc>
          <w:tcPr>
            <w:tcW w:w="2077" w:type="dxa"/>
            <w:vMerge/>
            <w:tcBorders>
              <w:left w:val="nil" w:sz="6" w:space="0" w:color="auto"/>
              <w:bottom w:val="single" w:sz="4" w:space="0" w:color="000000"/>
              <w:right w:val="nil" w:sz="6" w:space="0" w:color="auto"/>
            </w:tcBorders>
          </w:tcPr>
          <w:p>
            <w:pPr/>
          </w:p>
        </w:tc>
        <w:tc>
          <w:tcPr>
            <w:tcW w:w="1262" w:type="dxa"/>
            <w:tcBorders>
              <w:top w:val="nil" w:sz="6" w:space="0" w:color="auto"/>
              <w:left w:val="nil" w:sz="6" w:space="0" w:color="auto"/>
              <w:bottom w:val="single" w:sz="4" w:space="0" w:color="000000"/>
              <w:right w:val="nil" w:sz="6" w:space="0" w:color="auto"/>
            </w:tcBorders>
          </w:tcPr>
          <w:p>
            <w:pPr>
              <w:pStyle w:val="TableParagraph"/>
              <w:spacing w:line="165" w:lineRule="exact"/>
              <w:ind w:left="61" w:right="0"/>
              <w:jc w:val="left"/>
              <w:rPr>
                <w:rFonts w:ascii="宋体" w:hAnsi="宋体" w:cs="宋体" w:eastAsia="宋体" w:hint="default"/>
                <w:sz w:val="15"/>
                <w:szCs w:val="15"/>
              </w:rPr>
            </w:pPr>
            <w:r>
              <w:rPr>
                <w:rFonts w:ascii="宋体" w:hAnsi="宋体" w:cs="宋体" w:eastAsia="宋体" w:hint="default"/>
                <w:b/>
                <w:bCs/>
                <w:sz w:val="15"/>
                <w:szCs w:val="15"/>
              </w:rPr>
              <w:t>持有至到期投资</w:t>
            </w:r>
            <w:r>
              <w:rPr>
                <w:rFonts w:ascii="宋体" w:hAnsi="宋体" w:cs="宋体" w:eastAsia="宋体" w:hint="default"/>
                <w:sz w:val="15"/>
                <w:szCs w:val="15"/>
              </w:rPr>
            </w:r>
          </w:p>
        </w:tc>
        <w:tc>
          <w:tcPr>
            <w:tcW w:w="1307" w:type="dxa"/>
            <w:tcBorders>
              <w:top w:val="nil" w:sz="6" w:space="0" w:color="auto"/>
              <w:left w:val="nil" w:sz="6" w:space="0" w:color="auto"/>
              <w:bottom w:val="single" w:sz="4" w:space="0" w:color="000000"/>
              <w:right w:val="nil" w:sz="6" w:space="0" w:color="auto"/>
            </w:tcBorders>
          </w:tcPr>
          <w:p>
            <w:pPr>
              <w:pStyle w:val="TableParagraph"/>
              <w:spacing w:line="165" w:lineRule="exact"/>
              <w:ind w:left="144" w:right="0"/>
              <w:jc w:val="left"/>
              <w:rPr>
                <w:rFonts w:ascii="宋体" w:hAnsi="宋体" w:cs="宋体" w:eastAsia="宋体" w:hint="default"/>
                <w:sz w:val="15"/>
                <w:szCs w:val="15"/>
              </w:rPr>
            </w:pPr>
            <w:r>
              <w:rPr>
                <w:rFonts w:ascii="宋体" w:hAnsi="宋体" w:cs="宋体" w:eastAsia="宋体" w:hint="default"/>
                <w:b/>
                <w:bCs/>
                <w:sz w:val="15"/>
                <w:szCs w:val="15"/>
              </w:rPr>
              <w:t>贷款和应收款项</w:t>
            </w:r>
            <w:r>
              <w:rPr>
                <w:rFonts w:ascii="宋体" w:hAnsi="宋体" w:cs="宋体" w:eastAsia="宋体" w:hint="default"/>
                <w:sz w:val="15"/>
                <w:szCs w:val="15"/>
              </w:rPr>
            </w:r>
          </w:p>
        </w:tc>
        <w:tc>
          <w:tcPr>
            <w:tcW w:w="1526" w:type="dxa"/>
            <w:tcBorders>
              <w:top w:val="nil" w:sz="6" w:space="0" w:color="auto"/>
              <w:left w:val="nil" w:sz="6" w:space="0" w:color="auto"/>
              <w:bottom w:val="single" w:sz="4" w:space="0" w:color="000000"/>
              <w:right w:val="nil" w:sz="6" w:space="0" w:color="auto"/>
            </w:tcBorders>
          </w:tcPr>
          <w:p>
            <w:pPr>
              <w:pStyle w:val="TableParagraph"/>
              <w:spacing w:line="165" w:lineRule="exact"/>
              <w:ind w:left="106" w:right="0"/>
              <w:jc w:val="left"/>
              <w:rPr>
                <w:rFonts w:ascii="宋体" w:hAnsi="宋体" w:cs="宋体" w:eastAsia="宋体" w:hint="default"/>
                <w:sz w:val="15"/>
                <w:szCs w:val="15"/>
              </w:rPr>
            </w:pPr>
            <w:r>
              <w:rPr>
                <w:rFonts w:ascii="宋体" w:hAnsi="宋体" w:cs="宋体" w:eastAsia="宋体" w:hint="default"/>
                <w:b/>
                <w:bCs/>
                <w:sz w:val="15"/>
                <w:szCs w:val="15"/>
              </w:rPr>
              <w:t>可供出售金融资产</w:t>
            </w:r>
            <w:r>
              <w:rPr>
                <w:rFonts w:ascii="宋体" w:hAnsi="宋体" w:cs="宋体" w:eastAsia="宋体" w:hint="default"/>
                <w:sz w:val="15"/>
                <w:szCs w:val="15"/>
              </w:rPr>
            </w:r>
          </w:p>
        </w:tc>
        <w:tc>
          <w:tcPr>
            <w:tcW w:w="903" w:type="dxa"/>
            <w:tcBorders>
              <w:top w:val="nil" w:sz="6" w:space="0" w:color="auto"/>
              <w:left w:val="nil" w:sz="6" w:space="0" w:color="auto"/>
              <w:bottom w:val="single" w:sz="4" w:space="0" w:color="000000"/>
              <w:right w:val="nil" w:sz="6" w:space="0" w:color="auto"/>
            </w:tcBorders>
          </w:tcPr>
          <w:p>
            <w:pPr>
              <w:pStyle w:val="TableParagraph"/>
              <w:spacing w:line="165" w:lineRule="exact"/>
              <w:ind w:left="211" w:right="0"/>
              <w:jc w:val="left"/>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r>
    </w:tbl>
    <w:p>
      <w:pPr>
        <w:spacing w:after="0" w:line="165" w:lineRule="exact"/>
        <w:jc w:val="left"/>
        <w:rPr>
          <w:rFonts w:ascii="宋体" w:hAnsi="宋体" w:cs="宋体" w:eastAsia="宋体" w:hint="default"/>
          <w:sz w:val="15"/>
          <w:szCs w:val="15"/>
        </w:rPr>
        <w:sectPr>
          <w:type w:val="continuous"/>
          <w:pgSz w:w="11910" w:h="16840"/>
          <w:pgMar w:top="1580" w:bottom="1140" w:left="1500" w:right="1560"/>
        </w:sectPr>
      </w:pPr>
    </w:p>
    <w:p>
      <w:pPr>
        <w:spacing w:line="240" w:lineRule="auto" w:before="10"/>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684"/>
        <w:gridCol w:w="1901"/>
        <w:gridCol w:w="1262"/>
        <w:gridCol w:w="1336"/>
        <w:gridCol w:w="1312"/>
        <w:gridCol w:w="1088"/>
      </w:tblGrid>
      <w:tr>
        <w:trPr>
          <w:trHeight w:val="246" w:hRule="exact"/>
        </w:trPr>
        <w:tc>
          <w:tcPr>
            <w:tcW w:w="1684"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151" w:lineRule="exact"/>
              <w:ind w:left="-10"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131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r>
      <w:tr>
        <w:trPr>
          <w:trHeight w:val="260" w:hRule="exact"/>
        </w:trPr>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95" w:right="0"/>
              <w:jc w:val="left"/>
              <w:rPr>
                <w:rFonts w:ascii="宋体" w:hAnsi="宋体" w:cs="宋体" w:eastAsia="宋体" w:hint="default"/>
                <w:sz w:val="15"/>
                <w:szCs w:val="15"/>
              </w:rPr>
            </w:pPr>
            <w:r>
              <w:rPr>
                <w:rFonts w:ascii="宋体" w:hAnsi="宋体" w:cs="宋体" w:eastAsia="宋体" w:hint="default"/>
                <w:b/>
                <w:bCs/>
                <w:sz w:val="15"/>
                <w:szCs w:val="15"/>
              </w:rPr>
              <w:t>金融资产项目</w:t>
            </w:r>
            <w:r>
              <w:rPr>
                <w:rFonts w:ascii="宋体" w:hAnsi="宋体" w:cs="宋体" w:eastAsia="宋体" w:hint="default"/>
                <w:sz w:val="15"/>
                <w:szCs w:val="15"/>
              </w:rPr>
            </w:r>
          </w:p>
        </w:tc>
        <w:tc>
          <w:tcPr>
            <w:tcW w:w="1901" w:type="dxa"/>
            <w:vMerge w:val="restart"/>
            <w:tcBorders>
              <w:top w:val="nil" w:sz="6" w:space="0" w:color="auto"/>
              <w:left w:val="nil" w:sz="6" w:space="0" w:color="auto"/>
              <w:right w:val="nil" w:sz="6" w:space="0" w:color="auto"/>
            </w:tcBorders>
          </w:tcPr>
          <w:p>
            <w:pPr>
              <w:pStyle w:val="TableParagraph"/>
              <w:spacing w:line="391" w:lineRule="auto" w:before="68"/>
              <w:ind w:left="181" w:right="59" w:hanging="152"/>
              <w:jc w:val="left"/>
              <w:rPr>
                <w:rFonts w:ascii="宋体" w:hAnsi="宋体" w:cs="宋体" w:eastAsia="宋体" w:hint="default"/>
                <w:sz w:val="15"/>
                <w:szCs w:val="15"/>
              </w:rPr>
            </w:pPr>
            <w:r>
              <w:rPr>
                <w:rFonts w:ascii="宋体" w:hAnsi="宋体" w:cs="宋体" w:eastAsia="宋体" w:hint="default"/>
                <w:b/>
                <w:bCs/>
                <w:spacing w:val="-1"/>
                <w:sz w:val="15"/>
                <w:szCs w:val="15"/>
              </w:rPr>
              <w:t>以公允价值计量且其变动计</w:t>
            </w:r>
            <w:r>
              <w:rPr>
                <w:rFonts w:ascii="宋体" w:hAnsi="宋体" w:cs="宋体" w:eastAsia="宋体" w:hint="default"/>
                <w:b/>
                <w:bCs/>
                <w:spacing w:val="-63"/>
                <w:sz w:val="15"/>
                <w:szCs w:val="15"/>
              </w:rPr>
              <w:t> </w:t>
            </w:r>
            <w:r>
              <w:rPr>
                <w:rFonts w:ascii="宋体" w:hAnsi="宋体" w:cs="宋体" w:eastAsia="宋体" w:hint="default"/>
                <w:b/>
                <w:bCs/>
                <w:spacing w:val="-63"/>
                <w:sz w:val="15"/>
                <w:szCs w:val="15"/>
              </w:rPr>
            </w:r>
            <w:r>
              <w:rPr>
                <w:rFonts w:ascii="宋体" w:hAnsi="宋体" w:cs="宋体" w:eastAsia="宋体" w:hint="default"/>
                <w:b/>
                <w:bCs/>
                <w:sz w:val="15"/>
                <w:szCs w:val="15"/>
              </w:rPr>
              <w:t>入当期损益的金融资产</w:t>
            </w:r>
            <w:r>
              <w:rPr>
                <w:rFonts w:ascii="宋体" w:hAnsi="宋体" w:cs="宋体" w:eastAsia="宋体" w:hint="default"/>
                <w:sz w:val="15"/>
                <w:szCs w:val="15"/>
              </w:rPr>
            </w:r>
          </w:p>
        </w:tc>
        <w:tc>
          <w:tcPr>
            <w:tcW w:w="126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r>
      <w:tr>
        <w:trPr>
          <w:trHeight w:val="411" w:hRule="exact"/>
        </w:trPr>
        <w:tc>
          <w:tcPr>
            <w:tcW w:w="1684" w:type="dxa"/>
            <w:tcBorders>
              <w:top w:val="nil" w:sz="6" w:space="0" w:color="auto"/>
              <w:left w:val="nil" w:sz="6" w:space="0" w:color="auto"/>
              <w:bottom w:val="single" w:sz="4" w:space="0" w:color="000000"/>
              <w:right w:val="nil" w:sz="6" w:space="0" w:color="auto"/>
            </w:tcBorders>
          </w:tcPr>
          <w:p>
            <w:pPr/>
          </w:p>
        </w:tc>
        <w:tc>
          <w:tcPr>
            <w:tcW w:w="1901" w:type="dxa"/>
            <w:vMerge/>
            <w:tcBorders>
              <w:left w:val="nil" w:sz="6" w:space="0" w:color="auto"/>
              <w:bottom w:val="single" w:sz="4" w:space="0" w:color="000000"/>
              <w:right w:val="nil" w:sz="6" w:space="0" w:color="auto"/>
            </w:tcBorders>
          </w:tcPr>
          <w:p>
            <w:pPr/>
          </w:p>
        </w:tc>
        <w:tc>
          <w:tcPr>
            <w:tcW w:w="1262" w:type="dxa"/>
            <w:tcBorders>
              <w:top w:val="nil" w:sz="6" w:space="0" w:color="auto"/>
              <w:left w:val="nil" w:sz="6" w:space="0" w:color="auto"/>
              <w:bottom w:val="single" w:sz="4" w:space="0" w:color="000000"/>
              <w:right w:val="nil" w:sz="6" w:space="0" w:color="auto"/>
            </w:tcBorders>
          </w:tcPr>
          <w:p>
            <w:pPr>
              <w:pStyle w:val="TableParagraph"/>
              <w:spacing w:line="165" w:lineRule="exact"/>
              <w:ind w:left="61" w:right="0"/>
              <w:jc w:val="left"/>
              <w:rPr>
                <w:rFonts w:ascii="宋体" w:hAnsi="宋体" w:cs="宋体" w:eastAsia="宋体" w:hint="default"/>
                <w:sz w:val="15"/>
                <w:szCs w:val="15"/>
              </w:rPr>
            </w:pPr>
            <w:r>
              <w:rPr>
                <w:rFonts w:ascii="宋体" w:hAnsi="宋体" w:cs="宋体" w:eastAsia="宋体" w:hint="default"/>
                <w:b/>
                <w:bCs/>
                <w:sz w:val="15"/>
                <w:szCs w:val="15"/>
              </w:rPr>
              <w:t>持有至到期投资</w:t>
            </w:r>
            <w:r>
              <w:rPr>
                <w:rFonts w:ascii="宋体" w:hAnsi="宋体" w:cs="宋体" w:eastAsia="宋体" w:hint="default"/>
                <w:sz w:val="15"/>
                <w:szCs w:val="15"/>
              </w:rPr>
            </w:r>
          </w:p>
        </w:tc>
        <w:tc>
          <w:tcPr>
            <w:tcW w:w="1336" w:type="dxa"/>
            <w:tcBorders>
              <w:top w:val="nil" w:sz="6" w:space="0" w:color="auto"/>
              <w:left w:val="nil" w:sz="6" w:space="0" w:color="auto"/>
              <w:bottom w:val="single" w:sz="4" w:space="0" w:color="000000"/>
              <w:right w:val="nil" w:sz="6" w:space="0" w:color="auto"/>
            </w:tcBorders>
          </w:tcPr>
          <w:p>
            <w:pPr>
              <w:pStyle w:val="TableParagraph"/>
              <w:spacing w:line="165" w:lineRule="exact"/>
              <w:ind w:left="144" w:right="0"/>
              <w:jc w:val="left"/>
              <w:rPr>
                <w:rFonts w:ascii="宋体" w:hAnsi="宋体" w:cs="宋体" w:eastAsia="宋体" w:hint="default"/>
                <w:sz w:val="15"/>
                <w:szCs w:val="15"/>
              </w:rPr>
            </w:pPr>
            <w:r>
              <w:rPr>
                <w:rFonts w:ascii="宋体" w:hAnsi="宋体" w:cs="宋体" w:eastAsia="宋体" w:hint="default"/>
                <w:b/>
                <w:bCs/>
                <w:sz w:val="15"/>
                <w:szCs w:val="15"/>
              </w:rPr>
              <w:t>贷款和应收款项</w:t>
            </w:r>
            <w:r>
              <w:rPr>
                <w:rFonts w:ascii="宋体" w:hAnsi="宋体" w:cs="宋体" w:eastAsia="宋体" w:hint="default"/>
                <w:sz w:val="15"/>
                <w:szCs w:val="15"/>
              </w:rPr>
            </w:r>
          </w:p>
        </w:tc>
        <w:tc>
          <w:tcPr>
            <w:tcW w:w="1312" w:type="dxa"/>
            <w:tcBorders>
              <w:top w:val="nil" w:sz="6" w:space="0" w:color="auto"/>
              <w:left w:val="nil" w:sz="6" w:space="0" w:color="auto"/>
              <w:bottom w:val="single" w:sz="4" w:space="0" w:color="000000"/>
              <w:right w:val="nil" w:sz="6" w:space="0" w:color="auto"/>
            </w:tcBorders>
          </w:tcPr>
          <w:p>
            <w:pPr>
              <w:pStyle w:val="TableParagraph"/>
              <w:spacing w:line="165" w:lineRule="exact"/>
              <w:ind w:left="50" w:right="0"/>
              <w:jc w:val="center"/>
              <w:rPr>
                <w:rFonts w:ascii="宋体" w:hAnsi="宋体" w:cs="宋体" w:eastAsia="宋体" w:hint="default"/>
                <w:sz w:val="15"/>
                <w:szCs w:val="15"/>
              </w:rPr>
            </w:pPr>
            <w:r>
              <w:rPr>
                <w:rFonts w:ascii="宋体" w:hAnsi="宋体" w:cs="宋体" w:eastAsia="宋体" w:hint="default"/>
                <w:b/>
                <w:bCs/>
                <w:sz w:val="15"/>
                <w:szCs w:val="15"/>
              </w:rPr>
              <w:t>可供出售金融资产</w:t>
            </w:r>
            <w:r>
              <w:rPr>
                <w:rFonts w:ascii="宋体" w:hAnsi="宋体" w:cs="宋体" w:eastAsia="宋体" w:hint="default"/>
                <w:sz w:val="15"/>
                <w:szCs w:val="15"/>
              </w:rPr>
            </w:r>
          </w:p>
        </w:tc>
        <w:tc>
          <w:tcPr>
            <w:tcW w:w="1088" w:type="dxa"/>
            <w:tcBorders>
              <w:top w:val="nil" w:sz="6" w:space="0" w:color="auto"/>
              <w:left w:val="nil" w:sz="6" w:space="0" w:color="auto"/>
              <w:bottom w:val="single" w:sz="4" w:space="0" w:color="000000"/>
              <w:right w:val="nil" w:sz="6" w:space="0" w:color="auto"/>
            </w:tcBorders>
          </w:tcPr>
          <w:p>
            <w:pPr>
              <w:pStyle w:val="TableParagraph"/>
              <w:spacing w:line="165" w:lineRule="exact"/>
              <w:ind w:left="7"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r>
      <w:tr>
        <w:trPr>
          <w:trHeight w:val="394" w:hRule="exact"/>
        </w:trPr>
        <w:tc>
          <w:tcPr>
            <w:tcW w:w="1684"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901" w:type="dxa"/>
            <w:tcBorders>
              <w:top w:val="single" w:sz="4" w:space="0" w:color="000000"/>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nil" w:sz="6" w:space="0" w:color="auto"/>
              <w:right w:val="nil" w:sz="6" w:space="0" w:color="auto"/>
            </w:tcBorders>
          </w:tcPr>
          <w:p>
            <w:pPr/>
          </w:p>
        </w:tc>
        <w:tc>
          <w:tcPr>
            <w:tcW w:w="1336"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75"/>
              <w:jc w:val="right"/>
              <w:rPr>
                <w:rFonts w:ascii="Times New Roman" w:hAnsi="Times New Roman" w:cs="Times New Roman" w:eastAsia="Times New Roman" w:hint="default"/>
                <w:sz w:val="15"/>
                <w:szCs w:val="15"/>
              </w:rPr>
            </w:pPr>
            <w:r>
              <w:rPr>
                <w:rFonts w:ascii="Times New Roman"/>
                <w:spacing w:val="-1"/>
                <w:sz w:val="15"/>
              </w:rPr>
              <w:t>495,993,223.71</w:t>
            </w:r>
          </w:p>
        </w:tc>
        <w:tc>
          <w:tcPr>
            <w:tcW w:w="1312" w:type="dxa"/>
            <w:tcBorders>
              <w:top w:val="single" w:sz="4" w:space="0" w:color="000000"/>
              <w:left w:val="nil" w:sz="6" w:space="0" w:color="auto"/>
              <w:bottom w:val="nil" w:sz="6" w:space="0" w:color="auto"/>
              <w:right w:val="nil" w:sz="6" w:space="0" w:color="auto"/>
            </w:tcBorders>
          </w:tcPr>
          <w:p>
            <w:pPr/>
          </w:p>
        </w:tc>
        <w:tc>
          <w:tcPr>
            <w:tcW w:w="1088"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121"/>
              <w:jc w:val="right"/>
              <w:rPr>
                <w:rFonts w:ascii="Times New Roman" w:hAnsi="Times New Roman" w:cs="Times New Roman" w:eastAsia="Times New Roman" w:hint="default"/>
                <w:sz w:val="15"/>
                <w:szCs w:val="15"/>
              </w:rPr>
            </w:pPr>
            <w:r>
              <w:rPr>
                <w:rFonts w:ascii="Times New Roman"/>
                <w:spacing w:val="-1"/>
                <w:sz w:val="15"/>
              </w:rPr>
              <w:t>495,993,223.71</w:t>
            </w:r>
          </w:p>
        </w:tc>
      </w:tr>
      <w:tr>
        <w:trPr>
          <w:trHeight w:val="360" w:hRule="exact"/>
        </w:trPr>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1901"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5"/>
              <w:jc w:val="right"/>
              <w:rPr>
                <w:rFonts w:ascii="Times New Roman" w:hAnsi="Times New Roman" w:cs="Times New Roman" w:eastAsia="Times New Roman" w:hint="default"/>
                <w:sz w:val="15"/>
                <w:szCs w:val="15"/>
              </w:rPr>
            </w:pPr>
            <w:r>
              <w:rPr>
                <w:rFonts w:ascii="Times New Roman"/>
                <w:spacing w:val="-1"/>
                <w:sz w:val="15"/>
              </w:rPr>
              <w:t>63,325.00</w:t>
            </w:r>
          </w:p>
        </w:tc>
        <w:tc>
          <w:tcPr>
            <w:tcW w:w="131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19"/>
              <w:jc w:val="right"/>
              <w:rPr>
                <w:rFonts w:ascii="Times New Roman" w:hAnsi="Times New Roman" w:cs="Times New Roman" w:eastAsia="Times New Roman" w:hint="default"/>
                <w:sz w:val="15"/>
                <w:szCs w:val="15"/>
              </w:rPr>
            </w:pPr>
            <w:r>
              <w:rPr>
                <w:rFonts w:ascii="Times New Roman"/>
                <w:spacing w:val="-1"/>
                <w:sz w:val="15"/>
              </w:rPr>
              <w:t>63,325.00</w:t>
            </w:r>
          </w:p>
        </w:tc>
      </w:tr>
      <w:tr>
        <w:trPr>
          <w:trHeight w:val="360" w:hRule="exact"/>
        </w:trPr>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901"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5"/>
              <w:jc w:val="right"/>
              <w:rPr>
                <w:rFonts w:ascii="Times New Roman" w:hAnsi="Times New Roman" w:cs="Times New Roman" w:eastAsia="Times New Roman" w:hint="default"/>
                <w:sz w:val="15"/>
                <w:szCs w:val="15"/>
              </w:rPr>
            </w:pPr>
            <w:r>
              <w:rPr>
                <w:rFonts w:ascii="Times New Roman"/>
                <w:spacing w:val="-1"/>
                <w:sz w:val="15"/>
              </w:rPr>
              <w:t>63,798,728.94</w:t>
            </w:r>
          </w:p>
        </w:tc>
        <w:tc>
          <w:tcPr>
            <w:tcW w:w="131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19"/>
              <w:jc w:val="right"/>
              <w:rPr>
                <w:rFonts w:ascii="Times New Roman" w:hAnsi="Times New Roman" w:cs="Times New Roman" w:eastAsia="Times New Roman" w:hint="default"/>
                <w:sz w:val="15"/>
                <w:szCs w:val="15"/>
              </w:rPr>
            </w:pPr>
            <w:r>
              <w:rPr>
                <w:rFonts w:ascii="Times New Roman"/>
                <w:spacing w:val="-1"/>
                <w:sz w:val="15"/>
              </w:rPr>
              <w:t>63,798,728.94</w:t>
            </w:r>
          </w:p>
        </w:tc>
      </w:tr>
      <w:tr>
        <w:trPr>
          <w:trHeight w:val="360" w:hRule="exact"/>
        </w:trPr>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1901"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5"/>
              <w:jc w:val="right"/>
              <w:rPr>
                <w:rFonts w:ascii="Times New Roman" w:hAnsi="Times New Roman" w:cs="Times New Roman" w:eastAsia="Times New Roman" w:hint="default"/>
                <w:sz w:val="15"/>
                <w:szCs w:val="15"/>
              </w:rPr>
            </w:pPr>
            <w:r>
              <w:rPr>
                <w:rFonts w:ascii="Times New Roman"/>
                <w:spacing w:val="-1"/>
                <w:sz w:val="15"/>
              </w:rPr>
              <w:t>2,442,897.09</w:t>
            </w:r>
          </w:p>
        </w:tc>
        <w:tc>
          <w:tcPr>
            <w:tcW w:w="131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19"/>
              <w:jc w:val="right"/>
              <w:rPr>
                <w:rFonts w:ascii="Times New Roman" w:hAnsi="Times New Roman" w:cs="Times New Roman" w:eastAsia="Times New Roman" w:hint="default"/>
                <w:sz w:val="15"/>
                <w:szCs w:val="15"/>
              </w:rPr>
            </w:pPr>
            <w:r>
              <w:rPr>
                <w:rFonts w:ascii="Times New Roman"/>
                <w:spacing w:val="-1"/>
                <w:sz w:val="15"/>
              </w:rPr>
              <w:t>2,442,897.09</w:t>
            </w:r>
          </w:p>
        </w:tc>
      </w:tr>
      <w:tr>
        <w:trPr>
          <w:trHeight w:val="360" w:hRule="exact"/>
        </w:trPr>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901"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5"/>
              <w:jc w:val="right"/>
              <w:rPr>
                <w:rFonts w:ascii="Times New Roman" w:hAnsi="Times New Roman" w:cs="Times New Roman" w:eastAsia="Times New Roman" w:hint="default"/>
                <w:sz w:val="15"/>
                <w:szCs w:val="15"/>
              </w:rPr>
            </w:pPr>
            <w:r>
              <w:rPr>
                <w:rFonts w:ascii="Times New Roman"/>
                <w:spacing w:val="-1"/>
                <w:sz w:val="15"/>
              </w:rPr>
              <w:t>7,304,986.06</w:t>
            </w:r>
          </w:p>
        </w:tc>
        <w:tc>
          <w:tcPr>
            <w:tcW w:w="131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19"/>
              <w:jc w:val="right"/>
              <w:rPr>
                <w:rFonts w:ascii="Times New Roman" w:hAnsi="Times New Roman" w:cs="Times New Roman" w:eastAsia="Times New Roman" w:hint="default"/>
                <w:sz w:val="15"/>
                <w:szCs w:val="15"/>
              </w:rPr>
            </w:pPr>
            <w:r>
              <w:rPr>
                <w:rFonts w:ascii="Times New Roman"/>
                <w:spacing w:val="-1"/>
                <w:sz w:val="15"/>
              </w:rPr>
              <w:t>7,304,986.06</w:t>
            </w:r>
          </w:p>
        </w:tc>
      </w:tr>
      <w:tr>
        <w:trPr>
          <w:trHeight w:val="360" w:hRule="exact"/>
        </w:trPr>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5"/>
                <w:szCs w:val="15"/>
              </w:rPr>
            </w:pPr>
            <w:r>
              <w:rPr>
                <w:rFonts w:ascii="宋体" w:hAnsi="宋体" w:cs="宋体" w:eastAsia="宋体" w:hint="default"/>
                <w:sz w:val="15"/>
                <w:szCs w:val="15"/>
              </w:rPr>
              <w:t>一年内到期的非流动资产</w:t>
            </w:r>
          </w:p>
        </w:tc>
        <w:tc>
          <w:tcPr>
            <w:tcW w:w="1901"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47" w:right="0"/>
              <w:jc w:val="center"/>
              <w:rPr>
                <w:rFonts w:ascii="Times New Roman" w:hAnsi="Times New Roman" w:cs="Times New Roman" w:eastAsia="Times New Roman" w:hint="default"/>
                <w:sz w:val="15"/>
                <w:szCs w:val="15"/>
              </w:rPr>
            </w:pPr>
            <w:r>
              <w:rPr>
                <w:rFonts w:ascii="Times New Roman"/>
                <w:sz w:val="15"/>
              </w:rPr>
              <w:t>104,122,673.75</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21"/>
              <w:jc w:val="right"/>
              <w:rPr>
                <w:rFonts w:ascii="Times New Roman" w:hAnsi="Times New Roman" w:cs="Times New Roman" w:eastAsia="Times New Roman" w:hint="default"/>
                <w:sz w:val="15"/>
                <w:szCs w:val="15"/>
              </w:rPr>
            </w:pPr>
            <w:r>
              <w:rPr>
                <w:rFonts w:ascii="Times New Roman"/>
                <w:spacing w:val="-1"/>
                <w:sz w:val="15"/>
              </w:rPr>
              <w:t>104,122,673.75</w:t>
            </w:r>
          </w:p>
        </w:tc>
      </w:tr>
      <w:tr>
        <w:trPr>
          <w:trHeight w:val="360" w:hRule="exact"/>
        </w:trPr>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5"/>
                <w:szCs w:val="15"/>
              </w:rPr>
            </w:pPr>
            <w:r>
              <w:rPr>
                <w:rFonts w:ascii="宋体" w:hAnsi="宋体" w:cs="宋体" w:eastAsia="宋体" w:hint="default"/>
                <w:sz w:val="15"/>
                <w:szCs w:val="15"/>
              </w:rPr>
              <w:t>其他流动资产</w:t>
            </w:r>
          </w:p>
        </w:tc>
        <w:tc>
          <w:tcPr>
            <w:tcW w:w="1901"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5"/>
              <w:jc w:val="right"/>
              <w:rPr>
                <w:rFonts w:ascii="Times New Roman" w:hAnsi="Times New Roman" w:cs="Times New Roman" w:eastAsia="Times New Roman" w:hint="default"/>
                <w:sz w:val="15"/>
                <w:szCs w:val="15"/>
              </w:rPr>
            </w:pPr>
            <w:r>
              <w:rPr>
                <w:rFonts w:ascii="Times New Roman"/>
                <w:spacing w:val="-1"/>
                <w:sz w:val="15"/>
              </w:rPr>
              <w:t>104,245,457.61</w:t>
            </w:r>
          </w:p>
        </w:tc>
        <w:tc>
          <w:tcPr>
            <w:tcW w:w="1312"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21"/>
              <w:jc w:val="right"/>
              <w:rPr>
                <w:rFonts w:ascii="Times New Roman" w:hAnsi="Times New Roman" w:cs="Times New Roman" w:eastAsia="Times New Roman" w:hint="default"/>
                <w:sz w:val="15"/>
                <w:szCs w:val="15"/>
              </w:rPr>
            </w:pPr>
            <w:r>
              <w:rPr>
                <w:rFonts w:ascii="Times New Roman"/>
                <w:spacing w:val="-1"/>
                <w:sz w:val="15"/>
              </w:rPr>
              <w:t>104,245,457.61</w:t>
            </w:r>
          </w:p>
        </w:tc>
      </w:tr>
      <w:tr>
        <w:trPr>
          <w:trHeight w:val="360" w:hRule="exact"/>
        </w:trPr>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1901"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24" w:right="0"/>
              <w:jc w:val="center"/>
              <w:rPr>
                <w:rFonts w:ascii="Times New Roman" w:hAnsi="Times New Roman" w:cs="Times New Roman" w:eastAsia="Times New Roman" w:hint="default"/>
                <w:sz w:val="15"/>
                <w:szCs w:val="15"/>
              </w:rPr>
            </w:pPr>
            <w:r>
              <w:rPr>
                <w:rFonts w:ascii="Times New Roman"/>
                <w:sz w:val="15"/>
              </w:rPr>
              <w:t>27,347,000.00</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19"/>
              <w:jc w:val="right"/>
              <w:rPr>
                <w:rFonts w:ascii="Times New Roman" w:hAnsi="Times New Roman" w:cs="Times New Roman" w:eastAsia="Times New Roman" w:hint="default"/>
                <w:sz w:val="15"/>
                <w:szCs w:val="15"/>
              </w:rPr>
            </w:pPr>
            <w:r>
              <w:rPr>
                <w:rFonts w:ascii="Times New Roman"/>
                <w:spacing w:val="-1"/>
                <w:sz w:val="15"/>
              </w:rPr>
              <w:t>27,347,000.00</w:t>
            </w:r>
          </w:p>
        </w:tc>
      </w:tr>
      <w:tr>
        <w:trPr>
          <w:trHeight w:val="260" w:hRule="exact"/>
        </w:trPr>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5"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901"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673,848,618.41</w:t>
            </w:r>
            <w:r>
              <w:rPr>
                <w:rFonts w:ascii="Times New Roman"/>
                <w:spacing w:val="-1"/>
                <w:sz w:val="15"/>
              </w:rPr>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47"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131,469,673.75</w:t>
            </w:r>
            <w:r>
              <w:rPr>
                <w:rFonts w:ascii="Times New Roman"/>
                <w:sz w:val="15"/>
              </w:rPr>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21"/>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805,318,292.16</w:t>
            </w:r>
            <w:r>
              <w:rPr>
                <w:rFonts w:ascii="Times New Roman"/>
                <w:spacing w:val="-1"/>
                <w:sz w:val="15"/>
              </w:rPr>
            </w:r>
          </w:p>
        </w:tc>
      </w:tr>
    </w:tbl>
    <w:p>
      <w:pPr>
        <w:spacing w:line="240" w:lineRule="auto" w:before="6"/>
        <w:rPr>
          <w:rFonts w:ascii="宋体" w:hAnsi="宋体" w:cs="宋体" w:eastAsia="宋体" w:hint="default"/>
          <w:sz w:val="29"/>
          <w:szCs w:val="29"/>
        </w:rPr>
      </w:pPr>
    </w:p>
    <w:p>
      <w:pPr>
        <w:pStyle w:val="BodyText"/>
        <w:tabs>
          <w:tab w:pos="1380" w:val="left" w:leader="none"/>
        </w:tabs>
        <w:spacing w:line="240" w:lineRule="auto" w:before="44"/>
        <w:ind w:left="660" w:right="2166"/>
        <w:jc w:val="left"/>
      </w:pPr>
      <w:r>
        <w:rPr/>
        <w:t>（</w:t>
      </w:r>
      <w:r>
        <w:rPr>
          <w:rFonts w:ascii="Times New Roman" w:hAnsi="Times New Roman" w:cs="Times New Roman" w:eastAsia="Times New Roman" w:hint="default"/>
        </w:rPr>
        <w:t>3</w:t>
      </w:r>
      <w:r>
        <w:rPr/>
        <w:t>）</w:t>
        <w:tab/>
        <w:t>资产负债表日的各类金融负债的账面价值如下：</w:t>
      </w: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234"/>
        <w:gridCol w:w="3125"/>
        <w:gridCol w:w="1782"/>
        <w:gridCol w:w="1440"/>
      </w:tblGrid>
      <w:tr>
        <w:trPr>
          <w:trHeight w:val="290" w:hRule="exact"/>
        </w:trPr>
        <w:tc>
          <w:tcPr>
            <w:tcW w:w="2234"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180" w:lineRule="exact"/>
              <w:ind w:right="295"/>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300"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62"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3125" w:type="dxa"/>
            <w:vMerge w:val="restart"/>
            <w:tcBorders>
              <w:top w:val="nil" w:sz="6" w:space="0" w:color="auto"/>
              <w:left w:val="nil" w:sz="6" w:space="0" w:color="auto"/>
              <w:right w:val="nil" w:sz="6" w:space="0" w:color="auto"/>
            </w:tcBorders>
          </w:tcPr>
          <w:p>
            <w:pPr>
              <w:pStyle w:val="TableParagraph"/>
              <w:spacing w:line="240" w:lineRule="auto" w:before="55"/>
              <w:ind w:left="199" w:right="0"/>
              <w:jc w:val="center"/>
              <w:rPr>
                <w:rFonts w:ascii="宋体" w:hAnsi="宋体" w:cs="宋体" w:eastAsia="宋体" w:hint="default"/>
                <w:sz w:val="18"/>
                <w:szCs w:val="18"/>
              </w:rPr>
            </w:pPr>
            <w:r>
              <w:rPr>
                <w:rFonts w:ascii="宋体" w:hAnsi="宋体" w:cs="宋体" w:eastAsia="宋体" w:hint="default"/>
                <w:b/>
                <w:bCs/>
                <w:sz w:val="18"/>
                <w:szCs w:val="18"/>
              </w:rPr>
              <w:t>以公允价值计量且其变动计入</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01" w:right="0"/>
              <w:jc w:val="center"/>
              <w:rPr>
                <w:rFonts w:ascii="宋体" w:hAnsi="宋体" w:cs="宋体" w:eastAsia="宋体" w:hint="default"/>
                <w:sz w:val="18"/>
                <w:szCs w:val="18"/>
              </w:rPr>
            </w:pPr>
            <w:r>
              <w:rPr>
                <w:rFonts w:ascii="宋体" w:hAnsi="宋体" w:cs="宋体" w:eastAsia="宋体" w:hint="default"/>
                <w:b/>
                <w:bCs/>
                <w:sz w:val="18"/>
                <w:szCs w:val="18"/>
              </w:rPr>
              <w:t>当期损益的金融负债</w:t>
            </w:r>
            <w:r>
              <w:rPr>
                <w:rFonts w:ascii="宋体" w:hAnsi="宋体" w:cs="宋体" w:eastAsia="宋体" w:hint="default"/>
                <w:sz w:val="18"/>
                <w:szCs w:val="18"/>
              </w:rPr>
            </w:r>
          </w:p>
        </w:tc>
        <w:tc>
          <w:tcPr>
            <w:tcW w:w="178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483" w:hRule="exact"/>
        </w:trPr>
        <w:tc>
          <w:tcPr>
            <w:tcW w:w="2234" w:type="dxa"/>
            <w:tcBorders>
              <w:top w:val="nil" w:sz="6" w:space="0" w:color="auto"/>
              <w:left w:val="nil" w:sz="6" w:space="0" w:color="auto"/>
              <w:bottom w:val="single" w:sz="4" w:space="0" w:color="000000"/>
              <w:right w:val="nil" w:sz="6" w:space="0" w:color="auto"/>
            </w:tcBorders>
          </w:tcPr>
          <w:p>
            <w:pPr/>
          </w:p>
        </w:tc>
        <w:tc>
          <w:tcPr>
            <w:tcW w:w="3125" w:type="dxa"/>
            <w:vMerge/>
            <w:tcBorders>
              <w:left w:val="nil" w:sz="6" w:space="0" w:color="auto"/>
              <w:bottom w:val="single" w:sz="4" w:space="0" w:color="000000"/>
              <w:right w:val="nil" w:sz="6" w:space="0" w:color="auto"/>
            </w:tcBorders>
          </w:tcPr>
          <w:p>
            <w:pPr/>
          </w:p>
        </w:tc>
        <w:tc>
          <w:tcPr>
            <w:tcW w:w="1782" w:type="dxa"/>
            <w:tcBorders>
              <w:top w:val="nil" w:sz="6" w:space="0" w:color="auto"/>
              <w:left w:val="nil" w:sz="6" w:space="0" w:color="auto"/>
              <w:bottom w:val="single" w:sz="4" w:space="0" w:color="000000"/>
              <w:right w:val="nil" w:sz="6" w:space="0" w:color="auto"/>
            </w:tcBorders>
          </w:tcPr>
          <w:p>
            <w:pPr>
              <w:pStyle w:val="TableParagraph"/>
              <w:spacing w:line="190" w:lineRule="exact"/>
              <w:ind w:left="288"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1440" w:type="dxa"/>
            <w:tcBorders>
              <w:top w:val="nil" w:sz="6" w:space="0" w:color="auto"/>
              <w:left w:val="nil" w:sz="6" w:space="0" w:color="auto"/>
              <w:bottom w:val="single" w:sz="4" w:space="0" w:color="000000"/>
              <w:right w:val="nil" w:sz="6" w:space="0" w:color="auto"/>
            </w:tcBorders>
          </w:tcPr>
          <w:p>
            <w:pPr>
              <w:pStyle w:val="TableParagraph"/>
              <w:spacing w:line="190" w:lineRule="exact"/>
              <w:ind w:left="46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31" w:hRule="exact"/>
        </w:trPr>
        <w:tc>
          <w:tcPr>
            <w:tcW w:w="223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25" w:type="dxa"/>
            <w:tcBorders>
              <w:top w:val="single" w:sz="4" w:space="0" w:color="000000"/>
              <w:left w:val="nil" w:sz="6" w:space="0" w:color="auto"/>
              <w:bottom w:val="nil" w:sz="6" w:space="0" w:color="auto"/>
              <w:right w:val="nil" w:sz="6" w:space="0" w:color="auto"/>
            </w:tcBorders>
          </w:tcPr>
          <w:p>
            <w:pPr/>
          </w:p>
        </w:tc>
        <w:tc>
          <w:tcPr>
            <w:tcW w:w="178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33"/>
              <w:jc w:val="right"/>
              <w:rPr>
                <w:rFonts w:ascii="Times New Roman" w:hAnsi="Times New Roman" w:cs="Times New Roman" w:eastAsia="Times New Roman" w:hint="default"/>
                <w:sz w:val="18"/>
                <w:szCs w:val="18"/>
              </w:rPr>
            </w:pPr>
            <w:r>
              <w:rPr>
                <w:rFonts w:ascii="Times New Roman"/>
                <w:spacing w:val="-1"/>
                <w:sz w:val="18"/>
              </w:rPr>
              <w:t>108,236,508.86</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1"/>
              <w:jc w:val="right"/>
              <w:rPr>
                <w:rFonts w:ascii="Times New Roman" w:hAnsi="Times New Roman" w:cs="Times New Roman" w:eastAsia="Times New Roman" w:hint="default"/>
                <w:sz w:val="18"/>
                <w:szCs w:val="18"/>
              </w:rPr>
            </w:pPr>
            <w:r>
              <w:rPr>
                <w:rFonts w:ascii="Times New Roman"/>
                <w:spacing w:val="-1"/>
                <w:sz w:val="18"/>
              </w:rPr>
              <w:t>108,236,508.86</w:t>
            </w:r>
          </w:p>
        </w:tc>
      </w:tr>
      <w:tr>
        <w:trPr>
          <w:trHeight w:val="382"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25"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3"/>
              <w:jc w:val="right"/>
              <w:rPr>
                <w:rFonts w:ascii="Times New Roman" w:hAnsi="Times New Roman" w:cs="Times New Roman" w:eastAsia="Times New Roman" w:hint="default"/>
                <w:sz w:val="18"/>
                <w:szCs w:val="18"/>
              </w:rPr>
            </w:pPr>
            <w:r>
              <w:rPr>
                <w:rFonts w:ascii="Times New Roman"/>
                <w:spacing w:val="-1"/>
                <w:sz w:val="18"/>
              </w:rPr>
              <w:t>8,775,874.01</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1"/>
              <w:jc w:val="right"/>
              <w:rPr>
                <w:rFonts w:ascii="Times New Roman" w:hAnsi="Times New Roman" w:cs="Times New Roman" w:eastAsia="Times New Roman" w:hint="default"/>
                <w:sz w:val="18"/>
                <w:szCs w:val="18"/>
              </w:rPr>
            </w:pPr>
            <w:r>
              <w:rPr>
                <w:rFonts w:ascii="Times New Roman"/>
                <w:spacing w:val="-1"/>
                <w:sz w:val="18"/>
              </w:rPr>
              <w:t>8,775,874.01</w:t>
            </w:r>
          </w:p>
        </w:tc>
      </w:tr>
      <w:tr>
        <w:trPr>
          <w:trHeight w:val="305" w:hRule="exact"/>
        </w:trPr>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7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25"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117,012,382.87</w:t>
            </w:r>
            <w:r>
              <w:rPr>
                <w:rFonts w:ascii="Times New Roman"/>
                <w:spacing w:val="-1"/>
                <w:sz w:val="18"/>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117,012,382.87</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600" w:right="2166"/>
        <w:jc w:val="left"/>
      </w:pPr>
      <w:r>
        <w:rPr/>
        <w:t>接上表：</w:t>
      </w:r>
    </w:p>
    <w:p>
      <w:pPr>
        <w:spacing w:line="240" w:lineRule="auto" w:before="9"/>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2198"/>
        <w:gridCol w:w="3390"/>
        <w:gridCol w:w="1545"/>
        <w:gridCol w:w="1447"/>
      </w:tblGrid>
      <w:tr>
        <w:trPr>
          <w:trHeight w:val="280" w:hRule="exact"/>
        </w:trPr>
        <w:tc>
          <w:tcPr>
            <w:tcW w:w="2198" w:type="dxa"/>
            <w:tcBorders>
              <w:top w:val="nil" w:sz="6" w:space="0" w:color="auto"/>
              <w:left w:val="nil" w:sz="6" w:space="0" w:color="auto"/>
              <w:bottom w:val="nil" w:sz="6" w:space="0" w:color="auto"/>
              <w:right w:val="nil" w:sz="6" w:space="0" w:color="auto"/>
            </w:tcBorders>
          </w:tcPr>
          <w:p>
            <w:pPr/>
          </w:p>
        </w:tc>
        <w:tc>
          <w:tcPr>
            <w:tcW w:w="3390" w:type="dxa"/>
            <w:tcBorders>
              <w:top w:val="nil" w:sz="6" w:space="0" w:color="auto"/>
              <w:left w:val="nil" w:sz="6" w:space="0" w:color="auto"/>
              <w:bottom w:val="nil" w:sz="6" w:space="0" w:color="auto"/>
              <w:right w:val="nil" w:sz="6" w:space="0" w:color="auto"/>
            </w:tcBorders>
          </w:tcPr>
          <w:p>
            <w:pPr>
              <w:pStyle w:val="TableParagraph"/>
              <w:spacing w:line="180" w:lineRule="exact"/>
              <w:ind w:left="221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4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r>
      <w:tr>
        <w:trPr>
          <w:trHeight w:val="290" w:hRule="exact"/>
        </w:trPr>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31"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3390" w:type="dxa"/>
            <w:vMerge w:val="restart"/>
            <w:tcBorders>
              <w:top w:val="nil" w:sz="6" w:space="0" w:color="auto"/>
              <w:left w:val="nil" w:sz="6" w:space="0" w:color="auto"/>
              <w:right w:val="nil" w:sz="6" w:space="0" w:color="auto"/>
            </w:tcBorders>
          </w:tcPr>
          <w:p>
            <w:pPr>
              <w:pStyle w:val="TableParagraph"/>
              <w:spacing w:line="364" w:lineRule="auto" w:before="68"/>
              <w:ind w:left="1284" w:right="115" w:hanging="903"/>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以公允价值计量且其变动计入当期损</w:t>
            </w:r>
            <w:r>
              <w:rPr>
                <w:rFonts w:ascii="宋体" w:hAnsi="宋体" w:cs="宋体" w:eastAsia="宋体" w:hint="default"/>
                <w:b/>
                <w:bCs/>
                <w:w w:val="99"/>
                <w:sz w:val="18"/>
                <w:szCs w:val="18"/>
              </w:rPr>
              <w:t> </w:t>
            </w:r>
            <w:r>
              <w:rPr>
                <w:rFonts w:ascii="宋体" w:hAnsi="宋体" w:cs="宋体" w:eastAsia="宋体" w:hint="default"/>
                <w:b/>
                <w:bCs/>
                <w:sz w:val="18"/>
                <w:szCs w:val="18"/>
              </w:rPr>
              <w:t>益的金融负债</w:t>
            </w:r>
            <w:r>
              <w:rPr>
                <w:rFonts w:ascii="宋体" w:hAnsi="宋体" w:cs="宋体" w:eastAsia="宋体" w:hint="default"/>
                <w:sz w:val="18"/>
                <w:szCs w:val="18"/>
              </w:rPr>
            </w:r>
          </w:p>
        </w:tc>
        <w:tc>
          <w:tcPr>
            <w:tcW w:w="154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r>
      <w:tr>
        <w:trPr>
          <w:trHeight w:val="463" w:hRule="exact"/>
        </w:trPr>
        <w:tc>
          <w:tcPr>
            <w:tcW w:w="2198" w:type="dxa"/>
            <w:tcBorders>
              <w:top w:val="nil" w:sz="6" w:space="0" w:color="auto"/>
              <w:left w:val="nil" w:sz="6" w:space="0" w:color="auto"/>
              <w:bottom w:val="single" w:sz="4" w:space="0" w:color="000000"/>
              <w:right w:val="nil" w:sz="6" w:space="0" w:color="auto"/>
            </w:tcBorders>
          </w:tcPr>
          <w:p>
            <w:pPr/>
          </w:p>
        </w:tc>
        <w:tc>
          <w:tcPr>
            <w:tcW w:w="3390" w:type="dxa"/>
            <w:vMerge/>
            <w:tcBorders>
              <w:left w:val="nil" w:sz="6" w:space="0" w:color="auto"/>
              <w:bottom w:val="single" w:sz="4" w:space="0" w:color="000000"/>
              <w:right w:val="nil" w:sz="6" w:space="0" w:color="auto"/>
            </w:tcBorders>
          </w:tcPr>
          <w:p>
            <w:pPr/>
          </w:p>
        </w:tc>
        <w:tc>
          <w:tcPr>
            <w:tcW w:w="1545" w:type="dxa"/>
            <w:tcBorders>
              <w:top w:val="nil" w:sz="6" w:space="0" w:color="auto"/>
              <w:left w:val="nil" w:sz="6" w:space="0" w:color="auto"/>
              <w:bottom w:val="single" w:sz="4" w:space="0" w:color="000000"/>
              <w:right w:val="nil" w:sz="6" w:space="0" w:color="auto"/>
            </w:tcBorders>
          </w:tcPr>
          <w:p>
            <w:pPr>
              <w:pStyle w:val="TableParagraph"/>
              <w:spacing w:line="191" w:lineRule="exact"/>
              <w:ind w:left="117"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1447" w:type="dxa"/>
            <w:tcBorders>
              <w:top w:val="nil" w:sz="6" w:space="0" w:color="auto"/>
              <w:left w:val="nil" w:sz="6" w:space="0" w:color="auto"/>
              <w:bottom w:val="single" w:sz="4" w:space="0" w:color="000000"/>
              <w:right w:val="nil" w:sz="6" w:space="0" w:color="auto"/>
            </w:tcBorders>
          </w:tcPr>
          <w:p>
            <w:pPr>
              <w:pStyle w:val="TableParagraph"/>
              <w:spacing w:line="191" w:lineRule="exact"/>
              <w:ind w:left="47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33" w:hRule="exact"/>
        </w:trPr>
        <w:tc>
          <w:tcPr>
            <w:tcW w:w="219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90" w:type="dxa"/>
            <w:tcBorders>
              <w:top w:val="single" w:sz="4" w:space="0" w:color="000000"/>
              <w:left w:val="nil" w:sz="6" w:space="0" w:color="auto"/>
              <w:bottom w:val="nil" w:sz="6" w:space="0" w:color="auto"/>
              <w:right w:val="nil" w:sz="6" w:space="0" w:color="auto"/>
            </w:tcBorders>
          </w:tcPr>
          <w:p>
            <w:pPr/>
          </w:p>
        </w:tc>
        <w:tc>
          <w:tcPr>
            <w:tcW w:w="1545"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226"/>
              <w:jc w:val="right"/>
              <w:rPr>
                <w:rFonts w:ascii="Times New Roman" w:hAnsi="Times New Roman" w:cs="Times New Roman" w:eastAsia="Times New Roman" w:hint="default"/>
                <w:sz w:val="18"/>
                <w:szCs w:val="18"/>
              </w:rPr>
            </w:pPr>
            <w:r>
              <w:rPr>
                <w:rFonts w:ascii="Times New Roman"/>
                <w:spacing w:val="-1"/>
                <w:sz w:val="18"/>
              </w:rPr>
              <w:t>95,795,411.64</w:t>
            </w: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90"/>
              <w:jc w:val="right"/>
              <w:rPr>
                <w:rFonts w:ascii="Times New Roman" w:hAnsi="Times New Roman" w:cs="Times New Roman" w:eastAsia="Times New Roman" w:hint="default"/>
                <w:sz w:val="18"/>
                <w:szCs w:val="18"/>
              </w:rPr>
            </w:pPr>
            <w:r>
              <w:rPr>
                <w:rFonts w:ascii="Times New Roman"/>
                <w:spacing w:val="-1"/>
                <w:sz w:val="18"/>
              </w:rPr>
              <w:t>95,795,411.64</w:t>
            </w:r>
          </w:p>
        </w:tc>
      </w:tr>
      <w:tr>
        <w:trPr>
          <w:trHeight w:val="400" w:hRule="exact"/>
        </w:trPr>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90"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6"/>
              <w:jc w:val="right"/>
              <w:rPr>
                <w:rFonts w:ascii="Times New Roman" w:hAnsi="Times New Roman" w:cs="Times New Roman" w:eastAsia="Times New Roman" w:hint="default"/>
                <w:sz w:val="18"/>
                <w:szCs w:val="18"/>
              </w:rPr>
            </w:pPr>
            <w:r>
              <w:rPr>
                <w:rFonts w:ascii="Times New Roman"/>
                <w:spacing w:val="-1"/>
                <w:sz w:val="18"/>
              </w:rPr>
              <w:t>135,878,885.85</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135,878,885.85</w:t>
            </w:r>
          </w:p>
        </w:tc>
      </w:tr>
      <w:tr>
        <w:trPr>
          <w:trHeight w:val="295" w:hRule="exact"/>
        </w:trPr>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90"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231,674,297.49</w:t>
            </w:r>
            <w:r>
              <w:rPr>
                <w:rFonts w:ascii="Times New Roman"/>
                <w:spacing w:val="-1"/>
                <w:sz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231,674,297.49</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600" w:right="2166"/>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与金融工具相关的主要风险</w:t>
      </w:r>
    </w:p>
    <w:p>
      <w:pPr>
        <w:pStyle w:val="BodyText"/>
        <w:spacing w:line="500" w:lineRule="atLeast" w:before="16"/>
        <w:ind w:left="600" w:right="127"/>
        <w:jc w:val="left"/>
      </w:pPr>
      <w:r>
        <w:rPr/>
        <w:t>（</w:t>
      </w:r>
      <w:r>
        <w:rPr>
          <w:rFonts w:ascii="Times New Roman" w:hAnsi="Times New Roman" w:cs="Times New Roman" w:eastAsia="Times New Roman" w:hint="default"/>
        </w:rPr>
        <w:t>1</w:t>
      </w:r>
      <w:r>
        <w:rPr/>
        <w:t>）信用风险 本公司仅与经认可的、信誉良好的第三方进行交易。按照本公司的政策，需对所有要求采用信用方式</w:t>
      </w:r>
    </w:p>
    <w:p>
      <w:pPr>
        <w:pStyle w:val="BodyText"/>
        <w:spacing w:line="367" w:lineRule="auto" w:before="124"/>
        <w:ind w:left="240" w:right="127"/>
        <w:jc w:val="left"/>
      </w:pPr>
      <w:r>
        <w:rPr/>
        <w:t>进行交易的客户进行信用审核。另外，本公司对应收账款余额进行持续监控，以确保本公司不致面临重大</w:t>
      </w:r>
      <w:r>
        <w:rPr>
          <w:spacing w:val="-73"/>
        </w:rPr>
        <w:t> </w:t>
      </w:r>
      <w:r>
        <w:rPr>
          <w:spacing w:val="-73"/>
        </w:rPr>
      </w:r>
      <w:r>
        <w:rPr/>
        <w:t>坏账风险。</w:t>
      </w:r>
    </w:p>
    <w:p>
      <w:pPr>
        <w:spacing w:line="240" w:lineRule="auto" w:before="2"/>
        <w:rPr>
          <w:rFonts w:ascii="宋体" w:hAnsi="宋体" w:cs="宋体" w:eastAsia="宋体" w:hint="default"/>
          <w:sz w:val="14"/>
          <w:szCs w:val="14"/>
        </w:rPr>
      </w:pPr>
    </w:p>
    <w:p>
      <w:pPr>
        <w:pStyle w:val="BodyText"/>
        <w:spacing w:line="367" w:lineRule="auto"/>
        <w:ind w:left="240" w:right="127" w:firstLine="359"/>
        <w:jc w:val="left"/>
      </w:pPr>
      <w:r>
        <w:rPr/>
        <w:t>本公司其他金融资产包括货币资金、一年内到期的非流动资产、可供出售的金融资产、其他应收款、 其他流动资产及某些衍生工具，这些金融资产的信用风险源自交易对手违约，最大风险敞口等于这些工具</w:t>
      </w:r>
    </w:p>
    <w:p>
      <w:pPr>
        <w:spacing w:after="0" w:line="367" w:lineRule="auto"/>
        <w:jc w:val="left"/>
        <w:sectPr>
          <w:pgSz w:w="11910" w:h="16840"/>
          <w:pgMar w:header="0" w:footer="979" w:top="1460" w:bottom="1160" w:left="1560" w:right="1560"/>
        </w:sectPr>
      </w:pPr>
    </w:p>
    <w:p>
      <w:pPr>
        <w:pStyle w:val="BodyText"/>
        <w:spacing w:line="240" w:lineRule="auto" w:before="19"/>
        <w:ind w:right="0"/>
        <w:jc w:val="left"/>
      </w:pPr>
      <w:r>
        <w:rPr/>
        <w:t>的账面金额。</w:t>
      </w:r>
    </w:p>
    <w:p>
      <w:pPr>
        <w:spacing w:line="240" w:lineRule="auto" w:before="6"/>
        <w:rPr>
          <w:rFonts w:ascii="宋体" w:hAnsi="宋体" w:cs="宋体" w:eastAsia="宋体" w:hint="default"/>
          <w:sz w:val="21"/>
          <w:szCs w:val="21"/>
        </w:rPr>
      </w:pPr>
    </w:p>
    <w:p>
      <w:pPr>
        <w:pStyle w:val="BodyText"/>
        <w:spacing w:line="367" w:lineRule="auto"/>
        <w:ind w:right="201" w:firstLine="359"/>
        <w:jc w:val="both"/>
      </w:pPr>
      <w:r>
        <w:rPr/>
        <w:t>由于本公司仅与经认可的且信誉良好的第三方进行交易，所以无需担保物。信用风险集中按照客户类 别进行管理。本公司的应收账款客户群主要集中于图书出版发行行业和互联网电子商务，图书出版行业客</w:t>
      </w:r>
      <w:r>
        <w:rPr>
          <w:spacing w:val="-73"/>
        </w:rPr>
        <w:t> </w:t>
      </w:r>
      <w:r>
        <w:rPr>
          <w:spacing w:val="-73"/>
        </w:rPr>
      </w:r>
      <w:r>
        <w:rPr/>
        <w:t>户分别为国有新华书店系统和民营图书渠道；国有新华店系统客户已与公司合作多年，付款及时，信誉良</w:t>
      </w:r>
      <w:r>
        <w:rPr>
          <w:spacing w:val="-73"/>
        </w:rPr>
        <w:t> </w:t>
      </w:r>
      <w:r>
        <w:rPr>
          <w:spacing w:val="-73"/>
        </w:rPr>
      </w:r>
      <w:r>
        <w:rPr/>
        <w:t>好，应收款项不存在重大风险；民营图书渠道客户较分散，单个客户应收款项金额较少，这些客户已与公</w:t>
      </w:r>
      <w:r>
        <w:rPr>
          <w:spacing w:val="-73"/>
        </w:rPr>
        <w:t> </w:t>
      </w:r>
      <w:r>
        <w:rPr>
          <w:spacing w:val="-73"/>
        </w:rPr>
      </w:r>
      <w:r>
        <w:rPr/>
        <w:t>司合作多年，信誉较好，但由于现在传统图书出版行业受互联网新媒体的冲击，市场存在重大不确定性，</w:t>
      </w:r>
      <w:r>
        <w:rPr>
          <w:spacing w:val="-71"/>
        </w:rPr>
        <w:t> </w:t>
      </w:r>
      <w:r>
        <w:rPr>
          <w:spacing w:val="-71"/>
        </w:rPr>
      </w:r>
      <w:r>
        <w:rPr/>
        <w:t>可能存在一定的信用违约风险。</w:t>
      </w:r>
    </w:p>
    <w:p>
      <w:pPr>
        <w:spacing w:line="240" w:lineRule="auto" w:before="2"/>
        <w:rPr>
          <w:rFonts w:ascii="宋体" w:hAnsi="宋体" w:cs="宋体" w:eastAsia="宋体" w:hint="default"/>
          <w:sz w:val="14"/>
          <w:szCs w:val="14"/>
        </w:rPr>
      </w:pPr>
    </w:p>
    <w:p>
      <w:pPr>
        <w:pStyle w:val="BodyText"/>
        <w:spacing w:line="367" w:lineRule="auto"/>
        <w:ind w:right="0" w:firstLine="359"/>
        <w:jc w:val="left"/>
      </w:pPr>
      <w:r>
        <w:rPr/>
        <w:t>本公司子公司北京神奇时代网络有限公司经营移动网游戏业务，客户均从事互联网电子商务，大部分 </w:t>
      </w:r>
      <w:r>
        <w:rPr>
          <w:spacing w:val="-2"/>
        </w:rPr>
        <w:t>客户已与公司合作多年，付款及时，财务实力较强，且应收款项结算周期短，能及时撑控客户的信用风险，</w:t>
      </w:r>
      <w:r>
        <w:rPr>
          <w:spacing w:val="-63"/>
        </w:rPr>
        <w:t> </w:t>
      </w:r>
      <w:r>
        <w:rPr>
          <w:spacing w:val="-63"/>
        </w:rPr>
      </w:r>
      <w:r>
        <w:rPr/>
        <w:t>应收款项不存在重大信用风险。本公司对应收账款余额未持有任何担保物或其他信用增级。</w:t>
      </w:r>
    </w:p>
    <w:p>
      <w:pPr>
        <w:spacing w:line="240" w:lineRule="auto" w:before="2"/>
        <w:rPr>
          <w:rFonts w:ascii="宋体" w:hAnsi="宋体" w:cs="宋体" w:eastAsia="宋体" w:hint="default"/>
          <w:sz w:val="14"/>
          <w:szCs w:val="14"/>
        </w:rPr>
      </w:pPr>
    </w:p>
    <w:p>
      <w:pPr>
        <w:pStyle w:val="BodyText"/>
        <w:spacing w:line="240" w:lineRule="auto"/>
        <w:ind w:left="480" w:right="0"/>
        <w:jc w:val="left"/>
      </w:pPr>
      <w:r>
        <w:rPr/>
        <w:t>（</w:t>
      </w:r>
      <w:r>
        <w:rPr>
          <w:rFonts w:ascii="Times New Roman" w:hAnsi="Times New Roman" w:cs="Times New Roman" w:eastAsia="Times New Roman" w:hint="default"/>
        </w:rPr>
        <w:t>2</w:t>
      </w:r>
      <w:r>
        <w:rPr/>
        <w:t>）流动风险</w:t>
      </w:r>
    </w:p>
    <w:p>
      <w:pPr>
        <w:spacing w:line="240" w:lineRule="auto" w:before="5"/>
        <w:rPr>
          <w:rFonts w:ascii="宋体" w:hAnsi="宋体" w:cs="宋体" w:eastAsia="宋体" w:hint="default"/>
          <w:sz w:val="20"/>
          <w:szCs w:val="20"/>
        </w:rPr>
      </w:pPr>
    </w:p>
    <w:p>
      <w:pPr>
        <w:pStyle w:val="BodyText"/>
        <w:spacing w:line="364" w:lineRule="auto"/>
        <w:ind w:right="200" w:firstLine="359"/>
        <w:jc w:val="both"/>
      </w:pPr>
      <w:r>
        <w:rPr/>
        <w:t>本公司采用循环流动性计划工具管理资金短缺风险。该工具既考虑其金融工具的到期日，也考虑本公 司运营产生的预计现金流量，管理流动风险时，本公司保持管理层认为充分的现金及现金等价物并对其进</w:t>
      </w:r>
      <w:r>
        <w:rPr>
          <w:spacing w:val="-70"/>
        </w:rPr>
        <w:t> </w:t>
      </w:r>
      <w:r>
        <w:rPr>
          <w:spacing w:val="-70"/>
        </w:rPr>
      </w:r>
      <w:r>
        <w:rPr/>
        <w:t>行监控，以满足本公司经营需要，并降低现金流量波动的影响。</w:t>
      </w:r>
    </w:p>
    <w:p>
      <w:pPr>
        <w:pStyle w:val="BodyText"/>
        <w:spacing w:line="240" w:lineRule="auto" w:before="83"/>
        <w:ind w:left="480" w:right="0"/>
        <w:jc w:val="left"/>
      </w:pPr>
      <w:r>
        <w:rPr/>
        <w:t>（</w:t>
      </w:r>
      <w:r>
        <w:rPr>
          <w:rFonts w:ascii="Times New Roman" w:hAnsi="Times New Roman" w:cs="Times New Roman" w:eastAsia="Times New Roman" w:hint="default"/>
        </w:rPr>
        <w:t>3</w:t>
      </w:r>
      <w:r>
        <w:rPr/>
        <w:t>）市场风险</w:t>
      </w:r>
    </w:p>
    <w:p>
      <w:pPr>
        <w:spacing w:line="240" w:lineRule="auto" w:before="5"/>
        <w:rPr>
          <w:rFonts w:ascii="宋体" w:hAnsi="宋体" w:cs="宋体" w:eastAsia="宋体" w:hint="default"/>
          <w:sz w:val="20"/>
          <w:szCs w:val="20"/>
        </w:rPr>
      </w:pPr>
    </w:p>
    <w:p>
      <w:pPr>
        <w:pStyle w:val="BodyText"/>
        <w:spacing w:line="367" w:lineRule="auto"/>
        <w:ind w:right="204" w:firstLine="359"/>
        <w:jc w:val="both"/>
      </w:pPr>
      <w:r>
        <w:rPr/>
        <w:t>市场风险，是指金融工具的公允价值或未来现金流量因市场价格变动而发生波动的风险。市场风险主 要包括利率风险、外汇风险。</w:t>
      </w:r>
    </w:p>
    <w:p>
      <w:pPr>
        <w:spacing w:line="240" w:lineRule="auto" w:before="2"/>
        <w:rPr>
          <w:rFonts w:ascii="宋体" w:hAnsi="宋体" w:cs="宋体" w:eastAsia="宋体" w:hint="default"/>
          <w:sz w:val="14"/>
          <w:szCs w:val="14"/>
        </w:rPr>
      </w:pPr>
    </w:p>
    <w:p>
      <w:pPr>
        <w:pStyle w:val="BodyText"/>
        <w:spacing w:line="511" w:lineRule="auto"/>
        <w:ind w:left="480" w:right="2366" w:firstLine="91"/>
        <w:jc w:val="left"/>
      </w:pPr>
      <w:r>
        <w:rPr>
          <w:rFonts w:ascii="Times New Roman" w:hAnsi="Times New Roman" w:cs="Times New Roman" w:eastAsia="Times New Roman" w:hint="default"/>
        </w:rPr>
        <w:t>1</w:t>
      </w:r>
      <w:r>
        <w:rPr/>
        <w:t>）利率风险 公司期末无以浮动利率计息的长短期负债，预计未来不会面临利率风险。 </w:t>
      </w:r>
      <w:r>
        <w:rPr>
          <w:rFonts w:ascii="Times New Roman" w:hAnsi="Times New Roman" w:cs="Times New Roman" w:eastAsia="Times New Roman" w:hint="default"/>
        </w:rPr>
        <w:t>2</w:t>
      </w:r>
      <w:r>
        <w:rPr/>
        <w:t>）汇率风险</w:t>
      </w:r>
    </w:p>
    <w:p>
      <w:pPr>
        <w:pStyle w:val="BodyText"/>
        <w:spacing w:line="367" w:lineRule="auto" w:before="41"/>
        <w:ind w:right="204" w:firstLine="359"/>
        <w:jc w:val="both"/>
      </w:pPr>
      <w:r>
        <w:rPr/>
        <w:t>外汇风险，是指金融工具的公允价值或未来现金流量因外汇汇率变动而发生波动的风险。公司尽可能 将外币收入与外币支出相匹配以降低外汇风险。此外，公司根据必要签署远期外汇合约或货币互换合约以</w:t>
      </w:r>
      <w:r>
        <w:rPr>
          <w:spacing w:val="-73"/>
        </w:rPr>
        <w:t> </w:t>
      </w:r>
      <w:r>
        <w:rPr>
          <w:spacing w:val="-73"/>
        </w:rPr>
      </w:r>
      <w:r>
        <w:rPr/>
        <w:t>达到规避外汇风险的目的。公司面临的外汇风险主要来源于以外币计价的金融资产和金融负债，外币金融</w:t>
      </w:r>
      <w:r>
        <w:rPr>
          <w:spacing w:val="-72"/>
        </w:rPr>
        <w:t> </w:t>
      </w:r>
      <w:r>
        <w:rPr>
          <w:spacing w:val="-72"/>
        </w:rPr>
      </w:r>
      <w:r>
        <w:rPr/>
        <w:t>资产和外币金融负债折算成人民币的金额详见本财务报表附注六</w:t>
      </w:r>
      <w:r>
        <w:rPr>
          <w:rFonts w:ascii="Times New Roman" w:hAnsi="Times New Roman" w:cs="Times New Roman" w:eastAsia="Times New Roman" w:hint="default"/>
        </w:rPr>
        <w:t>-40</w:t>
      </w:r>
      <w:r>
        <w:rPr/>
        <w:t>。</w:t>
      </w:r>
    </w:p>
    <w:p>
      <w:pPr>
        <w:spacing w:line="240" w:lineRule="auto" w:before="4"/>
        <w:rPr>
          <w:rFonts w:ascii="宋体" w:hAnsi="宋体" w:cs="宋体" w:eastAsia="宋体" w:hint="default"/>
          <w:sz w:val="16"/>
          <w:szCs w:val="16"/>
        </w:rPr>
      </w:pPr>
    </w:p>
    <w:p>
      <w:pPr>
        <w:pStyle w:val="Heading3"/>
        <w:spacing w:line="240" w:lineRule="auto"/>
        <w:ind w:left="120" w:right="0"/>
        <w:jc w:val="left"/>
        <w:rPr>
          <w:rFonts w:ascii="黑体" w:hAnsi="黑体" w:cs="黑体" w:eastAsia="黑体" w:hint="default"/>
          <w:b w:val="0"/>
          <w:bCs w:val="0"/>
        </w:rPr>
      </w:pPr>
      <w:r>
        <w:rPr>
          <w:rFonts w:ascii="黑体" w:hAnsi="黑体" w:cs="黑体" w:eastAsia="黑体" w:hint="default"/>
        </w:rPr>
        <w:t>十、公允价值</w:t>
      </w:r>
      <w:r>
        <w:rPr>
          <w:rFonts w:ascii="黑体" w:hAnsi="黑体" w:cs="黑体" w:eastAsia="黑体" w:hint="default"/>
          <w:b w:val="0"/>
          <w:bCs w:val="0"/>
        </w:rPr>
      </w:r>
    </w:p>
    <w:p>
      <w:pPr>
        <w:spacing w:line="240" w:lineRule="auto" w:before="12"/>
        <w:rPr>
          <w:rFonts w:ascii="黑体" w:hAnsi="黑体" w:cs="黑体" w:eastAsia="黑体" w:hint="default"/>
          <w:b/>
          <w:bCs/>
          <w:sz w:val="32"/>
          <w:szCs w:val="32"/>
        </w:rPr>
      </w:pPr>
    </w:p>
    <w:p>
      <w:pPr>
        <w:pStyle w:val="BodyText"/>
        <w:spacing w:line="240" w:lineRule="auto"/>
        <w:ind w:left="480" w:right="0"/>
        <w:jc w:val="left"/>
      </w:pPr>
      <w:r>
        <w:rPr/>
        <w:t>本公司报告期内暂无采用公允价值计量的报表项目。</w:t>
      </w:r>
    </w:p>
    <w:p>
      <w:pPr>
        <w:spacing w:line="240" w:lineRule="auto" w:before="6"/>
        <w:rPr>
          <w:rFonts w:ascii="宋体" w:hAnsi="宋体" w:cs="宋体" w:eastAsia="宋体" w:hint="default"/>
          <w:sz w:val="25"/>
          <w:szCs w:val="25"/>
        </w:rPr>
      </w:pPr>
    </w:p>
    <w:p>
      <w:pPr>
        <w:pStyle w:val="Heading3"/>
        <w:spacing w:line="240" w:lineRule="auto"/>
        <w:ind w:left="120" w:right="0"/>
        <w:jc w:val="left"/>
        <w:rPr>
          <w:rFonts w:ascii="黑体" w:hAnsi="黑体" w:cs="黑体" w:eastAsia="黑体" w:hint="default"/>
          <w:b w:val="0"/>
          <w:bCs w:val="0"/>
        </w:rPr>
      </w:pPr>
      <w:r>
        <w:rPr>
          <w:rFonts w:ascii="黑体" w:hAnsi="黑体" w:cs="黑体" w:eastAsia="黑体" w:hint="default"/>
        </w:rPr>
        <w:t>十一、关联方关系及其交易</w:t>
      </w:r>
      <w:r>
        <w:rPr>
          <w:rFonts w:ascii="黑体" w:hAnsi="黑体" w:cs="黑体" w:eastAsia="黑体" w:hint="default"/>
          <w:b w:val="0"/>
          <w:bCs w:val="0"/>
        </w:rPr>
      </w:r>
    </w:p>
    <w:p>
      <w:pPr>
        <w:spacing w:line="240" w:lineRule="auto" w:before="4"/>
        <w:rPr>
          <w:rFonts w:ascii="黑体" w:hAnsi="黑体" w:cs="黑体" w:eastAsia="黑体" w:hint="default"/>
          <w:b/>
          <w:bCs/>
          <w:sz w:val="30"/>
          <w:szCs w:val="30"/>
        </w:rPr>
      </w:pPr>
    </w:p>
    <w:p>
      <w:pPr>
        <w:pStyle w:val="BodyText"/>
        <w:spacing w:line="345" w:lineRule="auto"/>
        <w:ind w:right="199" w:firstLine="35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关联方的认定标准：一方控制、共同控制另一方或对另一方施加重大影响，以及两方或两方以上同 受一方控制、共同控制或重大影响的，构成关联方。</w:t>
      </w:r>
    </w:p>
    <w:p>
      <w:pPr>
        <w:spacing w:line="240" w:lineRule="auto" w:before="5"/>
        <w:rPr>
          <w:rFonts w:ascii="宋体" w:hAnsi="宋体" w:cs="宋体" w:eastAsia="宋体" w:hint="default"/>
          <w:sz w:val="15"/>
          <w:szCs w:val="15"/>
        </w:rPr>
      </w:pPr>
    </w:p>
    <w:p>
      <w:pPr>
        <w:pStyle w:val="BodyText"/>
        <w:spacing w:line="240" w:lineRule="auto"/>
        <w:ind w:left="480"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本公司的母公司有关信息</w:t>
      </w:r>
    </w:p>
    <w:p>
      <w:pPr>
        <w:spacing w:after="0" w:line="240" w:lineRule="auto"/>
        <w:jc w:val="left"/>
        <w:sectPr>
          <w:pgSz w:w="11910" w:h="16840"/>
          <w:pgMar w:header="0" w:footer="979" w:top="1480" w:bottom="1160" w:left="1680" w:right="1600"/>
        </w:sectPr>
      </w:pPr>
    </w:p>
    <w:p>
      <w:pPr>
        <w:spacing w:line="240" w:lineRule="auto" w:before="7"/>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434"/>
        <w:gridCol w:w="1290"/>
        <w:gridCol w:w="1247"/>
        <w:gridCol w:w="869"/>
        <w:gridCol w:w="2710"/>
        <w:gridCol w:w="1091"/>
      </w:tblGrid>
      <w:tr>
        <w:trPr>
          <w:trHeight w:val="275" w:hRule="exact"/>
        </w:trPr>
        <w:tc>
          <w:tcPr>
            <w:tcW w:w="1434" w:type="dxa"/>
            <w:tcBorders>
              <w:top w:val="nil" w:sz="6" w:space="0" w:color="auto"/>
              <w:left w:val="nil" w:sz="6" w:space="0" w:color="auto"/>
              <w:bottom w:val="single" w:sz="4" w:space="0" w:color="000000"/>
              <w:right w:val="nil" w:sz="6" w:space="0" w:color="auto"/>
            </w:tcBorders>
          </w:tcPr>
          <w:p>
            <w:pPr>
              <w:pStyle w:val="TableParagraph"/>
              <w:spacing w:line="180" w:lineRule="exact"/>
              <w:ind w:left="314" w:right="0"/>
              <w:jc w:val="left"/>
              <w:rPr>
                <w:rFonts w:ascii="宋体" w:hAnsi="宋体" w:cs="宋体" w:eastAsia="宋体" w:hint="default"/>
                <w:sz w:val="18"/>
                <w:szCs w:val="18"/>
              </w:rPr>
            </w:pPr>
            <w:r>
              <w:rPr>
                <w:rFonts w:ascii="宋体" w:hAnsi="宋体" w:cs="宋体" w:eastAsia="宋体" w:hint="default"/>
                <w:b/>
                <w:bCs/>
                <w:sz w:val="18"/>
                <w:szCs w:val="18"/>
              </w:rPr>
              <w:t>母公司名称</w:t>
            </w:r>
            <w:r>
              <w:rPr>
                <w:rFonts w:ascii="宋体" w:hAnsi="宋体" w:cs="宋体" w:eastAsia="宋体" w:hint="default"/>
                <w:sz w:val="18"/>
                <w:szCs w:val="18"/>
              </w:rPr>
            </w:r>
          </w:p>
        </w:tc>
        <w:tc>
          <w:tcPr>
            <w:tcW w:w="1290" w:type="dxa"/>
            <w:tcBorders>
              <w:top w:val="nil" w:sz="6" w:space="0" w:color="auto"/>
              <w:left w:val="nil" w:sz="6" w:space="0" w:color="auto"/>
              <w:bottom w:val="single" w:sz="4" w:space="0" w:color="000000"/>
              <w:right w:val="nil" w:sz="6" w:space="0" w:color="auto"/>
            </w:tcBorders>
          </w:tcPr>
          <w:p>
            <w:pPr>
              <w:pStyle w:val="TableParagraph"/>
              <w:spacing w:line="180" w:lineRule="exact"/>
              <w:ind w:left="96" w:right="0"/>
              <w:jc w:val="center"/>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1247" w:type="dxa"/>
            <w:tcBorders>
              <w:top w:val="nil" w:sz="6" w:space="0" w:color="auto"/>
              <w:left w:val="nil" w:sz="6" w:space="0" w:color="auto"/>
              <w:bottom w:val="single" w:sz="4" w:space="0" w:color="000000"/>
              <w:right w:val="nil" w:sz="6" w:space="0" w:color="auto"/>
            </w:tcBorders>
          </w:tcPr>
          <w:p>
            <w:pPr>
              <w:pStyle w:val="TableParagraph"/>
              <w:spacing w:line="180" w:lineRule="exact"/>
              <w:ind w:left="350"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869" w:type="dxa"/>
            <w:tcBorders>
              <w:top w:val="nil" w:sz="6" w:space="0" w:color="auto"/>
              <w:left w:val="nil" w:sz="6" w:space="0" w:color="auto"/>
              <w:bottom w:val="single" w:sz="4" w:space="0" w:color="000000"/>
              <w:right w:val="nil" w:sz="6" w:space="0" w:color="auto"/>
            </w:tcBorders>
          </w:tcPr>
          <w:p>
            <w:pPr>
              <w:pStyle w:val="TableParagraph"/>
              <w:spacing w:line="180" w:lineRule="exact"/>
              <w:ind w:left="23" w:right="0"/>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2710"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091" w:type="dxa"/>
            <w:tcBorders>
              <w:top w:val="nil" w:sz="6" w:space="0" w:color="auto"/>
              <w:left w:val="nil" w:sz="6" w:space="0" w:color="auto"/>
              <w:bottom w:val="single" w:sz="4" w:space="0" w:color="000000"/>
              <w:right w:val="nil" w:sz="6" w:space="0" w:color="auto"/>
            </w:tcBorders>
          </w:tcPr>
          <w:p>
            <w:pPr>
              <w:pStyle w:val="TableParagraph"/>
              <w:spacing w:line="180" w:lineRule="exact"/>
              <w:ind w:right="18"/>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r>
      <w:tr>
        <w:trPr>
          <w:trHeight w:val="717" w:hRule="exact"/>
        </w:trPr>
        <w:tc>
          <w:tcPr>
            <w:tcW w:w="143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25" w:right="0"/>
              <w:jc w:val="left"/>
              <w:rPr>
                <w:rFonts w:ascii="宋体" w:hAnsi="宋体" w:cs="宋体" w:eastAsia="宋体" w:hint="default"/>
                <w:sz w:val="18"/>
                <w:szCs w:val="18"/>
              </w:rPr>
            </w:pPr>
            <w:r>
              <w:rPr>
                <w:rFonts w:ascii="宋体" w:hAnsi="宋体" w:cs="宋体" w:eastAsia="宋体" w:hint="default"/>
                <w:sz w:val="18"/>
                <w:szCs w:val="18"/>
              </w:rPr>
              <w:t>湖南天鸿投资</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290"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6"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247" w:type="dxa"/>
            <w:tcBorders>
              <w:top w:val="single" w:sz="4" w:space="0" w:color="000000"/>
              <w:left w:val="nil" w:sz="6" w:space="0" w:color="auto"/>
              <w:bottom w:val="nil" w:sz="6" w:space="0" w:color="auto"/>
              <w:right w:val="nil" w:sz="6" w:space="0" w:color="auto"/>
            </w:tcBorders>
          </w:tcPr>
          <w:p>
            <w:pPr>
              <w:pStyle w:val="TableParagraph"/>
              <w:spacing w:line="358" w:lineRule="exact" w:before="20"/>
              <w:ind w:left="170" w:right="83" w:hanging="89"/>
              <w:jc w:val="left"/>
              <w:rPr>
                <w:rFonts w:ascii="宋体" w:hAnsi="宋体" w:cs="宋体" w:eastAsia="宋体" w:hint="default"/>
                <w:sz w:val="18"/>
                <w:szCs w:val="18"/>
              </w:rPr>
            </w:pPr>
            <w:r>
              <w:rPr>
                <w:rFonts w:ascii="宋体" w:hAnsi="宋体" w:cs="宋体" w:eastAsia="宋体" w:hint="default"/>
                <w:sz w:val="18"/>
                <w:szCs w:val="18"/>
              </w:rPr>
              <w:t>长沙县星沙镇 茶叶大市场</w:t>
            </w:r>
          </w:p>
        </w:tc>
        <w:tc>
          <w:tcPr>
            <w:tcW w:w="869"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肖志鸿</w:t>
            </w:r>
          </w:p>
        </w:tc>
        <w:tc>
          <w:tcPr>
            <w:tcW w:w="2710" w:type="dxa"/>
            <w:tcBorders>
              <w:top w:val="single" w:sz="4" w:space="0" w:color="000000"/>
              <w:left w:val="nil" w:sz="6" w:space="0" w:color="auto"/>
              <w:bottom w:val="nil" w:sz="6" w:space="0" w:color="auto"/>
              <w:right w:val="nil" w:sz="6" w:space="0" w:color="auto"/>
            </w:tcBorders>
          </w:tcPr>
          <w:p>
            <w:pPr>
              <w:pStyle w:val="TableParagraph"/>
              <w:spacing w:line="358" w:lineRule="exact" w:before="20"/>
              <w:ind w:left="61" w:right="126"/>
              <w:jc w:val="left"/>
              <w:rPr>
                <w:rFonts w:ascii="宋体" w:hAnsi="宋体" w:cs="宋体" w:eastAsia="宋体" w:hint="default"/>
                <w:sz w:val="18"/>
                <w:szCs w:val="18"/>
              </w:rPr>
            </w:pPr>
            <w:r>
              <w:rPr>
                <w:rFonts w:ascii="宋体" w:hAnsi="宋体" w:cs="宋体" w:eastAsia="宋体" w:hint="default"/>
                <w:sz w:val="18"/>
                <w:szCs w:val="18"/>
              </w:rPr>
              <w:t>投资高新技术产业、农业、文教 产业，提供企业管理咨询服务</w:t>
            </w:r>
          </w:p>
        </w:tc>
        <w:tc>
          <w:tcPr>
            <w:tcW w:w="1091"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4,720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640" w:right="0"/>
        <w:jc w:val="left"/>
      </w:pPr>
      <w:r>
        <w:rPr/>
        <w:t>接上表：</w:t>
      </w:r>
    </w:p>
    <w:p>
      <w:pPr>
        <w:spacing w:line="240" w:lineRule="auto" w:before="9"/>
        <w:rPr>
          <w:rFonts w:ascii="宋体" w:hAnsi="宋体" w:cs="宋体" w:eastAsia="宋体" w:hint="default"/>
          <w:sz w:val="25"/>
          <w:szCs w:val="25"/>
        </w:rPr>
      </w:pPr>
    </w:p>
    <w:tbl>
      <w:tblPr>
        <w:tblW w:w="0" w:type="auto"/>
        <w:jc w:val="left"/>
        <w:tblInd w:w="112" w:type="dxa"/>
        <w:tblLayout w:type="fixed"/>
        <w:tblCellMar>
          <w:top w:w="0" w:type="dxa"/>
          <w:left w:w="0" w:type="dxa"/>
          <w:bottom w:w="0" w:type="dxa"/>
          <w:right w:w="0" w:type="dxa"/>
        </w:tblCellMar>
        <w:tblLook w:val="01E0"/>
      </w:tblPr>
      <w:tblGrid>
        <w:gridCol w:w="2116"/>
        <w:gridCol w:w="2239"/>
        <w:gridCol w:w="2407"/>
        <w:gridCol w:w="1880"/>
      </w:tblGrid>
      <w:tr>
        <w:trPr>
          <w:trHeight w:val="673" w:hRule="exact"/>
        </w:trPr>
        <w:tc>
          <w:tcPr>
            <w:tcW w:w="2116" w:type="dxa"/>
            <w:tcBorders>
              <w:top w:val="nil" w:sz="6" w:space="0" w:color="auto"/>
              <w:left w:val="nil" w:sz="6" w:space="0" w:color="auto"/>
              <w:bottom w:val="single" w:sz="4" w:space="0" w:color="000000"/>
              <w:right w:val="nil" w:sz="6" w:space="0" w:color="auto"/>
            </w:tcBorders>
          </w:tcPr>
          <w:p>
            <w:pPr>
              <w:pStyle w:val="TableParagraph"/>
              <w:spacing w:line="180" w:lineRule="exact"/>
              <w:ind w:left="46" w:right="0"/>
              <w:jc w:val="center"/>
              <w:rPr>
                <w:rFonts w:ascii="宋体" w:hAnsi="宋体" w:cs="宋体" w:eastAsia="宋体" w:hint="default"/>
                <w:sz w:val="18"/>
                <w:szCs w:val="18"/>
              </w:rPr>
            </w:pPr>
            <w:r>
              <w:rPr>
                <w:rFonts w:ascii="宋体" w:hAnsi="宋体" w:cs="宋体" w:eastAsia="宋体" w:hint="default"/>
                <w:b/>
                <w:bCs/>
                <w:sz w:val="18"/>
                <w:szCs w:val="18"/>
              </w:rPr>
              <w:t>母公司对本公司的持股</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239" w:type="dxa"/>
            <w:tcBorders>
              <w:top w:val="nil" w:sz="6" w:space="0" w:color="auto"/>
              <w:left w:val="nil" w:sz="6" w:space="0" w:color="auto"/>
              <w:bottom w:val="single" w:sz="4" w:space="0" w:color="000000"/>
              <w:right w:val="nil" w:sz="6" w:space="0" w:color="auto"/>
            </w:tcBorders>
          </w:tcPr>
          <w:p>
            <w:pPr>
              <w:pStyle w:val="TableParagraph"/>
              <w:spacing w:line="202" w:lineRule="exact"/>
              <w:ind w:left="9" w:right="0"/>
              <w:jc w:val="center"/>
              <w:rPr>
                <w:rFonts w:ascii="宋体" w:hAnsi="宋体" w:cs="宋体" w:eastAsia="宋体" w:hint="default"/>
                <w:sz w:val="18"/>
                <w:szCs w:val="18"/>
              </w:rPr>
            </w:pPr>
            <w:r>
              <w:rPr>
                <w:rFonts w:ascii="宋体" w:hAnsi="宋体" w:cs="宋体" w:eastAsia="宋体" w:hint="default"/>
                <w:b/>
                <w:bCs/>
                <w:sz w:val="18"/>
                <w:szCs w:val="18"/>
              </w:rPr>
              <w:t>母公司对本公司的表决权</w:t>
            </w:r>
            <w:r>
              <w:rPr>
                <w:rFonts w:ascii="宋体" w:hAnsi="宋体" w:cs="宋体" w:eastAsia="宋体" w:hint="default"/>
                <w:sz w:val="18"/>
                <w:szCs w:val="18"/>
              </w:rPr>
            </w:r>
          </w:p>
          <w:p>
            <w:pPr>
              <w:pStyle w:val="TableParagraph"/>
              <w:spacing w:line="240" w:lineRule="auto" w:before="122"/>
              <w:ind w:left="8"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407"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1"/>
              <w:jc w:val="center"/>
              <w:rPr>
                <w:rFonts w:ascii="宋体" w:hAnsi="宋体" w:cs="宋体" w:eastAsia="宋体" w:hint="default"/>
                <w:sz w:val="18"/>
                <w:szCs w:val="18"/>
              </w:rPr>
            </w:pPr>
            <w:r>
              <w:rPr>
                <w:rFonts w:ascii="宋体" w:hAnsi="宋体" w:cs="宋体" w:eastAsia="宋体" w:hint="default"/>
                <w:b/>
                <w:bCs/>
                <w:sz w:val="18"/>
                <w:szCs w:val="18"/>
              </w:rPr>
              <w:t>本公司最终控制方</w:t>
            </w:r>
            <w:r>
              <w:rPr>
                <w:rFonts w:ascii="宋体" w:hAnsi="宋体" w:cs="宋体" w:eastAsia="宋体" w:hint="default"/>
                <w:sz w:val="18"/>
                <w:szCs w:val="18"/>
              </w:rPr>
            </w:r>
          </w:p>
        </w:tc>
        <w:tc>
          <w:tcPr>
            <w:tcW w:w="1880"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30" w:right="0"/>
              <w:jc w:val="center"/>
              <w:rPr>
                <w:rFonts w:ascii="宋体" w:hAnsi="宋体" w:cs="宋体" w:eastAsia="宋体" w:hint="default"/>
                <w:sz w:val="18"/>
                <w:szCs w:val="18"/>
              </w:rPr>
            </w:pPr>
            <w:r>
              <w:rPr>
                <w:rFonts w:ascii="宋体" w:hAnsi="宋体" w:cs="宋体" w:eastAsia="宋体" w:hint="default"/>
                <w:b/>
                <w:bCs/>
                <w:sz w:val="18"/>
                <w:szCs w:val="18"/>
              </w:rPr>
              <w:t>统一社会信用代码</w:t>
            </w:r>
            <w:r>
              <w:rPr>
                <w:rFonts w:ascii="宋体" w:hAnsi="宋体" w:cs="宋体" w:eastAsia="宋体" w:hint="default"/>
                <w:sz w:val="18"/>
                <w:szCs w:val="18"/>
              </w:rPr>
            </w:r>
          </w:p>
        </w:tc>
      </w:tr>
      <w:tr>
        <w:trPr>
          <w:trHeight w:val="501" w:hRule="exact"/>
        </w:trPr>
        <w:tc>
          <w:tcPr>
            <w:tcW w:w="211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38.41</w:t>
            </w:r>
          </w:p>
        </w:tc>
        <w:tc>
          <w:tcPr>
            <w:tcW w:w="223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38.41</w:t>
            </w:r>
          </w:p>
        </w:tc>
        <w:tc>
          <w:tcPr>
            <w:tcW w:w="240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88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91430121734774240G</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44"/>
        <w:ind w:left="640"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2"/>
        </w:rPr>
        <w:t> </w:t>
      </w:r>
      <w:r>
        <w:rPr/>
        <w:t>本公司的子公司情况</w:t>
      </w:r>
    </w:p>
    <w:p>
      <w:pPr>
        <w:spacing w:line="240" w:lineRule="auto" w:before="13"/>
        <w:rPr>
          <w:rFonts w:ascii="宋体" w:hAnsi="宋体" w:cs="宋体" w:eastAsia="宋体" w:hint="default"/>
          <w:sz w:val="16"/>
          <w:szCs w:val="16"/>
        </w:rPr>
      </w:pPr>
    </w:p>
    <w:tbl>
      <w:tblPr>
        <w:tblW w:w="0" w:type="auto"/>
        <w:jc w:val="left"/>
        <w:tblInd w:w="172" w:type="dxa"/>
        <w:tblLayout w:type="fixed"/>
        <w:tblCellMar>
          <w:top w:w="0" w:type="dxa"/>
          <w:left w:w="0" w:type="dxa"/>
          <w:bottom w:w="0" w:type="dxa"/>
          <w:right w:w="0" w:type="dxa"/>
        </w:tblCellMar>
        <w:tblLook w:val="01E0"/>
      </w:tblPr>
      <w:tblGrid>
        <w:gridCol w:w="3567"/>
        <w:gridCol w:w="1397"/>
        <w:gridCol w:w="1211"/>
        <w:gridCol w:w="1595"/>
        <w:gridCol w:w="1027"/>
      </w:tblGrid>
      <w:tr>
        <w:trPr>
          <w:trHeight w:val="375" w:hRule="exact"/>
        </w:trPr>
        <w:tc>
          <w:tcPr>
            <w:tcW w:w="356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7"/>
              <w:jc w:val="center"/>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139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04" w:right="0"/>
              <w:jc w:val="left"/>
              <w:rPr>
                <w:rFonts w:ascii="宋体" w:hAnsi="宋体" w:cs="宋体" w:eastAsia="宋体" w:hint="default"/>
                <w:sz w:val="18"/>
                <w:szCs w:val="18"/>
              </w:rPr>
            </w:pPr>
            <w:r>
              <w:rPr>
                <w:rFonts w:ascii="宋体" w:hAnsi="宋体" w:cs="宋体" w:eastAsia="宋体" w:hint="default"/>
                <w:b/>
                <w:bCs/>
                <w:sz w:val="18"/>
                <w:szCs w:val="18"/>
              </w:rPr>
              <w:t>子公司类型</w:t>
            </w:r>
            <w:r>
              <w:rPr>
                <w:rFonts w:ascii="宋体" w:hAnsi="宋体" w:cs="宋体" w:eastAsia="宋体" w:hint="default"/>
                <w:sz w:val="18"/>
                <w:szCs w:val="18"/>
              </w:rPr>
            </w:r>
          </w:p>
        </w:tc>
        <w:tc>
          <w:tcPr>
            <w:tcW w:w="121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96"/>
              <w:jc w:val="right"/>
              <w:rPr>
                <w:rFonts w:ascii="宋体" w:hAnsi="宋体" w:cs="宋体" w:eastAsia="宋体" w:hint="default"/>
                <w:sz w:val="18"/>
                <w:szCs w:val="18"/>
              </w:rPr>
            </w:pPr>
            <w:r>
              <w:rPr>
                <w:rFonts w:ascii="宋体" w:hAnsi="宋体" w:cs="宋体" w:eastAsia="宋体" w:hint="default"/>
                <w:b/>
                <w:bCs/>
                <w:w w:val="95"/>
                <w:sz w:val="18"/>
                <w:szCs w:val="18"/>
              </w:rPr>
              <w:t>企业类型</w:t>
            </w:r>
            <w:r>
              <w:rPr>
                <w:rFonts w:ascii="宋体" w:hAnsi="宋体" w:cs="宋体" w:eastAsia="宋体" w:hint="default"/>
                <w:sz w:val="18"/>
                <w:szCs w:val="18"/>
              </w:rPr>
            </w:r>
          </w:p>
        </w:tc>
        <w:tc>
          <w:tcPr>
            <w:tcW w:w="159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8"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0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r>
      <w:tr>
        <w:trPr>
          <w:trHeight w:val="430" w:hRule="exact"/>
        </w:trPr>
        <w:tc>
          <w:tcPr>
            <w:tcW w:w="356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湖南天舟华文俪制传媒有限公司</w:t>
            </w:r>
          </w:p>
        </w:tc>
        <w:tc>
          <w:tcPr>
            <w:tcW w:w="139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06"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21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98"/>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59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61" w:right="0"/>
              <w:jc w:val="center"/>
              <w:rPr>
                <w:rFonts w:ascii="宋体" w:hAnsi="宋体" w:cs="宋体" w:eastAsia="宋体" w:hint="default"/>
                <w:sz w:val="18"/>
                <w:szCs w:val="18"/>
              </w:rPr>
            </w:pPr>
            <w:r>
              <w:rPr>
                <w:rFonts w:ascii="宋体" w:hAnsi="宋体" w:cs="宋体" w:eastAsia="宋体" w:hint="default"/>
                <w:sz w:val="18"/>
                <w:szCs w:val="18"/>
              </w:rPr>
              <w:t>长沙市</w:t>
            </w:r>
          </w:p>
        </w:tc>
        <w:tc>
          <w:tcPr>
            <w:tcW w:w="102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8"/>
              <w:jc w:val="center"/>
              <w:rPr>
                <w:rFonts w:ascii="宋体" w:hAnsi="宋体" w:cs="宋体" w:eastAsia="宋体" w:hint="default"/>
                <w:sz w:val="18"/>
                <w:szCs w:val="18"/>
              </w:rPr>
            </w:pPr>
            <w:r>
              <w:rPr>
                <w:rFonts w:ascii="宋体" w:hAnsi="宋体" w:cs="宋体" w:eastAsia="宋体" w:hint="default"/>
                <w:sz w:val="18"/>
                <w:szCs w:val="18"/>
              </w:rPr>
              <w:t>匡舒平</w:t>
            </w:r>
          </w:p>
        </w:tc>
      </w:tr>
      <w:tr>
        <w:trPr>
          <w:trHeight w:val="400"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北京北方天舟文化有限公司</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6"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8"/>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1"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center"/>
              <w:rPr>
                <w:rFonts w:ascii="宋体" w:hAnsi="宋体" w:cs="宋体" w:eastAsia="宋体" w:hint="default"/>
                <w:sz w:val="18"/>
                <w:szCs w:val="18"/>
              </w:rPr>
            </w:pPr>
            <w:r>
              <w:rPr>
                <w:rFonts w:ascii="宋体" w:hAnsi="宋体" w:cs="宋体" w:eastAsia="宋体" w:hint="default"/>
                <w:sz w:val="18"/>
                <w:szCs w:val="18"/>
              </w:rPr>
              <w:t>肖欢</w:t>
            </w:r>
          </w:p>
        </w:tc>
      </w:tr>
      <w:tr>
        <w:trPr>
          <w:trHeight w:val="401"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北京神奇时代网络有限公司</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6"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8"/>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1"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center"/>
              <w:rPr>
                <w:rFonts w:ascii="宋体" w:hAnsi="宋体" w:cs="宋体" w:eastAsia="宋体" w:hint="default"/>
                <w:sz w:val="18"/>
                <w:szCs w:val="18"/>
              </w:rPr>
            </w:pPr>
            <w:r>
              <w:rPr>
                <w:rFonts w:ascii="宋体" w:hAnsi="宋体" w:cs="宋体" w:eastAsia="宋体" w:hint="default"/>
                <w:sz w:val="18"/>
                <w:szCs w:val="18"/>
              </w:rPr>
              <w:t>肖志鸿</w:t>
            </w:r>
          </w:p>
        </w:tc>
      </w:tr>
      <w:tr>
        <w:trPr>
          <w:trHeight w:val="400"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神奇时代信息技术（天津）有限公司</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6"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8"/>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1" w:right="0"/>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center"/>
              <w:rPr>
                <w:rFonts w:ascii="宋体" w:hAnsi="宋体" w:cs="宋体" w:eastAsia="宋体" w:hint="default"/>
                <w:sz w:val="18"/>
                <w:szCs w:val="18"/>
              </w:rPr>
            </w:pPr>
            <w:r>
              <w:rPr>
                <w:rFonts w:ascii="宋体" w:hAnsi="宋体" w:cs="宋体" w:eastAsia="宋体" w:hint="default"/>
                <w:sz w:val="18"/>
                <w:szCs w:val="18"/>
              </w:rPr>
              <w:t>王玉刚</w:t>
            </w:r>
          </w:p>
        </w:tc>
      </w:tr>
      <w:tr>
        <w:trPr>
          <w:trHeight w:val="400"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广州天瑞文化传播有限公司</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6"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8"/>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1"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center"/>
              <w:rPr>
                <w:rFonts w:ascii="宋体" w:hAnsi="宋体" w:cs="宋体" w:eastAsia="宋体" w:hint="default"/>
                <w:sz w:val="18"/>
                <w:szCs w:val="18"/>
              </w:rPr>
            </w:pPr>
            <w:r>
              <w:rPr>
                <w:rFonts w:ascii="宋体" w:hAnsi="宋体" w:cs="宋体" w:eastAsia="宋体" w:hint="default"/>
                <w:sz w:val="18"/>
                <w:szCs w:val="18"/>
              </w:rPr>
              <w:t>彭昶</w:t>
            </w:r>
          </w:p>
        </w:tc>
      </w:tr>
      <w:tr>
        <w:trPr>
          <w:trHeight w:val="401"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怀化天舟教育有限责任公司</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6"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8"/>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1" w:right="0"/>
              <w:jc w:val="center"/>
              <w:rPr>
                <w:rFonts w:ascii="宋体" w:hAnsi="宋体" w:cs="宋体" w:eastAsia="宋体" w:hint="default"/>
                <w:sz w:val="18"/>
                <w:szCs w:val="18"/>
              </w:rPr>
            </w:pPr>
            <w:r>
              <w:rPr>
                <w:rFonts w:ascii="宋体" w:hAnsi="宋体" w:cs="宋体" w:eastAsia="宋体" w:hint="default"/>
                <w:sz w:val="18"/>
                <w:szCs w:val="18"/>
              </w:rPr>
              <w:t>怀化市</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center"/>
              <w:rPr>
                <w:rFonts w:ascii="宋体" w:hAnsi="宋体" w:cs="宋体" w:eastAsia="宋体" w:hint="default"/>
                <w:sz w:val="18"/>
                <w:szCs w:val="18"/>
              </w:rPr>
            </w:pPr>
            <w:r>
              <w:rPr>
                <w:rFonts w:ascii="宋体" w:hAnsi="宋体" w:cs="宋体" w:eastAsia="宋体" w:hint="default"/>
                <w:sz w:val="18"/>
                <w:szCs w:val="18"/>
              </w:rPr>
              <w:t>李强</w:t>
            </w:r>
          </w:p>
        </w:tc>
      </w:tr>
      <w:tr>
        <w:trPr>
          <w:trHeight w:val="400"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浙江天舟图书有限公司</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6"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8"/>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1" w:right="0"/>
              <w:jc w:val="center"/>
              <w:rPr>
                <w:rFonts w:ascii="宋体" w:hAnsi="宋体" w:cs="宋体" w:eastAsia="宋体" w:hint="default"/>
                <w:sz w:val="18"/>
                <w:szCs w:val="18"/>
              </w:rPr>
            </w:pPr>
            <w:r>
              <w:rPr>
                <w:rFonts w:ascii="宋体" w:hAnsi="宋体" w:cs="宋体" w:eastAsia="宋体" w:hint="default"/>
                <w:sz w:val="18"/>
                <w:szCs w:val="18"/>
              </w:rPr>
              <w:t>杭州市</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center"/>
              <w:rPr>
                <w:rFonts w:ascii="宋体" w:hAnsi="宋体" w:cs="宋体" w:eastAsia="宋体" w:hint="default"/>
                <w:sz w:val="18"/>
                <w:szCs w:val="18"/>
              </w:rPr>
            </w:pPr>
            <w:r>
              <w:rPr>
                <w:rFonts w:ascii="宋体" w:hAnsi="宋体" w:cs="宋体" w:eastAsia="宋体" w:hint="default"/>
                <w:sz w:val="18"/>
                <w:szCs w:val="18"/>
              </w:rPr>
              <w:t>马永杰</w:t>
            </w:r>
          </w:p>
        </w:tc>
      </w:tr>
      <w:tr>
        <w:trPr>
          <w:trHeight w:val="400"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北京永载文化有限公司</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6"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98"/>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1"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
              <w:jc w:val="center"/>
              <w:rPr>
                <w:rFonts w:ascii="宋体" w:hAnsi="宋体" w:cs="宋体" w:eastAsia="宋体" w:hint="default"/>
                <w:sz w:val="18"/>
                <w:szCs w:val="18"/>
              </w:rPr>
            </w:pPr>
            <w:r>
              <w:rPr>
                <w:rFonts w:ascii="宋体" w:hAnsi="宋体" w:cs="宋体" w:eastAsia="宋体" w:hint="default"/>
                <w:sz w:val="18"/>
                <w:szCs w:val="18"/>
              </w:rPr>
              <w:t>陈四清</w:t>
            </w:r>
          </w:p>
        </w:tc>
      </w:tr>
      <w:tr>
        <w:trPr>
          <w:trHeight w:val="292"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Times New Roman" w:hAnsi="Times New Roman" w:cs="Times New Roman" w:eastAsia="Times New Roman" w:hint="default"/>
                <w:sz w:val="18"/>
                <w:szCs w:val="18"/>
              </w:rPr>
            </w:pPr>
            <w:r>
              <w:rPr>
                <w:rFonts w:ascii="Times New Roman"/>
                <w:sz w:val="18"/>
              </w:rPr>
              <w:t>8. APPNODE TANGLE</w:t>
            </w:r>
            <w:r>
              <w:rPr>
                <w:rFonts w:ascii="Times New Roman"/>
                <w:spacing w:val="-10"/>
                <w:sz w:val="18"/>
              </w:rPr>
              <w:t> </w:t>
            </w:r>
            <w:r>
              <w:rPr>
                <w:rFonts w:ascii="Times New Roman"/>
                <w:sz w:val="18"/>
              </w:rPr>
              <w:t>COMPANY</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6"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211"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r>
      <w:tr>
        <w:trPr>
          <w:trHeight w:val="174" w:hRule="exact"/>
        </w:trPr>
        <w:tc>
          <w:tcPr>
            <w:tcW w:w="3567"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Style w:val="TableParagraph"/>
              <w:spacing w:line="174" w:lineRule="exact"/>
              <w:ind w:right="198"/>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595" w:type="dxa"/>
            <w:tcBorders>
              <w:top w:val="nil" w:sz="6" w:space="0" w:color="auto"/>
              <w:left w:val="nil" w:sz="6" w:space="0" w:color="auto"/>
              <w:bottom w:val="nil" w:sz="6" w:space="0" w:color="auto"/>
              <w:right w:val="nil" w:sz="6" w:space="0" w:color="auto"/>
            </w:tcBorders>
          </w:tcPr>
          <w:p>
            <w:pPr>
              <w:pStyle w:val="TableParagraph"/>
              <w:spacing w:line="174" w:lineRule="exact"/>
              <w:ind w:left="58"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027" w:type="dxa"/>
            <w:tcBorders>
              <w:top w:val="nil" w:sz="6" w:space="0" w:color="auto"/>
              <w:left w:val="nil" w:sz="6" w:space="0" w:color="auto"/>
              <w:bottom w:val="nil" w:sz="6" w:space="0" w:color="auto"/>
              <w:right w:val="nil" w:sz="6" w:space="0" w:color="auto"/>
            </w:tcBorders>
          </w:tcPr>
          <w:p>
            <w:pPr/>
          </w:p>
        </w:tc>
      </w:tr>
      <w:tr>
        <w:trPr>
          <w:trHeight w:val="286"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194"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p>
        </w:tc>
        <w:tc>
          <w:tcPr>
            <w:tcW w:w="1397"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r>
      <w:tr>
        <w:trPr>
          <w:trHeight w:val="285"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08" w:right="0"/>
              <w:jc w:val="left"/>
              <w:rPr>
                <w:rFonts w:ascii="Times New Roman" w:hAnsi="Times New Roman" w:cs="Times New Roman" w:eastAsia="Times New Roman" w:hint="default"/>
                <w:sz w:val="18"/>
                <w:szCs w:val="18"/>
              </w:rPr>
            </w:pPr>
            <w:r>
              <w:rPr>
                <w:rFonts w:ascii="Times New Roman"/>
                <w:sz w:val="18"/>
              </w:rPr>
              <w:t>8-1. APPNODE</w:t>
            </w:r>
            <w:r>
              <w:rPr>
                <w:rFonts w:ascii="Times New Roman"/>
                <w:spacing w:val="-12"/>
                <w:sz w:val="18"/>
              </w:rPr>
              <w:t> </w:t>
            </w:r>
            <w:r>
              <w:rPr>
                <w:rFonts w:ascii="Times New Roman"/>
                <w:spacing w:val="-4"/>
                <w:sz w:val="18"/>
              </w:rPr>
              <w:t>TANGLE</w:t>
            </w:r>
          </w:p>
        </w:tc>
        <w:tc>
          <w:tcPr>
            <w:tcW w:w="1397"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r>
      <w:tr>
        <w:trPr>
          <w:trHeight w:val="189" w:hRule="exact"/>
        </w:trPr>
        <w:tc>
          <w:tcPr>
            <w:tcW w:w="3567"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189" w:lineRule="exact"/>
              <w:ind w:left="206"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211" w:type="dxa"/>
            <w:tcBorders>
              <w:top w:val="nil" w:sz="6" w:space="0" w:color="auto"/>
              <w:left w:val="nil" w:sz="6" w:space="0" w:color="auto"/>
              <w:bottom w:val="nil" w:sz="6" w:space="0" w:color="auto"/>
              <w:right w:val="nil" w:sz="6" w:space="0" w:color="auto"/>
            </w:tcBorders>
          </w:tcPr>
          <w:p>
            <w:pPr>
              <w:pStyle w:val="TableParagraph"/>
              <w:spacing w:line="189" w:lineRule="exact"/>
              <w:ind w:right="198"/>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595" w:type="dxa"/>
            <w:tcBorders>
              <w:top w:val="nil" w:sz="6" w:space="0" w:color="auto"/>
              <w:left w:val="nil" w:sz="6" w:space="0" w:color="auto"/>
              <w:bottom w:val="nil" w:sz="6" w:space="0" w:color="auto"/>
              <w:right w:val="nil" w:sz="6" w:space="0" w:color="auto"/>
            </w:tcBorders>
          </w:tcPr>
          <w:p>
            <w:pPr>
              <w:pStyle w:val="TableParagraph"/>
              <w:spacing w:line="189" w:lineRule="exact"/>
              <w:ind w:left="61" w:right="0"/>
              <w:jc w:val="center"/>
              <w:rPr>
                <w:rFonts w:ascii="宋体" w:hAnsi="宋体" w:cs="宋体" w:eastAsia="宋体" w:hint="default"/>
                <w:sz w:val="18"/>
                <w:szCs w:val="18"/>
              </w:rPr>
            </w:pPr>
            <w:hyperlink r:id="rId27">
              <w:r>
                <w:rPr>
                  <w:rFonts w:ascii="宋体" w:hAnsi="宋体" w:cs="宋体" w:eastAsia="宋体" w:hint="default"/>
                  <w:sz w:val="18"/>
                  <w:szCs w:val="18"/>
                </w:rPr>
                <w:t>英属维尔京群岛</w:t>
              </w:r>
            </w:hyperlink>
          </w:p>
        </w:tc>
        <w:tc>
          <w:tcPr>
            <w:tcW w:w="1027" w:type="dxa"/>
            <w:tcBorders>
              <w:top w:val="nil" w:sz="6" w:space="0" w:color="auto"/>
              <w:left w:val="nil" w:sz="6" w:space="0" w:color="auto"/>
              <w:bottom w:val="nil" w:sz="6" w:space="0" w:color="auto"/>
              <w:right w:val="nil" w:sz="6" w:space="0" w:color="auto"/>
            </w:tcBorders>
          </w:tcPr>
          <w:p>
            <w:pPr/>
          </w:p>
        </w:tc>
      </w:tr>
      <w:tr>
        <w:trPr>
          <w:trHeight w:val="290" w:hRule="exact"/>
        </w:trPr>
        <w:tc>
          <w:tcPr>
            <w:tcW w:w="3567" w:type="dxa"/>
            <w:tcBorders>
              <w:top w:val="nil" w:sz="6" w:space="0" w:color="auto"/>
              <w:left w:val="nil" w:sz="6" w:space="0" w:color="auto"/>
              <w:bottom w:val="nil" w:sz="6" w:space="0" w:color="auto"/>
              <w:right w:val="nil" w:sz="6" w:space="0" w:color="auto"/>
            </w:tcBorders>
          </w:tcPr>
          <w:p>
            <w:pPr>
              <w:pStyle w:val="TableParagraph"/>
              <w:spacing w:line="194"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COMPANY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r>
              <w:rPr>
                <w:rFonts w:ascii="Times New Roman" w:hAnsi="Times New Roman" w:cs="Times New Roman" w:eastAsia="Times New Roman" w:hint="default"/>
                <w:sz w:val="18"/>
                <w:szCs w:val="18"/>
              </w:rPr>
              <w:t>BVI</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公司）</w:t>
            </w:r>
          </w:p>
        </w:tc>
        <w:tc>
          <w:tcPr>
            <w:tcW w:w="1397"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22"/>
          <w:szCs w:val="22"/>
        </w:rPr>
      </w:pPr>
    </w:p>
    <w:p>
      <w:pPr>
        <w:pStyle w:val="BodyText"/>
        <w:spacing w:line="240" w:lineRule="auto" w:before="44"/>
        <w:ind w:left="640" w:right="0"/>
        <w:jc w:val="left"/>
      </w:pPr>
      <w:r>
        <w:rPr/>
        <w:t>接上表：</w:t>
      </w:r>
    </w:p>
    <w:p>
      <w:pPr>
        <w:spacing w:line="240" w:lineRule="auto" w:before="10"/>
        <w:rPr>
          <w:rFonts w:ascii="宋体" w:hAnsi="宋体" w:cs="宋体" w:eastAsia="宋体" w:hint="default"/>
          <w:sz w:val="27"/>
          <w:szCs w:val="27"/>
        </w:rPr>
      </w:pPr>
    </w:p>
    <w:tbl>
      <w:tblPr>
        <w:tblW w:w="0" w:type="auto"/>
        <w:jc w:val="left"/>
        <w:tblInd w:w="172" w:type="dxa"/>
        <w:tblLayout w:type="fixed"/>
        <w:tblCellMar>
          <w:top w:w="0" w:type="dxa"/>
          <w:left w:w="0" w:type="dxa"/>
          <w:bottom w:w="0" w:type="dxa"/>
          <w:right w:w="0" w:type="dxa"/>
        </w:tblCellMar>
        <w:tblLook w:val="01E0"/>
      </w:tblPr>
      <w:tblGrid>
        <w:gridCol w:w="4407"/>
        <w:gridCol w:w="955"/>
        <w:gridCol w:w="841"/>
        <w:gridCol w:w="956"/>
        <w:gridCol w:w="1740"/>
      </w:tblGrid>
      <w:tr>
        <w:trPr>
          <w:trHeight w:val="608" w:hRule="exact"/>
        </w:trPr>
        <w:tc>
          <w:tcPr>
            <w:tcW w:w="440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1"/>
              <w:jc w:val="center"/>
              <w:rPr>
                <w:rFonts w:ascii="宋体" w:hAnsi="宋体" w:cs="宋体" w:eastAsia="宋体" w:hint="default"/>
                <w:sz w:val="15"/>
                <w:szCs w:val="15"/>
              </w:rPr>
            </w:pPr>
            <w:r>
              <w:rPr>
                <w:rFonts w:ascii="宋体" w:hAnsi="宋体" w:cs="宋体" w:eastAsia="宋体" w:hint="default"/>
                <w:b/>
                <w:bCs/>
                <w:sz w:val="15"/>
                <w:szCs w:val="15"/>
              </w:rPr>
              <w:t>业务性质</w:t>
            </w:r>
            <w:r>
              <w:rPr>
                <w:rFonts w:ascii="宋体" w:hAnsi="宋体" w:cs="宋体" w:eastAsia="宋体" w:hint="default"/>
                <w:sz w:val="15"/>
                <w:szCs w:val="15"/>
              </w:rPr>
            </w:r>
          </w:p>
        </w:tc>
        <w:tc>
          <w:tcPr>
            <w:tcW w:w="955" w:type="dxa"/>
            <w:tcBorders>
              <w:top w:val="nil" w:sz="6" w:space="0" w:color="auto"/>
              <w:left w:val="nil" w:sz="6" w:space="0" w:color="auto"/>
              <w:bottom w:val="single" w:sz="4" w:space="0" w:color="000000"/>
              <w:right w:val="nil" w:sz="6" w:space="0" w:color="auto"/>
            </w:tcBorders>
          </w:tcPr>
          <w:p>
            <w:pPr>
              <w:pStyle w:val="TableParagraph"/>
              <w:spacing w:line="151" w:lineRule="exact"/>
              <w:ind w:left="149" w:right="0"/>
              <w:jc w:val="left"/>
              <w:rPr>
                <w:rFonts w:ascii="宋体" w:hAnsi="宋体" w:cs="宋体" w:eastAsia="宋体" w:hint="default"/>
                <w:sz w:val="15"/>
                <w:szCs w:val="15"/>
              </w:rPr>
            </w:pPr>
            <w:r>
              <w:rPr>
                <w:rFonts w:ascii="宋体" w:hAnsi="宋体" w:cs="宋体" w:eastAsia="宋体" w:hint="default"/>
                <w:b/>
                <w:bCs/>
                <w:sz w:val="15"/>
                <w:szCs w:val="15"/>
              </w:rPr>
              <w:t>注册资本</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49" w:right="0"/>
              <w:jc w:val="left"/>
              <w:rPr>
                <w:rFonts w:ascii="宋体" w:hAnsi="宋体" w:cs="宋体" w:eastAsia="宋体" w:hint="default"/>
                <w:sz w:val="15"/>
                <w:szCs w:val="15"/>
              </w:rPr>
            </w:pPr>
            <w:r>
              <w:rPr>
                <w:rFonts w:ascii="宋体" w:hAnsi="宋体" w:cs="宋体" w:eastAsia="宋体" w:hint="default"/>
                <w:b/>
                <w:bCs/>
                <w:sz w:val="15"/>
                <w:szCs w:val="15"/>
              </w:rPr>
              <w:t>（万元）</w:t>
            </w:r>
            <w:r>
              <w:rPr>
                <w:rFonts w:ascii="宋体" w:hAnsi="宋体" w:cs="宋体" w:eastAsia="宋体" w:hint="default"/>
                <w:sz w:val="15"/>
                <w:szCs w:val="15"/>
              </w:rPr>
            </w:r>
          </w:p>
        </w:tc>
        <w:tc>
          <w:tcPr>
            <w:tcW w:w="841" w:type="dxa"/>
            <w:tcBorders>
              <w:top w:val="nil" w:sz="6" w:space="0" w:color="auto"/>
              <w:left w:val="nil" w:sz="6" w:space="0" w:color="auto"/>
              <w:bottom w:val="single" w:sz="4" w:space="0" w:color="000000"/>
              <w:right w:val="nil" w:sz="6" w:space="0" w:color="auto"/>
            </w:tcBorders>
          </w:tcPr>
          <w:p>
            <w:pPr>
              <w:pStyle w:val="TableParagraph"/>
              <w:spacing w:line="151" w:lineRule="exact"/>
              <w:ind w:left="115" w:right="0"/>
              <w:jc w:val="left"/>
              <w:rPr>
                <w:rFonts w:ascii="宋体" w:hAnsi="宋体" w:cs="宋体" w:eastAsia="宋体" w:hint="default"/>
                <w:sz w:val="15"/>
                <w:szCs w:val="15"/>
              </w:rPr>
            </w:pPr>
            <w:r>
              <w:rPr>
                <w:rFonts w:ascii="宋体" w:hAnsi="宋体" w:cs="宋体" w:eastAsia="宋体" w:hint="default"/>
                <w:b/>
                <w:bCs/>
                <w:sz w:val="15"/>
                <w:szCs w:val="15"/>
              </w:rPr>
              <w:t>持股比例</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90"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956" w:type="dxa"/>
            <w:tcBorders>
              <w:top w:val="nil" w:sz="6" w:space="0" w:color="auto"/>
              <w:left w:val="nil" w:sz="6" w:space="0" w:color="auto"/>
              <w:bottom w:val="single" w:sz="4" w:space="0" w:color="000000"/>
              <w:right w:val="nil" w:sz="6" w:space="0" w:color="auto"/>
            </w:tcBorders>
          </w:tcPr>
          <w:p>
            <w:pPr>
              <w:pStyle w:val="TableParagraph"/>
              <w:spacing w:line="151" w:lineRule="exact"/>
              <w:ind w:left="40" w:right="0"/>
              <w:jc w:val="center"/>
              <w:rPr>
                <w:rFonts w:ascii="宋体" w:hAnsi="宋体" w:cs="宋体" w:eastAsia="宋体" w:hint="default"/>
                <w:sz w:val="15"/>
                <w:szCs w:val="15"/>
              </w:rPr>
            </w:pPr>
            <w:r>
              <w:rPr>
                <w:rFonts w:ascii="宋体" w:hAnsi="宋体" w:cs="宋体" w:eastAsia="宋体" w:hint="default"/>
                <w:b/>
                <w:bCs/>
                <w:sz w:val="15"/>
                <w:szCs w:val="15"/>
              </w:rPr>
              <w:t>表决权比例</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40"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245"/>
              <w:jc w:val="right"/>
              <w:rPr>
                <w:rFonts w:ascii="宋体" w:hAnsi="宋体" w:cs="宋体" w:eastAsia="宋体" w:hint="default"/>
                <w:sz w:val="15"/>
                <w:szCs w:val="15"/>
              </w:rPr>
            </w:pPr>
            <w:r>
              <w:rPr>
                <w:rFonts w:ascii="宋体" w:hAnsi="宋体" w:cs="宋体" w:eastAsia="宋体" w:hint="default"/>
                <w:b/>
                <w:bCs/>
                <w:spacing w:val="-1"/>
                <w:sz w:val="15"/>
                <w:szCs w:val="15"/>
              </w:rPr>
              <w:t>统一社会信用代码</w:t>
            </w:r>
            <w:r>
              <w:rPr>
                <w:rFonts w:ascii="宋体" w:hAnsi="宋体" w:cs="宋体" w:eastAsia="宋体" w:hint="default"/>
                <w:spacing w:val="-1"/>
                <w:sz w:val="15"/>
                <w:szCs w:val="15"/>
              </w:rPr>
            </w:r>
          </w:p>
        </w:tc>
      </w:tr>
      <w:tr>
        <w:trPr>
          <w:trHeight w:val="441" w:hRule="exact"/>
        </w:trPr>
        <w:tc>
          <w:tcPr>
            <w:tcW w:w="4407"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08" w:right="0"/>
              <w:jc w:val="left"/>
              <w:rPr>
                <w:rFonts w:ascii="宋体" w:hAnsi="宋体" w:cs="宋体" w:eastAsia="宋体" w:hint="default"/>
                <w:sz w:val="15"/>
                <w:szCs w:val="15"/>
              </w:rPr>
            </w:pPr>
            <w:r>
              <w:rPr>
                <w:rFonts w:ascii="宋体" w:hAnsi="宋体" w:cs="宋体" w:eastAsia="宋体" w:hint="default"/>
                <w:sz w:val="15"/>
                <w:szCs w:val="15"/>
              </w:rPr>
              <w:t>文化活动的组织与策划；知识产权法律服务；出版物批发</w:t>
            </w:r>
          </w:p>
        </w:tc>
        <w:tc>
          <w:tcPr>
            <w:tcW w:w="95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14"/>
              <w:jc w:val="right"/>
              <w:rPr>
                <w:rFonts w:ascii="Times New Roman" w:hAnsi="Times New Roman" w:cs="Times New Roman" w:eastAsia="Times New Roman" w:hint="default"/>
                <w:sz w:val="15"/>
                <w:szCs w:val="15"/>
              </w:rPr>
            </w:pPr>
            <w:r>
              <w:rPr>
                <w:rFonts w:ascii="Times New Roman"/>
                <w:spacing w:val="-1"/>
                <w:sz w:val="15"/>
              </w:rPr>
              <w:t>3,000</w:t>
            </w:r>
          </w:p>
        </w:tc>
        <w:tc>
          <w:tcPr>
            <w:tcW w:w="841"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303" w:right="0"/>
              <w:jc w:val="left"/>
              <w:rPr>
                <w:rFonts w:ascii="Times New Roman" w:hAnsi="Times New Roman" w:cs="Times New Roman" w:eastAsia="Times New Roman" w:hint="default"/>
                <w:sz w:val="15"/>
                <w:szCs w:val="15"/>
              </w:rPr>
            </w:pPr>
            <w:r>
              <w:rPr>
                <w:rFonts w:ascii="Times New Roman"/>
                <w:sz w:val="15"/>
              </w:rPr>
              <w:t>100</w:t>
            </w:r>
          </w:p>
        </w:tc>
        <w:tc>
          <w:tcPr>
            <w:tcW w:w="95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383" w:right="0"/>
              <w:jc w:val="left"/>
              <w:rPr>
                <w:rFonts w:ascii="Times New Roman" w:hAnsi="Times New Roman" w:cs="Times New Roman" w:eastAsia="Times New Roman" w:hint="default"/>
                <w:sz w:val="15"/>
                <w:szCs w:val="15"/>
              </w:rPr>
            </w:pPr>
            <w:r>
              <w:rPr>
                <w:rFonts w:ascii="Times New Roman"/>
                <w:sz w:val="15"/>
              </w:rPr>
              <w:t>100</w:t>
            </w: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80" w:right="0"/>
              <w:jc w:val="left"/>
              <w:rPr>
                <w:rFonts w:ascii="Times New Roman" w:hAnsi="Times New Roman" w:cs="Times New Roman" w:eastAsia="Times New Roman" w:hint="default"/>
                <w:sz w:val="15"/>
                <w:szCs w:val="15"/>
              </w:rPr>
            </w:pPr>
            <w:r>
              <w:rPr>
                <w:rFonts w:ascii="Times New Roman"/>
                <w:sz w:val="15"/>
              </w:rPr>
              <w:t>430121000006341</w:t>
            </w:r>
          </w:p>
        </w:tc>
      </w:tr>
      <w:tr>
        <w:trPr>
          <w:trHeight w:val="401" w:hRule="exact"/>
        </w:trPr>
        <w:tc>
          <w:tcPr>
            <w:tcW w:w="440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5"/>
                <w:szCs w:val="15"/>
              </w:rPr>
            </w:pPr>
            <w:r>
              <w:rPr>
                <w:rFonts w:ascii="宋体" w:hAnsi="宋体" w:cs="宋体" w:eastAsia="宋体" w:hint="default"/>
                <w:sz w:val="15"/>
                <w:szCs w:val="15"/>
              </w:rPr>
              <w:t>销售图书、报纸、期刊、电子出版物</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3"/>
              <w:jc w:val="right"/>
              <w:rPr>
                <w:rFonts w:ascii="Times New Roman" w:hAnsi="Times New Roman" w:cs="Times New Roman" w:eastAsia="Times New Roman" w:hint="default"/>
                <w:sz w:val="15"/>
                <w:szCs w:val="15"/>
              </w:rPr>
            </w:pPr>
            <w:r>
              <w:rPr>
                <w:rFonts w:ascii="Times New Roman"/>
                <w:spacing w:val="-1"/>
                <w:sz w:val="15"/>
              </w:rPr>
              <w:t>500</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03" w:right="0"/>
              <w:jc w:val="left"/>
              <w:rPr>
                <w:rFonts w:ascii="Times New Roman" w:hAnsi="Times New Roman" w:cs="Times New Roman" w:eastAsia="Times New Roman" w:hint="default"/>
                <w:sz w:val="15"/>
                <w:szCs w:val="15"/>
              </w:rPr>
            </w:pPr>
            <w:r>
              <w:rPr>
                <w:rFonts w:ascii="Times New Roman"/>
                <w:sz w:val="15"/>
              </w:rPr>
              <w:t>100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83" w:right="0"/>
              <w:jc w:val="left"/>
              <w:rPr>
                <w:rFonts w:ascii="Times New Roman" w:hAnsi="Times New Roman" w:cs="Times New Roman" w:eastAsia="Times New Roman" w:hint="default"/>
                <w:sz w:val="15"/>
                <w:szCs w:val="15"/>
              </w:rPr>
            </w:pPr>
            <w:r>
              <w:rPr>
                <w:rFonts w:ascii="Times New Roman"/>
                <w:sz w:val="15"/>
              </w:rPr>
              <w:t>100</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80" w:right="0"/>
              <w:jc w:val="left"/>
              <w:rPr>
                <w:rFonts w:ascii="Times New Roman" w:hAnsi="Times New Roman" w:cs="Times New Roman" w:eastAsia="Times New Roman" w:hint="default"/>
                <w:sz w:val="15"/>
                <w:szCs w:val="15"/>
              </w:rPr>
            </w:pPr>
            <w:r>
              <w:rPr>
                <w:rFonts w:ascii="Times New Roman"/>
                <w:sz w:val="15"/>
              </w:rPr>
              <w:t>110102011259677</w:t>
            </w:r>
          </w:p>
        </w:tc>
      </w:tr>
      <w:tr>
        <w:trPr>
          <w:trHeight w:val="755" w:hRule="exact"/>
        </w:trPr>
        <w:tc>
          <w:tcPr>
            <w:tcW w:w="4407" w:type="dxa"/>
            <w:tcBorders>
              <w:top w:val="nil" w:sz="6" w:space="0" w:color="auto"/>
              <w:left w:val="nil" w:sz="6" w:space="0" w:color="auto"/>
              <w:bottom w:val="nil" w:sz="6" w:space="0" w:color="auto"/>
              <w:right w:val="nil" w:sz="6" w:space="0" w:color="auto"/>
            </w:tcBorders>
          </w:tcPr>
          <w:p>
            <w:pPr>
              <w:pStyle w:val="TableParagraph"/>
              <w:spacing w:line="436" w:lineRule="auto" w:before="75"/>
              <w:ind w:left="110" w:right="149"/>
              <w:jc w:val="left"/>
              <w:rPr>
                <w:rFonts w:ascii="宋体" w:hAnsi="宋体" w:cs="宋体" w:eastAsia="宋体" w:hint="default"/>
                <w:sz w:val="15"/>
                <w:szCs w:val="15"/>
              </w:rPr>
            </w:pPr>
            <w:r>
              <w:rPr>
                <w:rFonts w:ascii="宋体" w:hAnsi="宋体" w:cs="宋体" w:eastAsia="宋体" w:hint="default"/>
                <w:spacing w:val="-4"/>
                <w:sz w:val="15"/>
                <w:szCs w:val="15"/>
              </w:rPr>
              <w:t>互联网信息服务；利用信息网经营游戏产品；互联网游戏、手机</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游戏出版</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114"/>
              <w:jc w:val="right"/>
              <w:rPr>
                <w:rFonts w:ascii="Times New Roman" w:hAnsi="Times New Roman" w:cs="Times New Roman" w:eastAsia="Times New Roman" w:hint="default"/>
                <w:sz w:val="15"/>
                <w:szCs w:val="15"/>
              </w:rPr>
            </w:pPr>
            <w:r>
              <w:rPr>
                <w:rFonts w:ascii="Times New Roman"/>
                <w:spacing w:val="-1"/>
                <w:sz w:val="15"/>
              </w:rPr>
              <w:t>1,000</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303" w:right="0"/>
              <w:jc w:val="left"/>
              <w:rPr>
                <w:rFonts w:ascii="Times New Roman" w:hAnsi="Times New Roman" w:cs="Times New Roman" w:eastAsia="Times New Roman" w:hint="default"/>
                <w:sz w:val="15"/>
                <w:szCs w:val="15"/>
              </w:rPr>
            </w:pPr>
            <w:r>
              <w:rPr>
                <w:rFonts w:ascii="Times New Roman"/>
                <w:sz w:val="15"/>
              </w:rPr>
              <w:t>100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383" w:right="0"/>
              <w:jc w:val="left"/>
              <w:rPr>
                <w:rFonts w:ascii="Times New Roman" w:hAnsi="Times New Roman" w:cs="Times New Roman" w:eastAsia="Times New Roman" w:hint="default"/>
                <w:sz w:val="15"/>
                <w:szCs w:val="15"/>
              </w:rPr>
            </w:pPr>
            <w:r>
              <w:rPr>
                <w:rFonts w:ascii="Times New Roman"/>
                <w:sz w:val="15"/>
              </w:rPr>
              <w:t>100</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189"/>
              <w:jc w:val="right"/>
              <w:rPr>
                <w:rFonts w:ascii="Times New Roman" w:hAnsi="Times New Roman" w:cs="Times New Roman" w:eastAsia="Times New Roman" w:hint="default"/>
                <w:sz w:val="15"/>
                <w:szCs w:val="15"/>
              </w:rPr>
            </w:pPr>
            <w:r>
              <w:rPr>
                <w:rFonts w:ascii="Times New Roman"/>
                <w:spacing w:val="-2"/>
                <w:sz w:val="15"/>
              </w:rPr>
              <w:t>91110105693233156L</w:t>
            </w:r>
          </w:p>
        </w:tc>
      </w:tr>
      <w:tr>
        <w:trPr>
          <w:trHeight w:val="760" w:hRule="exact"/>
        </w:trPr>
        <w:tc>
          <w:tcPr>
            <w:tcW w:w="4407" w:type="dxa"/>
            <w:tcBorders>
              <w:top w:val="nil" w:sz="6" w:space="0" w:color="auto"/>
              <w:left w:val="nil" w:sz="6" w:space="0" w:color="auto"/>
              <w:bottom w:val="nil" w:sz="6" w:space="0" w:color="auto"/>
              <w:right w:val="nil" w:sz="6" w:space="0" w:color="auto"/>
            </w:tcBorders>
          </w:tcPr>
          <w:p>
            <w:pPr>
              <w:pStyle w:val="TableParagraph"/>
              <w:spacing w:line="436" w:lineRule="auto" w:before="80"/>
              <w:ind w:left="110" w:right="147"/>
              <w:jc w:val="left"/>
              <w:rPr>
                <w:rFonts w:ascii="宋体" w:hAnsi="宋体" w:cs="宋体" w:eastAsia="宋体" w:hint="default"/>
                <w:sz w:val="15"/>
                <w:szCs w:val="15"/>
              </w:rPr>
            </w:pPr>
            <w:r>
              <w:rPr>
                <w:rFonts w:ascii="宋体" w:hAnsi="宋体" w:cs="宋体" w:eastAsia="宋体" w:hint="default"/>
                <w:spacing w:val="-4"/>
                <w:sz w:val="15"/>
                <w:szCs w:val="15"/>
              </w:rPr>
              <w:t>信息技术开发、技术转让、技术咨询、技术服务、技术推广；计</w:t>
            </w:r>
            <w:r>
              <w:rPr>
                <w:rFonts w:ascii="宋体" w:hAnsi="宋体" w:cs="宋体" w:eastAsia="宋体" w:hint="default"/>
                <w:spacing w:val="-23"/>
                <w:sz w:val="15"/>
                <w:szCs w:val="15"/>
              </w:rPr>
              <w:t> </w:t>
            </w:r>
            <w:r>
              <w:rPr>
                <w:rFonts w:ascii="宋体" w:hAnsi="宋体" w:cs="宋体" w:eastAsia="宋体" w:hint="default"/>
                <w:spacing w:val="-23"/>
                <w:sz w:val="15"/>
                <w:szCs w:val="15"/>
              </w:rPr>
            </w:r>
            <w:r>
              <w:rPr>
                <w:rFonts w:ascii="宋体" w:hAnsi="宋体" w:cs="宋体" w:eastAsia="宋体" w:hint="default"/>
                <w:sz w:val="15"/>
                <w:szCs w:val="15"/>
              </w:rPr>
              <w:t>算机系统服务；软件开发；电脑动画设计</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right="114"/>
              <w:jc w:val="right"/>
              <w:rPr>
                <w:rFonts w:ascii="Times New Roman" w:hAnsi="Times New Roman" w:cs="Times New Roman" w:eastAsia="Times New Roman" w:hint="default"/>
                <w:sz w:val="15"/>
                <w:szCs w:val="15"/>
              </w:rPr>
            </w:pPr>
            <w:r>
              <w:rPr>
                <w:rFonts w:ascii="Times New Roman"/>
                <w:spacing w:val="-1"/>
                <w:sz w:val="15"/>
              </w:rPr>
              <w:t>1,000</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left="303" w:right="0"/>
              <w:jc w:val="left"/>
              <w:rPr>
                <w:rFonts w:ascii="Times New Roman" w:hAnsi="Times New Roman" w:cs="Times New Roman" w:eastAsia="Times New Roman" w:hint="default"/>
                <w:sz w:val="15"/>
                <w:szCs w:val="15"/>
              </w:rPr>
            </w:pPr>
            <w:r>
              <w:rPr>
                <w:rFonts w:ascii="Times New Roman"/>
                <w:sz w:val="15"/>
              </w:rPr>
              <w:t>100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left="383" w:right="0"/>
              <w:jc w:val="left"/>
              <w:rPr>
                <w:rFonts w:ascii="Times New Roman" w:hAnsi="Times New Roman" w:cs="Times New Roman" w:eastAsia="Times New Roman" w:hint="default"/>
                <w:sz w:val="15"/>
                <w:szCs w:val="15"/>
              </w:rPr>
            </w:pPr>
            <w:r>
              <w:rPr>
                <w:rFonts w:ascii="Times New Roman"/>
                <w:sz w:val="15"/>
              </w:rPr>
              <w:t>100</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right="197"/>
              <w:jc w:val="right"/>
              <w:rPr>
                <w:rFonts w:ascii="Times New Roman" w:hAnsi="Times New Roman" w:cs="Times New Roman" w:eastAsia="Times New Roman" w:hint="default"/>
                <w:sz w:val="15"/>
                <w:szCs w:val="15"/>
              </w:rPr>
            </w:pPr>
            <w:r>
              <w:rPr>
                <w:rFonts w:ascii="Times New Roman"/>
                <w:spacing w:val="-2"/>
                <w:sz w:val="15"/>
              </w:rPr>
              <w:t>91120116069874638P</w:t>
            </w:r>
          </w:p>
        </w:tc>
      </w:tr>
      <w:tr>
        <w:trPr>
          <w:trHeight w:val="284" w:hRule="exact"/>
        </w:trPr>
        <w:tc>
          <w:tcPr>
            <w:tcW w:w="440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8" w:right="0"/>
              <w:jc w:val="left"/>
              <w:rPr>
                <w:rFonts w:ascii="宋体" w:hAnsi="宋体" w:cs="宋体" w:eastAsia="宋体" w:hint="default"/>
                <w:sz w:val="15"/>
                <w:szCs w:val="15"/>
              </w:rPr>
            </w:pPr>
            <w:r>
              <w:rPr>
                <w:rFonts w:ascii="宋体" w:hAnsi="宋体" w:cs="宋体" w:eastAsia="宋体" w:hint="default"/>
                <w:sz w:val="15"/>
                <w:szCs w:val="15"/>
              </w:rPr>
              <w:t>图书批发；报刊批发；图书、报刊零售</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13"/>
              <w:jc w:val="right"/>
              <w:rPr>
                <w:rFonts w:ascii="Times New Roman" w:hAnsi="Times New Roman" w:cs="Times New Roman" w:eastAsia="Times New Roman" w:hint="default"/>
                <w:sz w:val="15"/>
                <w:szCs w:val="15"/>
              </w:rPr>
            </w:pPr>
            <w:r>
              <w:rPr>
                <w:rFonts w:ascii="Times New Roman"/>
                <w:spacing w:val="-1"/>
                <w:sz w:val="15"/>
              </w:rPr>
              <w:t>300</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41" w:right="0"/>
              <w:jc w:val="left"/>
              <w:rPr>
                <w:rFonts w:ascii="Times New Roman" w:hAnsi="Times New Roman" w:cs="Times New Roman" w:eastAsia="Times New Roman" w:hint="default"/>
                <w:sz w:val="15"/>
                <w:szCs w:val="15"/>
              </w:rPr>
            </w:pPr>
            <w:r>
              <w:rPr>
                <w:rFonts w:ascii="Times New Roman"/>
                <w:sz w:val="15"/>
              </w:rPr>
              <w:t>60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22" w:right="0"/>
              <w:jc w:val="left"/>
              <w:rPr>
                <w:rFonts w:ascii="Times New Roman" w:hAnsi="Times New Roman" w:cs="Times New Roman" w:eastAsia="Times New Roman" w:hint="default"/>
                <w:sz w:val="15"/>
                <w:szCs w:val="15"/>
              </w:rPr>
            </w:pPr>
            <w:r>
              <w:rPr>
                <w:rFonts w:ascii="Times New Roman"/>
                <w:sz w:val="15"/>
              </w:rPr>
              <w:t>60</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79" w:right="0"/>
              <w:jc w:val="left"/>
              <w:rPr>
                <w:rFonts w:ascii="Times New Roman" w:hAnsi="Times New Roman" w:cs="Times New Roman" w:eastAsia="Times New Roman" w:hint="default"/>
                <w:sz w:val="15"/>
                <w:szCs w:val="15"/>
              </w:rPr>
            </w:pPr>
            <w:r>
              <w:rPr>
                <w:rFonts w:ascii="Times New Roman"/>
                <w:sz w:val="15"/>
              </w:rPr>
              <w:t>440104000010936</w:t>
            </w:r>
          </w:p>
        </w:tc>
      </w:tr>
    </w:tbl>
    <w:p>
      <w:pPr>
        <w:spacing w:after="0" w:line="240" w:lineRule="auto"/>
        <w:jc w:val="left"/>
        <w:rPr>
          <w:rFonts w:ascii="Times New Roman" w:hAnsi="Times New Roman" w:cs="Times New Roman" w:eastAsia="Times New Roman" w:hint="default"/>
          <w:sz w:val="15"/>
          <w:szCs w:val="15"/>
        </w:rPr>
        <w:sectPr>
          <w:pgSz w:w="11910" w:h="16840"/>
          <w:pgMar w:header="0" w:footer="979" w:top="1480" w:bottom="1160" w:left="1520" w:right="1200"/>
        </w:sectPr>
      </w:pPr>
    </w:p>
    <w:p>
      <w:pPr>
        <w:spacing w:line="240" w:lineRule="auto" w:before="2"/>
        <w:rPr>
          <w:rFonts w:ascii="宋体" w:hAnsi="宋体" w:cs="宋体" w:eastAsia="宋体" w:hint="default"/>
          <w:sz w:val="6"/>
          <w:szCs w:val="6"/>
        </w:rPr>
      </w:pPr>
    </w:p>
    <w:tbl>
      <w:tblPr>
        <w:tblW w:w="0" w:type="auto"/>
        <w:jc w:val="left"/>
        <w:tblInd w:w="252" w:type="dxa"/>
        <w:tblLayout w:type="fixed"/>
        <w:tblCellMar>
          <w:top w:w="0" w:type="dxa"/>
          <w:left w:w="0" w:type="dxa"/>
          <w:bottom w:w="0" w:type="dxa"/>
          <w:right w:w="0" w:type="dxa"/>
        </w:tblCellMar>
        <w:tblLook w:val="01E0"/>
      </w:tblPr>
      <w:tblGrid>
        <w:gridCol w:w="3790"/>
        <w:gridCol w:w="1610"/>
        <w:gridCol w:w="803"/>
        <w:gridCol w:w="1006"/>
        <w:gridCol w:w="1690"/>
      </w:tblGrid>
      <w:tr>
        <w:trPr>
          <w:trHeight w:val="608" w:hRule="exact"/>
        </w:trPr>
        <w:tc>
          <w:tcPr>
            <w:tcW w:w="379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73" w:right="0"/>
              <w:jc w:val="center"/>
              <w:rPr>
                <w:rFonts w:ascii="宋体" w:hAnsi="宋体" w:cs="宋体" w:eastAsia="宋体" w:hint="default"/>
                <w:sz w:val="15"/>
                <w:szCs w:val="15"/>
              </w:rPr>
            </w:pPr>
            <w:r>
              <w:rPr>
                <w:rFonts w:ascii="宋体" w:hAnsi="宋体" w:cs="宋体" w:eastAsia="宋体" w:hint="default"/>
                <w:b/>
                <w:bCs/>
                <w:sz w:val="15"/>
                <w:szCs w:val="15"/>
              </w:rPr>
              <w:t>业务性质</w:t>
            </w:r>
            <w:r>
              <w:rPr>
                <w:rFonts w:ascii="宋体" w:hAnsi="宋体" w:cs="宋体" w:eastAsia="宋体" w:hint="default"/>
                <w:sz w:val="15"/>
                <w:szCs w:val="15"/>
              </w:rPr>
            </w:r>
          </w:p>
        </w:tc>
        <w:tc>
          <w:tcPr>
            <w:tcW w:w="1610" w:type="dxa"/>
            <w:tcBorders>
              <w:top w:val="nil" w:sz="6" w:space="0" w:color="auto"/>
              <w:left w:val="nil" w:sz="6" w:space="0" w:color="auto"/>
              <w:bottom w:val="single" w:sz="4" w:space="0" w:color="000000"/>
              <w:right w:val="nil" w:sz="6" w:space="0" w:color="auto"/>
            </w:tcBorders>
          </w:tcPr>
          <w:p>
            <w:pPr>
              <w:pStyle w:val="TableParagraph"/>
              <w:spacing w:line="151" w:lineRule="exact"/>
              <w:ind w:left="765" w:right="0"/>
              <w:jc w:val="left"/>
              <w:rPr>
                <w:rFonts w:ascii="宋体" w:hAnsi="宋体" w:cs="宋体" w:eastAsia="宋体" w:hint="default"/>
                <w:sz w:val="15"/>
                <w:szCs w:val="15"/>
              </w:rPr>
            </w:pPr>
            <w:r>
              <w:rPr>
                <w:rFonts w:ascii="宋体" w:hAnsi="宋体" w:cs="宋体" w:eastAsia="宋体" w:hint="default"/>
                <w:b/>
                <w:bCs/>
                <w:sz w:val="15"/>
                <w:szCs w:val="15"/>
              </w:rPr>
              <w:t>注册资本</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765" w:right="0"/>
              <w:jc w:val="left"/>
              <w:rPr>
                <w:rFonts w:ascii="宋体" w:hAnsi="宋体" w:cs="宋体" w:eastAsia="宋体" w:hint="default"/>
                <w:sz w:val="15"/>
                <w:szCs w:val="15"/>
              </w:rPr>
            </w:pPr>
            <w:r>
              <w:rPr>
                <w:rFonts w:ascii="宋体" w:hAnsi="宋体" w:cs="宋体" w:eastAsia="宋体" w:hint="default"/>
                <w:b/>
                <w:bCs/>
                <w:sz w:val="15"/>
                <w:szCs w:val="15"/>
              </w:rPr>
              <w:t>（万元）</w:t>
            </w:r>
            <w:r>
              <w:rPr>
                <w:rFonts w:ascii="宋体" w:hAnsi="宋体" w:cs="宋体" w:eastAsia="宋体" w:hint="default"/>
                <w:sz w:val="15"/>
                <w:szCs w:val="15"/>
              </w:rPr>
            </w:r>
          </w:p>
        </w:tc>
        <w:tc>
          <w:tcPr>
            <w:tcW w:w="803" w:type="dxa"/>
            <w:tcBorders>
              <w:top w:val="nil" w:sz="6" w:space="0" w:color="auto"/>
              <w:left w:val="nil" w:sz="6" w:space="0" w:color="auto"/>
              <w:bottom w:val="single" w:sz="4" w:space="0" w:color="000000"/>
              <w:right w:val="nil" w:sz="6" w:space="0" w:color="auto"/>
            </w:tcBorders>
          </w:tcPr>
          <w:p>
            <w:pPr>
              <w:pStyle w:val="TableParagraph"/>
              <w:spacing w:line="151" w:lineRule="exact"/>
              <w:ind w:left="78" w:right="0"/>
              <w:jc w:val="left"/>
              <w:rPr>
                <w:rFonts w:ascii="宋体" w:hAnsi="宋体" w:cs="宋体" w:eastAsia="宋体" w:hint="default"/>
                <w:sz w:val="15"/>
                <w:szCs w:val="15"/>
              </w:rPr>
            </w:pPr>
            <w:r>
              <w:rPr>
                <w:rFonts w:ascii="宋体" w:hAnsi="宋体" w:cs="宋体" w:eastAsia="宋体" w:hint="default"/>
                <w:b/>
                <w:bCs/>
                <w:sz w:val="15"/>
                <w:szCs w:val="15"/>
              </w:rPr>
              <w:t>持股比例</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52"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006" w:type="dxa"/>
            <w:tcBorders>
              <w:top w:val="nil" w:sz="6" w:space="0" w:color="auto"/>
              <w:left w:val="nil" w:sz="6" w:space="0" w:color="auto"/>
              <w:bottom w:val="single" w:sz="4" w:space="0" w:color="000000"/>
              <w:right w:val="nil" w:sz="6" w:space="0" w:color="auto"/>
            </w:tcBorders>
          </w:tcPr>
          <w:p>
            <w:pPr>
              <w:pStyle w:val="TableParagraph"/>
              <w:spacing w:line="151" w:lineRule="exact"/>
              <w:ind w:right="7"/>
              <w:jc w:val="center"/>
              <w:rPr>
                <w:rFonts w:ascii="宋体" w:hAnsi="宋体" w:cs="宋体" w:eastAsia="宋体" w:hint="default"/>
                <w:sz w:val="15"/>
                <w:szCs w:val="15"/>
              </w:rPr>
            </w:pPr>
            <w:r>
              <w:rPr>
                <w:rFonts w:ascii="宋体" w:hAnsi="宋体" w:cs="宋体" w:eastAsia="宋体" w:hint="default"/>
                <w:b/>
                <w:bCs/>
                <w:sz w:val="15"/>
                <w:szCs w:val="15"/>
              </w:rPr>
              <w:t>表决权比例</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69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b/>
                <w:bCs/>
                <w:sz w:val="15"/>
                <w:szCs w:val="15"/>
              </w:rPr>
              <w:t>统一社会信用代码</w:t>
            </w:r>
            <w:r>
              <w:rPr>
                <w:rFonts w:ascii="宋体" w:hAnsi="宋体" w:cs="宋体" w:eastAsia="宋体" w:hint="default"/>
                <w:sz w:val="15"/>
                <w:szCs w:val="15"/>
              </w:rPr>
            </w:r>
          </w:p>
        </w:tc>
      </w:tr>
      <w:tr>
        <w:trPr>
          <w:trHeight w:val="441" w:hRule="exact"/>
        </w:trPr>
        <w:tc>
          <w:tcPr>
            <w:tcW w:w="3790"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08" w:right="0"/>
              <w:jc w:val="left"/>
              <w:rPr>
                <w:rFonts w:ascii="宋体" w:hAnsi="宋体" w:cs="宋体" w:eastAsia="宋体" w:hint="default"/>
                <w:sz w:val="15"/>
                <w:szCs w:val="15"/>
              </w:rPr>
            </w:pPr>
            <w:r>
              <w:rPr>
                <w:rFonts w:ascii="宋体" w:hAnsi="宋体" w:cs="宋体" w:eastAsia="宋体" w:hint="default"/>
                <w:sz w:val="15"/>
                <w:szCs w:val="15"/>
              </w:rPr>
              <w:t>书报刊批发</w:t>
            </w:r>
          </w:p>
        </w:tc>
        <w:tc>
          <w:tcPr>
            <w:tcW w:w="161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51"/>
              <w:jc w:val="right"/>
              <w:rPr>
                <w:rFonts w:ascii="Times New Roman" w:hAnsi="Times New Roman" w:cs="Times New Roman" w:eastAsia="Times New Roman" w:hint="default"/>
                <w:sz w:val="15"/>
                <w:szCs w:val="15"/>
              </w:rPr>
            </w:pPr>
            <w:r>
              <w:rPr>
                <w:rFonts w:ascii="Times New Roman"/>
                <w:spacing w:val="-1"/>
                <w:sz w:val="15"/>
              </w:rPr>
              <w:t>500</w:t>
            </w:r>
          </w:p>
        </w:tc>
        <w:tc>
          <w:tcPr>
            <w:tcW w:w="80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65" w:right="0"/>
              <w:jc w:val="left"/>
              <w:rPr>
                <w:rFonts w:ascii="Times New Roman" w:hAnsi="Times New Roman" w:cs="Times New Roman" w:eastAsia="Times New Roman" w:hint="default"/>
                <w:sz w:val="15"/>
                <w:szCs w:val="15"/>
              </w:rPr>
            </w:pPr>
            <w:r>
              <w:rPr>
                <w:rFonts w:ascii="Times New Roman"/>
                <w:sz w:val="15"/>
              </w:rPr>
              <w:t>100</w:t>
            </w:r>
          </w:p>
        </w:tc>
        <w:tc>
          <w:tcPr>
            <w:tcW w:w="100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383" w:right="0"/>
              <w:jc w:val="left"/>
              <w:rPr>
                <w:rFonts w:ascii="Times New Roman" w:hAnsi="Times New Roman" w:cs="Times New Roman" w:eastAsia="Times New Roman" w:hint="default"/>
                <w:sz w:val="15"/>
                <w:szCs w:val="15"/>
              </w:rPr>
            </w:pPr>
            <w:r>
              <w:rPr>
                <w:rFonts w:ascii="Times New Roman"/>
                <w:sz w:val="15"/>
              </w:rPr>
              <w:t>100</w:t>
            </w:r>
          </w:p>
        </w:tc>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29" w:right="0"/>
              <w:jc w:val="left"/>
              <w:rPr>
                <w:rFonts w:ascii="Times New Roman" w:hAnsi="Times New Roman" w:cs="Times New Roman" w:eastAsia="Times New Roman" w:hint="default"/>
                <w:sz w:val="15"/>
                <w:szCs w:val="15"/>
              </w:rPr>
            </w:pPr>
            <w:r>
              <w:rPr>
                <w:rFonts w:ascii="Times New Roman"/>
                <w:sz w:val="15"/>
              </w:rPr>
              <w:t>914312007506341331</w:t>
            </w:r>
          </w:p>
        </w:tc>
      </w:tr>
      <w:tr>
        <w:trPr>
          <w:trHeight w:val="400"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5"/>
                <w:szCs w:val="15"/>
              </w:rPr>
            </w:pPr>
            <w:r>
              <w:rPr>
                <w:rFonts w:ascii="宋体" w:hAnsi="宋体" w:cs="宋体" w:eastAsia="宋体" w:hint="default"/>
                <w:sz w:val="15"/>
                <w:szCs w:val="15"/>
              </w:rPr>
              <w:t>批发、零售：图书报刊、电子出版物</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51"/>
              <w:jc w:val="right"/>
              <w:rPr>
                <w:rFonts w:ascii="Times New Roman" w:hAnsi="Times New Roman" w:cs="Times New Roman" w:eastAsia="Times New Roman" w:hint="default"/>
                <w:sz w:val="15"/>
                <w:szCs w:val="15"/>
              </w:rPr>
            </w:pPr>
            <w:r>
              <w:rPr>
                <w:rFonts w:ascii="Times New Roman"/>
                <w:spacing w:val="-1"/>
                <w:sz w:val="15"/>
              </w:rPr>
              <w:t>500</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03" w:right="0"/>
              <w:jc w:val="left"/>
              <w:rPr>
                <w:rFonts w:ascii="Times New Roman" w:hAnsi="Times New Roman" w:cs="Times New Roman" w:eastAsia="Times New Roman" w:hint="default"/>
                <w:sz w:val="15"/>
                <w:szCs w:val="15"/>
              </w:rPr>
            </w:pPr>
            <w:r>
              <w:rPr>
                <w:rFonts w:ascii="Times New Roman"/>
                <w:sz w:val="15"/>
              </w:rPr>
              <w:t>70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422" w:right="0"/>
              <w:jc w:val="left"/>
              <w:rPr>
                <w:rFonts w:ascii="Times New Roman" w:hAnsi="Times New Roman" w:cs="Times New Roman" w:eastAsia="Times New Roman" w:hint="default"/>
                <w:sz w:val="15"/>
                <w:szCs w:val="15"/>
              </w:rPr>
            </w:pPr>
            <w:r>
              <w:rPr>
                <w:rFonts w:ascii="Times New Roman"/>
                <w:sz w:val="15"/>
              </w:rPr>
              <w:t>70</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29" w:right="0"/>
              <w:jc w:val="left"/>
              <w:rPr>
                <w:rFonts w:ascii="Times New Roman" w:hAnsi="Times New Roman" w:cs="Times New Roman" w:eastAsia="Times New Roman" w:hint="default"/>
                <w:sz w:val="15"/>
                <w:szCs w:val="15"/>
              </w:rPr>
            </w:pPr>
            <w:r>
              <w:rPr>
                <w:rFonts w:ascii="Times New Roman"/>
                <w:sz w:val="15"/>
              </w:rPr>
              <w:t>330100000153968</w:t>
            </w:r>
          </w:p>
        </w:tc>
      </w:tr>
      <w:tr>
        <w:trPr>
          <w:trHeight w:val="400"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5"/>
                <w:szCs w:val="15"/>
              </w:rPr>
            </w:pPr>
            <w:r>
              <w:rPr>
                <w:rFonts w:ascii="宋体" w:hAnsi="宋体" w:cs="宋体" w:eastAsia="宋体" w:hint="default"/>
                <w:sz w:val="15"/>
                <w:szCs w:val="15"/>
              </w:rPr>
              <w:t>批发、零售：图书、报纸、期刊、电子出版物</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51"/>
              <w:jc w:val="right"/>
              <w:rPr>
                <w:rFonts w:ascii="Times New Roman" w:hAnsi="Times New Roman" w:cs="Times New Roman" w:eastAsia="Times New Roman" w:hint="default"/>
                <w:sz w:val="15"/>
                <w:szCs w:val="15"/>
              </w:rPr>
            </w:pPr>
            <w:r>
              <w:rPr>
                <w:rFonts w:ascii="Times New Roman"/>
                <w:spacing w:val="-1"/>
                <w:sz w:val="15"/>
              </w:rPr>
              <w:t>500</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03" w:right="0"/>
              <w:jc w:val="left"/>
              <w:rPr>
                <w:rFonts w:ascii="Times New Roman" w:hAnsi="Times New Roman" w:cs="Times New Roman" w:eastAsia="Times New Roman" w:hint="default"/>
                <w:sz w:val="15"/>
                <w:szCs w:val="15"/>
              </w:rPr>
            </w:pPr>
            <w:r>
              <w:rPr>
                <w:rFonts w:ascii="Times New Roman"/>
                <w:sz w:val="15"/>
              </w:rPr>
              <w:t>51</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422" w:right="0"/>
              <w:jc w:val="left"/>
              <w:rPr>
                <w:rFonts w:ascii="Times New Roman" w:hAnsi="Times New Roman" w:cs="Times New Roman" w:eastAsia="Times New Roman" w:hint="default"/>
                <w:sz w:val="15"/>
                <w:szCs w:val="15"/>
              </w:rPr>
            </w:pPr>
            <w:r>
              <w:rPr>
                <w:rFonts w:ascii="Times New Roman"/>
                <w:sz w:val="15"/>
              </w:rPr>
              <w:t>51</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29" w:right="0"/>
              <w:jc w:val="left"/>
              <w:rPr>
                <w:rFonts w:ascii="Times New Roman" w:hAnsi="Times New Roman" w:cs="Times New Roman" w:eastAsia="Times New Roman" w:hint="default"/>
                <w:sz w:val="15"/>
                <w:szCs w:val="15"/>
              </w:rPr>
            </w:pPr>
            <w:r>
              <w:rPr>
                <w:rFonts w:ascii="Times New Roman"/>
                <w:sz w:val="15"/>
              </w:rPr>
              <w:t>110105014309458</w:t>
            </w:r>
          </w:p>
        </w:tc>
      </w:tr>
      <w:tr>
        <w:trPr>
          <w:trHeight w:val="401"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5"/>
                <w:szCs w:val="15"/>
              </w:rPr>
            </w:pPr>
            <w:r>
              <w:rPr>
                <w:rFonts w:ascii="宋体" w:hAnsi="宋体" w:cs="宋体" w:eastAsia="宋体" w:hint="default"/>
                <w:sz w:val="15"/>
                <w:szCs w:val="15"/>
              </w:rPr>
              <w:t>投资管理和国际贸易</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6"/>
              <w:jc w:val="right"/>
              <w:rPr>
                <w:rFonts w:ascii="宋体" w:hAnsi="宋体" w:cs="宋体" w:eastAsia="宋体" w:hint="default"/>
                <w:sz w:val="15"/>
                <w:szCs w:val="15"/>
              </w:rPr>
            </w:pPr>
            <w:r>
              <w:rPr>
                <w:rFonts w:ascii="Times New Roman" w:hAnsi="Times New Roman" w:cs="Times New Roman" w:eastAsia="Times New Roman" w:hint="default"/>
                <w:spacing w:val="-3"/>
                <w:sz w:val="15"/>
                <w:szCs w:val="15"/>
              </w:rPr>
              <w:t>2.00</w:t>
            </w:r>
            <w:r>
              <w:rPr>
                <w:rFonts w:ascii="宋体" w:hAnsi="宋体" w:cs="宋体" w:eastAsia="宋体" w:hint="default"/>
                <w:spacing w:val="-3"/>
                <w:sz w:val="15"/>
                <w:szCs w:val="15"/>
              </w:rPr>
              <w:t>（港币）</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65" w:right="0"/>
              <w:jc w:val="left"/>
              <w:rPr>
                <w:rFonts w:ascii="Times New Roman" w:hAnsi="Times New Roman" w:cs="Times New Roman" w:eastAsia="Times New Roman" w:hint="default"/>
                <w:sz w:val="15"/>
                <w:szCs w:val="15"/>
              </w:rPr>
            </w:pPr>
            <w:r>
              <w:rPr>
                <w:rFonts w:ascii="Times New Roman"/>
                <w:sz w:val="15"/>
              </w:rPr>
              <w:t>100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83" w:right="0"/>
              <w:jc w:val="left"/>
              <w:rPr>
                <w:rFonts w:ascii="Times New Roman" w:hAnsi="Times New Roman" w:cs="Times New Roman" w:eastAsia="Times New Roman" w:hint="default"/>
                <w:sz w:val="15"/>
                <w:szCs w:val="15"/>
              </w:rPr>
            </w:pPr>
            <w:r>
              <w:rPr>
                <w:rFonts w:ascii="Times New Roman"/>
                <w:sz w:val="15"/>
              </w:rPr>
              <w:t>100</w:t>
            </w:r>
          </w:p>
        </w:tc>
        <w:tc>
          <w:tcPr>
            <w:tcW w:w="1690" w:type="dxa"/>
            <w:tcBorders>
              <w:top w:val="nil" w:sz="6" w:space="0" w:color="auto"/>
              <w:left w:val="nil" w:sz="6" w:space="0" w:color="auto"/>
              <w:bottom w:val="nil" w:sz="6" w:space="0" w:color="auto"/>
              <w:right w:val="nil" w:sz="6" w:space="0" w:color="auto"/>
            </w:tcBorders>
          </w:tcPr>
          <w:p>
            <w:pPr/>
          </w:p>
        </w:tc>
      </w:tr>
      <w:tr>
        <w:trPr>
          <w:trHeight w:val="280"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5"/>
                <w:szCs w:val="15"/>
              </w:rPr>
            </w:pPr>
            <w:r>
              <w:rPr>
                <w:rFonts w:ascii="宋体" w:hAnsi="宋体" w:cs="宋体" w:eastAsia="宋体" w:hint="default"/>
                <w:sz w:val="15"/>
                <w:szCs w:val="15"/>
              </w:rPr>
              <w:t>投资管理和国际贸易</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0"/>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1.00(</w:t>
            </w:r>
            <w:r>
              <w:rPr>
                <w:rFonts w:ascii="宋体" w:hAnsi="宋体" w:cs="宋体" w:eastAsia="宋体" w:hint="default"/>
                <w:spacing w:val="-1"/>
                <w:sz w:val="15"/>
                <w:szCs w:val="15"/>
              </w:rPr>
              <w:t>美元</w:t>
            </w:r>
            <w:r>
              <w:rPr>
                <w:rFonts w:ascii="Times New Roman" w:hAnsi="Times New Roman" w:cs="Times New Roman" w:eastAsia="Times New Roman" w:hint="default"/>
                <w:spacing w:val="-1"/>
                <w:sz w:val="15"/>
                <w:szCs w:val="15"/>
              </w:rPr>
              <w:t>)</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65" w:right="0"/>
              <w:jc w:val="left"/>
              <w:rPr>
                <w:rFonts w:ascii="Times New Roman" w:hAnsi="Times New Roman" w:cs="Times New Roman" w:eastAsia="Times New Roman" w:hint="default"/>
                <w:sz w:val="15"/>
                <w:szCs w:val="15"/>
              </w:rPr>
            </w:pPr>
            <w:r>
              <w:rPr>
                <w:rFonts w:ascii="Times New Roman"/>
                <w:sz w:val="15"/>
              </w:rPr>
              <w:t>100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83" w:right="0"/>
              <w:jc w:val="left"/>
              <w:rPr>
                <w:rFonts w:ascii="Times New Roman" w:hAnsi="Times New Roman" w:cs="Times New Roman" w:eastAsia="Times New Roman" w:hint="default"/>
                <w:sz w:val="15"/>
                <w:szCs w:val="15"/>
              </w:rPr>
            </w:pPr>
            <w:r>
              <w:rPr>
                <w:rFonts w:ascii="Times New Roman"/>
                <w:sz w:val="15"/>
              </w:rPr>
              <w:t>100</w:t>
            </w:r>
          </w:p>
        </w:tc>
        <w:tc>
          <w:tcPr>
            <w:tcW w:w="169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350" w:lineRule="auto"/>
        <w:ind w:left="360" w:right="0" w:firstLine="359"/>
        <w:jc w:val="left"/>
      </w:pPr>
      <w:r>
        <w:rPr>
          <w:rFonts w:ascii="Times New Roman" w:hAnsi="Times New Roman" w:cs="Times New Roman" w:eastAsia="Times New Roman" w:hint="default"/>
        </w:rPr>
        <w:t>4.</w:t>
      </w:r>
      <w:r>
        <w:rPr/>
        <w:t>本期与本公司发生关联方交易，或前期与本公司发生关联方交易形成余额的其他合营或联营企业情 况如下：</w:t>
      </w:r>
    </w:p>
    <w:p>
      <w:pPr>
        <w:spacing w:line="240" w:lineRule="auto" w:before="2"/>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2974"/>
        <w:gridCol w:w="3347"/>
        <w:gridCol w:w="2476"/>
      </w:tblGrid>
      <w:tr>
        <w:trPr>
          <w:trHeight w:val="275" w:hRule="exact"/>
        </w:trPr>
        <w:tc>
          <w:tcPr>
            <w:tcW w:w="2974" w:type="dxa"/>
            <w:tcBorders>
              <w:top w:val="nil" w:sz="6" w:space="0" w:color="auto"/>
              <w:left w:val="nil" w:sz="6" w:space="0" w:color="auto"/>
              <w:bottom w:val="single" w:sz="4" w:space="0" w:color="000000"/>
              <w:right w:val="nil" w:sz="6" w:space="0" w:color="auto"/>
            </w:tcBorders>
          </w:tcPr>
          <w:p>
            <w:pPr>
              <w:pStyle w:val="TableParagraph"/>
              <w:spacing w:line="180" w:lineRule="exact"/>
              <w:ind w:left="883"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3347" w:type="dxa"/>
            <w:tcBorders>
              <w:top w:val="nil" w:sz="6" w:space="0" w:color="auto"/>
              <w:left w:val="nil" w:sz="6" w:space="0" w:color="auto"/>
              <w:bottom w:val="single" w:sz="4" w:space="0" w:color="000000"/>
              <w:right w:val="nil" w:sz="6" w:space="0" w:color="auto"/>
            </w:tcBorders>
          </w:tcPr>
          <w:p>
            <w:pPr>
              <w:pStyle w:val="TableParagraph"/>
              <w:spacing w:line="180" w:lineRule="exact"/>
              <w:ind w:left="715" w:right="0"/>
              <w:jc w:val="left"/>
              <w:rPr>
                <w:rFonts w:ascii="宋体" w:hAnsi="宋体" w:cs="宋体" w:eastAsia="宋体" w:hint="default"/>
                <w:sz w:val="18"/>
                <w:szCs w:val="18"/>
              </w:rPr>
            </w:pPr>
            <w:r>
              <w:rPr>
                <w:rFonts w:ascii="宋体" w:hAnsi="宋体" w:cs="宋体" w:eastAsia="宋体" w:hint="default"/>
                <w:b/>
                <w:bCs/>
                <w:sz w:val="18"/>
                <w:szCs w:val="18"/>
              </w:rPr>
              <w:t>其他关联方与本公司关系</w:t>
            </w:r>
            <w:r>
              <w:rPr>
                <w:rFonts w:ascii="宋体" w:hAnsi="宋体" w:cs="宋体" w:eastAsia="宋体" w:hint="default"/>
                <w:sz w:val="18"/>
                <w:szCs w:val="18"/>
              </w:rPr>
            </w:r>
          </w:p>
        </w:tc>
        <w:tc>
          <w:tcPr>
            <w:tcW w:w="2476" w:type="dxa"/>
            <w:tcBorders>
              <w:top w:val="nil" w:sz="6" w:space="0" w:color="auto"/>
              <w:left w:val="nil" w:sz="6" w:space="0" w:color="auto"/>
              <w:bottom w:val="single" w:sz="4" w:space="0" w:color="000000"/>
              <w:right w:val="nil" w:sz="6" w:space="0" w:color="auto"/>
            </w:tcBorders>
          </w:tcPr>
          <w:p>
            <w:pPr>
              <w:pStyle w:val="TableParagraph"/>
              <w:spacing w:line="180" w:lineRule="exact"/>
              <w:ind w:left="519" w:right="0"/>
              <w:jc w:val="left"/>
              <w:rPr>
                <w:rFonts w:ascii="宋体" w:hAnsi="宋体" w:cs="宋体" w:eastAsia="宋体" w:hint="default"/>
                <w:sz w:val="18"/>
                <w:szCs w:val="18"/>
              </w:rPr>
            </w:pPr>
            <w:r>
              <w:rPr>
                <w:rFonts w:ascii="宋体" w:hAnsi="宋体" w:cs="宋体" w:eastAsia="宋体" w:hint="default"/>
                <w:b/>
                <w:bCs/>
                <w:sz w:val="18"/>
                <w:szCs w:val="18"/>
              </w:rPr>
              <w:t>统一社会信用代码</w:t>
            </w:r>
            <w:r>
              <w:rPr>
                <w:rFonts w:ascii="宋体" w:hAnsi="宋体" w:cs="宋体" w:eastAsia="宋体" w:hint="default"/>
                <w:sz w:val="18"/>
                <w:szCs w:val="18"/>
              </w:rPr>
            </w:r>
          </w:p>
        </w:tc>
      </w:tr>
      <w:tr>
        <w:trPr>
          <w:trHeight w:val="430" w:hRule="exact"/>
        </w:trPr>
        <w:tc>
          <w:tcPr>
            <w:tcW w:w="297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长沙鸿发印务实业有限责任公司</w:t>
            </w:r>
          </w:p>
        </w:tc>
        <w:tc>
          <w:tcPr>
            <w:tcW w:w="334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65"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247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21" w:right="0"/>
              <w:jc w:val="left"/>
              <w:rPr>
                <w:rFonts w:ascii="Times New Roman" w:hAnsi="Times New Roman" w:cs="Times New Roman" w:eastAsia="Times New Roman" w:hint="default"/>
                <w:sz w:val="18"/>
                <w:szCs w:val="18"/>
              </w:rPr>
            </w:pPr>
            <w:r>
              <w:rPr>
                <w:rFonts w:ascii="Times New Roman"/>
                <w:sz w:val="18"/>
              </w:rPr>
              <w:t>430121000010156</w:t>
            </w:r>
          </w:p>
        </w:tc>
      </w:tr>
      <w:tr>
        <w:trPr>
          <w:trHeight w:val="400"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湖南天能电机制造有限责任公司</w:t>
            </w:r>
          </w:p>
        </w:tc>
        <w:tc>
          <w:tcPr>
            <w:tcW w:w="334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65"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91430121722521270K</w:t>
            </w:r>
          </w:p>
        </w:tc>
      </w:tr>
      <w:tr>
        <w:trPr>
          <w:trHeight w:val="401"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湖南鸿大茶叶有限责任公司</w:t>
            </w:r>
          </w:p>
        </w:tc>
        <w:tc>
          <w:tcPr>
            <w:tcW w:w="33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21" w:right="0"/>
              <w:jc w:val="left"/>
              <w:rPr>
                <w:rFonts w:ascii="Times New Roman" w:hAnsi="Times New Roman" w:cs="Times New Roman" w:eastAsia="Times New Roman" w:hint="default"/>
                <w:sz w:val="18"/>
                <w:szCs w:val="18"/>
              </w:rPr>
            </w:pPr>
            <w:r>
              <w:rPr>
                <w:rFonts w:ascii="Times New Roman"/>
                <w:sz w:val="18"/>
              </w:rPr>
              <w:t>91430121722543795F</w:t>
            </w:r>
          </w:p>
        </w:tc>
      </w:tr>
      <w:tr>
        <w:trPr>
          <w:trHeight w:val="400"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湖南天鸿致远文化发展有限公司</w:t>
            </w:r>
          </w:p>
        </w:tc>
        <w:tc>
          <w:tcPr>
            <w:tcW w:w="33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21" w:right="0"/>
              <w:jc w:val="left"/>
              <w:rPr>
                <w:rFonts w:ascii="Times New Roman" w:hAnsi="Times New Roman" w:cs="Times New Roman" w:eastAsia="Times New Roman" w:hint="default"/>
                <w:sz w:val="18"/>
                <w:szCs w:val="18"/>
              </w:rPr>
            </w:pPr>
            <w:r>
              <w:rPr>
                <w:rFonts w:ascii="Times New Roman"/>
                <w:sz w:val="18"/>
              </w:rPr>
              <w:t>430121000075601</w:t>
            </w:r>
          </w:p>
        </w:tc>
      </w:tr>
      <w:tr>
        <w:trPr>
          <w:trHeight w:val="400"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北京北舟文化传媒有限责任公司</w:t>
            </w:r>
          </w:p>
        </w:tc>
        <w:tc>
          <w:tcPr>
            <w:tcW w:w="334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65" w:right="0"/>
              <w:jc w:val="left"/>
              <w:rPr>
                <w:rFonts w:ascii="宋体" w:hAnsi="宋体" w:cs="宋体" w:eastAsia="宋体" w:hint="default"/>
                <w:sz w:val="18"/>
                <w:szCs w:val="18"/>
              </w:rPr>
            </w:pPr>
            <w:r>
              <w:rPr>
                <w:rFonts w:ascii="宋体" w:hAnsi="宋体" w:cs="宋体" w:eastAsia="宋体" w:hint="default"/>
                <w:sz w:val="18"/>
                <w:szCs w:val="18"/>
              </w:rPr>
              <w:t>公司原参股公司</w:t>
            </w: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911101055808563818</w:t>
            </w:r>
          </w:p>
        </w:tc>
      </w:tr>
      <w:tr>
        <w:trPr>
          <w:trHeight w:val="402"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江苏凤凰天舟新媒体发展有限公司</w:t>
            </w:r>
          </w:p>
        </w:tc>
        <w:tc>
          <w:tcPr>
            <w:tcW w:w="33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公司原参股公司</w:t>
            </w: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21" w:right="0"/>
              <w:jc w:val="left"/>
              <w:rPr>
                <w:rFonts w:ascii="Times New Roman" w:hAnsi="Times New Roman" w:cs="Times New Roman" w:eastAsia="Times New Roman" w:hint="default"/>
                <w:sz w:val="18"/>
                <w:szCs w:val="18"/>
              </w:rPr>
            </w:pPr>
            <w:r>
              <w:rPr>
                <w:rFonts w:ascii="Times New Roman"/>
                <w:sz w:val="18"/>
              </w:rPr>
              <w:t>320000000096524</w:t>
            </w:r>
          </w:p>
        </w:tc>
      </w:tr>
      <w:tr>
        <w:trPr>
          <w:trHeight w:val="754"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湖南天舟教育科技研究院</w:t>
            </w:r>
          </w:p>
        </w:tc>
        <w:tc>
          <w:tcPr>
            <w:tcW w:w="3347" w:type="dxa"/>
            <w:tcBorders>
              <w:top w:val="nil" w:sz="6" w:space="0" w:color="auto"/>
              <w:left w:val="nil" w:sz="6" w:space="0" w:color="auto"/>
              <w:bottom w:val="nil" w:sz="6" w:space="0" w:color="auto"/>
              <w:right w:val="nil" w:sz="6" w:space="0" w:color="auto"/>
            </w:tcBorders>
          </w:tcPr>
          <w:p>
            <w:pPr>
              <w:pStyle w:val="TableParagraph"/>
              <w:spacing w:line="364" w:lineRule="auto" w:before="51"/>
              <w:ind w:left="165" w:right="119"/>
              <w:jc w:val="left"/>
              <w:rPr>
                <w:rFonts w:ascii="宋体" w:hAnsi="宋体" w:cs="宋体" w:eastAsia="宋体" w:hint="default"/>
                <w:sz w:val="18"/>
                <w:szCs w:val="18"/>
              </w:rPr>
            </w:pPr>
            <w:r>
              <w:rPr>
                <w:rFonts w:ascii="宋体" w:hAnsi="宋体" w:cs="宋体" w:eastAsia="宋体" w:hint="default"/>
                <w:sz w:val="18"/>
                <w:szCs w:val="18"/>
              </w:rPr>
              <w:t>本公司下属从事教育科学研究、教育技 术研究及推广的民办非企业法人单位</w:t>
            </w: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68744957-5</w:t>
            </w:r>
            <w:r>
              <w:rPr>
                <w:rFonts w:ascii="宋体" w:hAnsi="宋体" w:cs="宋体" w:eastAsia="宋体" w:hint="default"/>
                <w:sz w:val="18"/>
                <w:szCs w:val="18"/>
              </w:rPr>
              <w:t>（组织机构代码）</w:t>
            </w:r>
          </w:p>
        </w:tc>
      </w:tr>
      <w:tr>
        <w:trPr>
          <w:trHeight w:val="400"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肖欢</w:t>
            </w:r>
          </w:p>
        </w:tc>
        <w:tc>
          <w:tcPr>
            <w:tcW w:w="334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5" w:right="0"/>
              <w:jc w:val="left"/>
              <w:rPr>
                <w:rFonts w:ascii="宋体" w:hAnsi="宋体" w:cs="宋体" w:eastAsia="宋体" w:hint="default"/>
                <w:sz w:val="18"/>
                <w:szCs w:val="18"/>
              </w:rPr>
            </w:pPr>
            <w:r>
              <w:rPr>
                <w:rFonts w:ascii="宋体" w:hAnsi="宋体" w:cs="宋体" w:eastAsia="宋体" w:hint="default"/>
                <w:sz w:val="18"/>
                <w:szCs w:val="18"/>
              </w:rPr>
              <w:t>肖志鸿之女</w:t>
            </w: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不适应</w:t>
            </w:r>
          </w:p>
        </w:tc>
      </w:tr>
      <w:tr>
        <w:trPr>
          <w:trHeight w:val="290"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司马宁</w:t>
            </w:r>
          </w:p>
        </w:tc>
        <w:tc>
          <w:tcPr>
            <w:tcW w:w="334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65" w:right="0"/>
              <w:jc w:val="left"/>
              <w:rPr>
                <w:rFonts w:ascii="宋体" w:hAnsi="宋体" w:cs="宋体" w:eastAsia="宋体" w:hint="default"/>
                <w:sz w:val="18"/>
                <w:szCs w:val="18"/>
              </w:rPr>
            </w:pPr>
            <w:r>
              <w:rPr>
                <w:rFonts w:ascii="宋体" w:hAnsi="宋体" w:cs="宋体" w:eastAsia="宋体" w:hint="default"/>
                <w:sz w:val="18"/>
                <w:szCs w:val="18"/>
              </w:rPr>
              <w:t>子公司股东</w:t>
            </w: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 w:right="0"/>
              <w:jc w:val="center"/>
              <w:rPr>
                <w:rFonts w:ascii="宋体" w:hAnsi="宋体" w:cs="宋体" w:eastAsia="宋体" w:hint="default"/>
                <w:sz w:val="18"/>
                <w:szCs w:val="18"/>
              </w:rPr>
            </w:pPr>
            <w:r>
              <w:rPr>
                <w:rFonts w:ascii="宋体" w:hAnsi="宋体" w:cs="宋体" w:eastAsia="宋体" w:hint="default"/>
                <w:sz w:val="18"/>
                <w:szCs w:val="18"/>
              </w:rPr>
              <w:t>不适应</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720" w:right="0"/>
        <w:jc w:val="left"/>
      </w:pPr>
      <w:r>
        <w:rPr>
          <w:rFonts w:ascii="Times New Roman" w:hAnsi="Times New Roman" w:cs="Times New Roman" w:eastAsia="Times New Roman" w:hint="default"/>
        </w:rPr>
        <w:t>5. </w:t>
      </w:r>
      <w:r>
        <w:rPr>
          <w:rFonts w:ascii="Times New Roman" w:hAnsi="Times New Roman" w:cs="Times New Roman" w:eastAsia="Times New Roman" w:hint="default"/>
          <w:spacing w:val="2"/>
        </w:rPr>
        <w:t> </w:t>
      </w:r>
      <w:r>
        <w:rPr/>
        <w:t>关联方交易</w:t>
      </w:r>
    </w:p>
    <w:p>
      <w:pPr>
        <w:spacing w:line="240" w:lineRule="auto" w:before="5"/>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1</w:t>
      </w:r>
      <w:r>
        <w:rPr/>
        <w:t>）采购商品</w:t>
      </w:r>
      <w:r>
        <w:rPr>
          <w:rFonts w:ascii="Times New Roman" w:hAnsi="Times New Roman" w:cs="Times New Roman" w:eastAsia="Times New Roman" w:hint="default"/>
        </w:rPr>
        <w:t>/</w:t>
      </w:r>
      <w:r>
        <w:rPr/>
        <w:t>接受劳务情况表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tbl>
      <w:tblPr>
        <w:tblW w:w="0" w:type="auto"/>
        <w:jc w:val="left"/>
        <w:tblInd w:w="192" w:type="dxa"/>
        <w:tblLayout w:type="fixed"/>
        <w:tblCellMar>
          <w:top w:w="0" w:type="dxa"/>
          <w:left w:w="0" w:type="dxa"/>
          <w:bottom w:w="0" w:type="dxa"/>
          <w:right w:w="0" w:type="dxa"/>
        </w:tblCellMar>
        <w:tblLook w:val="01E0"/>
      </w:tblPr>
      <w:tblGrid>
        <w:gridCol w:w="2685"/>
        <w:gridCol w:w="785"/>
        <w:gridCol w:w="1091"/>
        <w:gridCol w:w="1006"/>
        <w:gridCol w:w="1161"/>
        <w:gridCol w:w="856"/>
        <w:gridCol w:w="1105"/>
      </w:tblGrid>
      <w:tr>
        <w:trPr>
          <w:trHeight w:val="166" w:hRule="exact"/>
        </w:trPr>
        <w:tc>
          <w:tcPr>
            <w:tcW w:w="6728" w:type="dxa"/>
            <w:gridSpan w:val="5"/>
            <w:tcBorders>
              <w:top w:val="nil" w:sz="6" w:space="0" w:color="auto"/>
              <w:left w:val="nil" w:sz="6" w:space="0" w:color="auto"/>
              <w:bottom w:val="nil" w:sz="6" w:space="0" w:color="auto"/>
              <w:right w:val="nil" w:sz="6" w:space="0" w:color="auto"/>
            </w:tcBorders>
          </w:tcPr>
          <w:p>
            <w:pPr>
              <w:pStyle w:val="TableParagraph"/>
              <w:spacing w:line="151" w:lineRule="exact"/>
              <w:ind w:right="792"/>
              <w:jc w:val="right"/>
              <w:rPr>
                <w:rFonts w:ascii="宋体" w:hAnsi="宋体" w:cs="宋体" w:eastAsia="宋体" w:hint="default"/>
                <w:sz w:val="15"/>
                <w:szCs w:val="15"/>
              </w:rPr>
            </w:pPr>
            <w:r>
              <w:rPr>
                <w:rFonts w:ascii="宋体" w:hAnsi="宋体" w:cs="宋体" w:eastAsia="宋体" w:hint="default"/>
                <w:b/>
                <w:bCs/>
                <w:sz w:val="15"/>
                <w:szCs w:val="15"/>
              </w:rPr>
              <w:t>本期发生额</w:t>
            </w:r>
            <w:r>
              <w:rPr>
                <w:rFonts w:ascii="宋体" w:hAnsi="宋体" w:cs="宋体" w:eastAsia="宋体" w:hint="default"/>
                <w:sz w:val="15"/>
                <w:szCs w:val="15"/>
              </w:rPr>
            </w:r>
          </w:p>
        </w:tc>
        <w:tc>
          <w:tcPr>
            <w:tcW w:w="1961" w:type="dxa"/>
            <w:gridSpan w:val="2"/>
            <w:tcBorders>
              <w:top w:val="nil" w:sz="6" w:space="0" w:color="auto"/>
              <w:left w:val="nil" w:sz="6" w:space="0" w:color="auto"/>
              <w:bottom w:val="nil" w:sz="6" w:space="0" w:color="auto"/>
              <w:right w:val="nil" w:sz="6" w:space="0" w:color="auto"/>
            </w:tcBorders>
          </w:tcPr>
          <w:p>
            <w:pPr>
              <w:pStyle w:val="TableParagraph"/>
              <w:spacing w:line="151" w:lineRule="exact"/>
              <w:ind w:left="521" w:right="0"/>
              <w:jc w:val="left"/>
              <w:rPr>
                <w:rFonts w:ascii="宋体" w:hAnsi="宋体" w:cs="宋体" w:eastAsia="宋体" w:hint="default"/>
                <w:sz w:val="15"/>
                <w:szCs w:val="15"/>
              </w:rPr>
            </w:pPr>
            <w:r>
              <w:rPr>
                <w:rFonts w:ascii="宋体" w:hAnsi="宋体" w:cs="宋体" w:eastAsia="宋体" w:hint="default"/>
                <w:b/>
                <w:bCs/>
                <w:sz w:val="15"/>
                <w:szCs w:val="15"/>
              </w:rPr>
              <w:t>上期发生额</w:t>
            </w:r>
            <w:r>
              <w:rPr>
                <w:rFonts w:ascii="宋体" w:hAnsi="宋体" w:cs="宋体" w:eastAsia="宋体" w:hint="default"/>
                <w:sz w:val="15"/>
                <w:szCs w:val="15"/>
              </w:rPr>
            </w:r>
          </w:p>
        </w:tc>
      </w:tr>
      <w:tr>
        <w:trPr>
          <w:trHeight w:val="341"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65" w:right="0"/>
              <w:jc w:val="center"/>
              <w:rPr>
                <w:rFonts w:ascii="宋体" w:hAnsi="宋体" w:cs="宋体" w:eastAsia="宋体" w:hint="default"/>
                <w:sz w:val="15"/>
                <w:szCs w:val="15"/>
              </w:rPr>
            </w:pPr>
            <w:r>
              <w:rPr>
                <w:rFonts w:ascii="宋体" w:hAnsi="宋体" w:cs="宋体" w:eastAsia="宋体" w:hint="default"/>
                <w:b/>
                <w:bCs/>
                <w:sz w:val="15"/>
                <w:szCs w:val="15"/>
              </w:rPr>
              <w:t>公司名称</w:t>
            </w:r>
            <w:r>
              <w:rPr>
                <w:rFonts w:ascii="宋体" w:hAnsi="宋体" w:cs="宋体" w:eastAsia="宋体" w:hint="default"/>
                <w:sz w:val="15"/>
                <w:szCs w:val="15"/>
              </w:rPr>
            </w:r>
          </w:p>
        </w:tc>
        <w:tc>
          <w:tcPr>
            <w:tcW w:w="785" w:type="dxa"/>
            <w:vMerge w:val="restart"/>
            <w:tcBorders>
              <w:top w:val="nil" w:sz="6" w:space="0" w:color="auto"/>
              <w:left w:val="nil" w:sz="6" w:space="0" w:color="auto"/>
              <w:right w:val="nil" w:sz="6" w:space="0" w:color="auto"/>
            </w:tcBorders>
          </w:tcPr>
          <w:p>
            <w:pPr>
              <w:pStyle w:val="TableParagraph"/>
              <w:spacing w:line="165" w:lineRule="exact"/>
              <w:ind w:left="62" w:right="0"/>
              <w:jc w:val="center"/>
              <w:rPr>
                <w:rFonts w:ascii="宋体" w:hAnsi="宋体" w:cs="宋体" w:eastAsia="宋体" w:hint="default"/>
                <w:sz w:val="15"/>
                <w:szCs w:val="15"/>
              </w:rPr>
            </w:pPr>
            <w:r>
              <w:rPr>
                <w:rFonts w:ascii="宋体" w:hAnsi="宋体" w:cs="宋体" w:eastAsia="宋体" w:hint="default"/>
                <w:b/>
                <w:bCs/>
                <w:sz w:val="15"/>
                <w:szCs w:val="15"/>
              </w:rPr>
              <w:t>关联交易</w:t>
            </w:r>
            <w:r>
              <w:rPr>
                <w:rFonts w:ascii="宋体" w:hAnsi="宋体" w:cs="宋体" w:eastAsia="宋体" w:hint="default"/>
                <w:sz w:val="15"/>
                <w:szCs w:val="15"/>
              </w:rPr>
            </w:r>
          </w:p>
          <w:p>
            <w:pPr>
              <w:pStyle w:val="TableParagraph"/>
              <w:spacing w:line="240" w:lineRule="auto" w:before="125"/>
              <w:ind w:left="57" w:right="0"/>
              <w:jc w:val="center"/>
              <w:rPr>
                <w:rFonts w:ascii="宋体" w:hAnsi="宋体" w:cs="宋体" w:eastAsia="宋体" w:hint="default"/>
                <w:sz w:val="15"/>
                <w:szCs w:val="15"/>
              </w:rPr>
            </w:pPr>
            <w:r>
              <w:rPr>
                <w:rFonts w:ascii="宋体" w:hAnsi="宋体" w:cs="宋体" w:eastAsia="宋体" w:hint="default"/>
                <w:b/>
                <w:bCs/>
                <w:sz w:val="15"/>
                <w:szCs w:val="15"/>
              </w:rPr>
              <w:t>内容</w:t>
            </w:r>
            <w:r>
              <w:rPr>
                <w:rFonts w:ascii="宋体" w:hAnsi="宋体" w:cs="宋体" w:eastAsia="宋体" w:hint="default"/>
                <w:sz w:val="15"/>
                <w:szCs w:val="15"/>
              </w:rPr>
            </w:r>
          </w:p>
        </w:tc>
        <w:tc>
          <w:tcPr>
            <w:tcW w:w="1091" w:type="dxa"/>
            <w:vMerge w:val="restart"/>
            <w:tcBorders>
              <w:top w:val="nil" w:sz="6" w:space="0" w:color="auto"/>
              <w:left w:val="nil" w:sz="6" w:space="0" w:color="auto"/>
              <w:right w:val="nil" w:sz="6" w:space="0" w:color="auto"/>
            </w:tcBorders>
          </w:tcPr>
          <w:p>
            <w:pPr>
              <w:pStyle w:val="TableParagraph"/>
              <w:spacing w:line="165" w:lineRule="exact"/>
              <w:ind w:left="58" w:right="0" w:firstLine="7"/>
              <w:jc w:val="left"/>
              <w:rPr>
                <w:rFonts w:ascii="宋体" w:hAnsi="宋体" w:cs="宋体" w:eastAsia="宋体" w:hint="default"/>
                <w:sz w:val="15"/>
                <w:szCs w:val="15"/>
              </w:rPr>
            </w:pPr>
            <w:r>
              <w:rPr>
                <w:rFonts w:ascii="宋体" w:hAnsi="宋体" w:cs="宋体" w:eastAsia="宋体" w:hint="default"/>
                <w:b/>
                <w:bCs/>
                <w:sz w:val="15"/>
                <w:szCs w:val="15"/>
              </w:rPr>
              <w:t>关联方定价方</w:t>
            </w:r>
            <w:r>
              <w:rPr>
                <w:rFonts w:ascii="宋体" w:hAnsi="宋体" w:cs="宋体" w:eastAsia="宋体" w:hint="default"/>
                <w:sz w:val="15"/>
                <w:szCs w:val="15"/>
              </w:rPr>
            </w:r>
          </w:p>
          <w:p>
            <w:pPr>
              <w:pStyle w:val="TableParagraph"/>
              <w:spacing w:line="240" w:lineRule="auto" w:before="125"/>
              <w:ind w:left="58" w:right="0"/>
              <w:jc w:val="left"/>
              <w:rPr>
                <w:rFonts w:ascii="宋体" w:hAnsi="宋体" w:cs="宋体" w:eastAsia="宋体" w:hint="default"/>
                <w:sz w:val="15"/>
                <w:szCs w:val="15"/>
              </w:rPr>
            </w:pPr>
            <w:r>
              <w:rPr>
                <w:rFonts w:ascii="宋体" w:hAnsi="宋体" w:cs="宋体" w:eastAsia="宋体" w:hint="default"/>
                <w:b/>
                <w:bCs/>
                <w:sz w:val="15"/>
                <w:szCs w:val="15"/>
              </w:rPr>
              <w:t>式及决策程序</w:t>
            </w:r>
            <w:r>
              <w:rPr>
                <w:rFonts w:ascii="宋体" w:hAnsi="宋体" w:cs="宋体" w:eastAsia="宋体" w:hint="default"/>
                <w:sz w:val="15"/>
                <w:szCs w:val="15"/>
              </w:rPr>
            </w:r>
          </w:p>
        </w:tc>
        <w:tc>
          <w:tcPr>
            <w:tcW w:w="1006" w:type="dxa"/>
            <w:tcBorders>
              <w:top w:val="nil" w:sz="6" w:space="0" w:color="auto"/>
              <w:left w:val="nil" w:sz="6" w:space="0" w:color="auto"/>
              <w:bottom w:val="nil" w:sz="6" w:space="0" w:color="auto"/>
              <w:right w:val="nil" w:sz="6" w:space="0" w:color="auto"/>
            </w:tcBorders>
          </w:tcPr>
          <w:p>
            <w:pPr/>
          </w:p>
        </w:tc>
        <w:tc>
          <w:tcPr>
            <w:tcW w:w="1161" w:type="dxa"/>
            <w:vMerge w:val="restart"/>
            <w:tcBorders>
              <w:top w:val="nil" w:sz="6" w:space="0" w:color="auto"/>
              <w:left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393" w:lineRule="auto"/>
              <w:ind w:left="64" w:right="71" w:firstLine="24"/>
              <w:jc w:val="left"/>
              <w:rPr>
                <w:rFonts w:ascii="宋体" w:hAnsi="宋体" w:cs="宋体" w:eastAsia="宋体" w:hint="default"/>
                <w:sz w:val="15"/>
                <w:szCs w:val="15"/>
              </w:rPr>
            </w:pPr>
            <w:r>
              <w:rPr>
                <w:rFonts w:ascii="宋体" w:hAnsi="宋体" w:cs="宋体" w:eastAsia="宋体" w:hint="default"/>
                <w:b/>
                <w:bCs/>
                <w:sz w:val="15"/>
                <w:szCs w:val="15"/>
              </w:rPr>
              <w:t>占同类交易金</w:t>
            </w:r>
            <w:r>
              <w:rPr>
                <w:rFonts w:ascii="宋体" w:hAnsi="宋体" w:cs="宋体" w:eastAsia="宋体" w:hint="default"/>
                <w:b/>
                <w:bCs/>
                <w:w w:val="100"/>
                <w:sz w:val="15"/>
                <w:szCs w:val="15"/>
              </w:rPr>
              <w:t> </w:t>
            </w:r>
            <w:r>
              <w:rPr>
                <w:rFonts w:ascii="宋体" w:hAnsi="宋体" w:cs="宋体" w:eastAsia="宋体" w:hint="default"/>
                <w:b/>
                <w:bCs/>
                <w:spacing w:val="-5"/>
                <w:sz w:val="15"/>
                <w:szCs w:val="15"/>
              </w:rPr>
              <w:t>额的比例（</w:t>
            </w:r>
            <w:r>
              <w:rPr>
                <w:rFonts w:ascii="Times New Roman" w:hAnsi="Times New Roman" w:cs="Times New Roman" w:eastAsia="Times New Roman" w:hint="default"/>
                <w:b/>
                <w:bCs/>
                <w:spacing w:val="-5"/>
                <w:sz w:val="15"/>
                <w:szCs w:val="15"/>
              </w:rPr>
              <w:t>%</w:t>
            </w:r>
            <w:r>
              <w:rPr>
                <w:rFonts w:ascii="宋体" w:hAnsi="宋体" w:cs="宋体" w:eastAsia="宋体" w:hint="default"/>
                <w:b/>
                <w:bCs/>
                <w:spacing w:val="-5"/>
                <w:sz w:val="15"/>
                <w:szCs w:val="15"/>
              </w:rPr>
              <w:t>）</w:t>
            </w:r>
            <w:r>
              <w:rPr>
                <w:rFonts w:ascii="宋体" w:hAnsi="宋体" w:cs="宋体" w:eastAsia="宋体" w:hint="default"/>
                <w:spacing w:val="-5"/>
                <w:sz w:val="15"/>
                <w:szCs w:val="15"/>
              </w:rPr>
            </w:r>
          </w:p>
        </w:tc>
        <w:tc>
          <w:tcPr>
            <w:tcW w:w="856" w:type="dxa"/>
            <w:tcBorders>
              <w:top w:val="nil" w:sz="6" w:space="0" w:color="auto"/>
              <w:left w:val="nil" w:sz="6" w:space="0" w:color="auto"/>
              <w:bottom w:val="nil" w:sz="6" w:space="0" w:color="auto"/>
              <w:right w:val="nil" w:sz="6" w:space="0" w:color="auto"/>
            </w:tcBorders>
          </w:tcPr>
          <w:p>
            <w:pPr/>
          </w:p>
        </w:tc>
        <w:tc>
          <w:tcPr>
            <w:tcW w:w="1105" w:type="dxa"/>
            <w:vMerge w:val="restart"/>
            <w:tcBorders>
              <w:top w:val="nil" w:sz="6" w:space="0" w:color="auto"/>
              <w:left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393" w:lineRule="auto"/>
              <w:ind w:left="109" w:right="0" w:firstLine="7"/>
              <w:jc w:val="left"/>
              <w:rPr>
                <w:rFonts w:ascii="宋体" w:hAnsi="宋体" w:cs="宋体" w:eastAsia="宋体" w:hint="default"/>
                <w:sz w:val="15"/>
                <w:szCs w:val="15"/>
              </w:rPr>
            </w:pPr>
            <w:r>
              <w:rPr>
                <w:rFonts w:ascii="宋体" w:hAnsi="宋体" w:cs="宋体" w:eastAsia="宋体" w:hint="default"/>
                <w:b/>
                <w:bCs/>
                <w:sz w:val="15"/>
                <w:szCs w:val="15"/>
              </w:rPr>
              <w:t>占同类交易金</w:t>
            </w:r>
            <w:r>
              <w:rPr>
                <w:rFonts w:ascii="宋体" w:hAnsi="宋体" w:cs="宋体" w:eastAsia="宋体" w:hint="default"/>
                <w:b/>
                <w:bCs/>
                <w:w w:val="100"/>
                <w:sz w:val="15"/>
                <w:szCs w:val="15"/>
              </w:rPr>
              <w:t> </w:t>
            </w:r>
            <w:r>
              <w:rPr>
                <w:rFonts w:ascii="宋体" w:hAnsi="宋体" w:cs="宋体" w:eastAsia="宋体" w:hint="default"/>
                <w:b/>
                <w:bCs/>
                <w:spacing w:val="-9"/>
                <w:sz w:val="15"/>
                <w:szCs w:val="15"/>
              </w:rPr>
              <w:t>额的比例（</w:t>
            </w:r>
            <w:r>
              <w:rPr>
                <w:rFonts w:ascii="Times New Roman" w:hAnsi="Times New Roman" w:cs="Times New Roman" w:eastAsia="Times New Roman" w:hint="default"/>
                <w:b/>
                <w:bCs/>
                <w:spacing w:val="-9"/>
                <w:sz w:val="15"/>
                <w:szCs w:val="15"/>
              </w:rPr>
              <w:t>%</w:t>
            </w:r>
            <w:r>
              <w:rPr>
                <w:rFonts w:ascii="宋体" w:hAnsi="宋体" w:cs="宋体" w:eastAsia="宋体" w:hint="default"/>
                <w:b/>
                <w:bCs/>
                <w:spacing w:val="-9"/>
                <w:sz w:val="15"/>
                <w:szCs w:val="15"/>
              </w:rPr>
              <w:t>）</w:t>
            </w:r>
            <w:r>
              <w:rPr>
                <w:rFonts w:ascii="宋体" w:hAnsi="宋体" w:cs="宋体" w:eastAsia="宋体" w:hint="default"/>
                <w:spacing w:val="-9"/>
                <w:sz w:val="15"/>
                <w:szCs w:val="15"/>
              </w:rPr>
            </w:r>
          </w:p>
        </w:tc>
      </w:tr>
      <w:tr>
        <w:trPr>
          <w:trHeight w:val="413" w:hRule="exact"/>
        </w:trPr>
        <w:tc>
          <w:tcPr>
            <w:tcW w:w="2685" w:type="dxa"/>
            <w:tcBorders>
              <w:top w:val="nil" w:sz="6" w:space="0" w:color="auto"/>
              <w:left w:val="nil" w:sz="6" w:space="0" w:color="auto"/>
              <w:bottom w:val="single" w:sz="4" w:space="0" w:color="000000"/>
              <w:right w:val="nil" w:sz="6" w:space="0" w:color="auto"/>
            </w:tcBorders>
          </w:tcPr>
          <w:p>
            <w:pPr/>
          </w:p>
        </w:tc>
        <w:tc>
          <w:tcPr>
            <w:tcW w:w="785" w:type="dxa"/>
            <w:vMerge/>
            <w:tcBorders>
              <w:left w:val="nil" w:sz="6" w:space="0" w:color="auto"/>
              <w:bottom w:val="single" w:sz="4" w:space="0" w:color="000000"/>
              <w:right w:val="nil" w:sz="6" w:space="0" w:color="auto"/>
            </w:tcBorders>
          </w:tcPr>
          <w:p>
            <w:pPr/>
          </w:p>
        </w:tc>
        <w:tc>
          <w:tcPr>
            <w:tcW w:w="1091" w:type="dxa"/>
            <w:vMerge/>
            <w:tcBorders>
              <w:left w:val="nil" w:sz="6" w:space="0" w:color="auto"/>
              <w:bottom w:val="single" w:sz="4" w:space="0" w:color="000000"/>
              <w:right w:val="nil" w:sz="6" w:space="0" w:color="auto"/>
            </w:tcBorders>
          </w:tcPr>
          <w:p>
            <w:pPr/>
          </w:p>
        </w:tc>
        <w:tc>
          <w:tcPr>
            <w:tcW w:w="1006" w:type="dxa"/>
            <w:tcBorders>
              <w:top w:val="nil" w:sz="6" w:space="0" w:color="auto"/>
              <w:left w:val="nil" w:sz="6" w:space="0" w:color="auto"/>
              <w:bottom w:val="single" w:sz="4" w:space="0" w:color="000000"/>
              <w:right w:val="nil" w:sz="6" w:space="0" w:color="auto"/>
            </w:tcBorders>
          </w:tcPr>
          <w:p>
            <w:pPr>
              <w:pStyle w:val="TableParagraph"/>
              <w:spacing w:line="165" w:lineRule="exact"/>
              <w:ind w:right="24"/>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1161" w:type="dxa"/>
            <w:vMerge/>
            <w:tcBorders>
              <w:left w:val="nil" w:sz="6" w:space="0" w:color="auto"/>
              <w:bottom w:val="single" w:sz="4" w:space="0" w:color="000000"/>
              <w:right w:val="nil" w:sz="6" w:space="0" w:color="auto"/>
            </w:tcBorders>
          </w:tcPr>
          <w:p>
            <w:pPr/>
          </w:p>
        </w:tc>
        <w:tc>
          <w:tcPr>
            <w:tcW w:w="856" w:type="dxa"/>
            <w:tcBorders>
              <w:top w:val="nil" w:sz="6" w:space="0" w:color="auto"/>
              <w:left w:val="nil" w:sz="6" w:space="0" w:color="auto"/>
              <w:bottom w:val="single" w:sz="4" w:space="0" w:color="000000"/>
              <w:right w:val="nil" w:sz="6" w:space="0" w:color="auto"/>
            </w:tcBorders>
          </w:tcPr>
          <w:p>
            <w:pPr>
              <w:pStyle w:val="TableParagraph"/>
              <w:spacing w:line="165" w:lineRule="exact"/>
              <w:ind w:right="33"/>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1105" w:type="dxa"/>
            <w:vMerge/>
            <w:tcBorders>
              <w:left w:val="nil" w:sz="6" w:space="0" w:color="auto"/>
              <w:bottom w:val="single" w:sz="4" w:space="0" w:color="000000"/>
              <w:right w:val="nil" w:sz="6" w:space="0" w:color="auto"/>
            </w:tcBorders>
          </w:tcPr>
          <w:p>
            <w:pPr/>
          </w:p>
        </w:tc>
      </w:tr>
      <w:tr>
        <w:trPr>
          <w:trHeight w:val="426" w:hRule="exact"/>
        </w:trPr>
        <w:tc>
          <w:tcPr>
            <w:tcW w:w="2685"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14" w:right="0"/>
              <w:jc w:val="left"/>
              <w:rPr>
                <w:rFonts w:ascii="宋体" w:hAnsi="宋体" w:cs="宋体" w:eastAsia="宋体" w:hint="default"/>
                <w:sz w:val="15"/>
                <w:szCs w:val="15"/>
              </w:rPr>
            </w:pPr>
            <w:r>
              <w:rPr>
                <w:rFonts w:ascii="宋体" w:hAnsi="宋体" w:cs="宋体" w:eastAsia="宋体" w:hint="default"/>
                <w:sz w:val="15"/>
                <w:szCs w:val="15"/>
              </w:rPr>
              <w:t>江苏凤凰天舟新媒体发展有限责任公司</w:t>
            </w:r>
          </w:p>
        </w:tc>
        <w:tc>
          <w:tcPr>
            <w:tcW w:w="785"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55" w:right="0"/>
              <w:jc w:val="center"/>
              <w:rPr>
                <w:rFonts w:ascii="宋体" w:hAnsi="宋体" w:cs="宋体" w:eastAsia="宋体" w:hint="default"/>
                <w:sz w:val="15"/>
                <w:szCs w:val="15"/>
              </w:rPr>
            </w:pPr>
            <w:r>
              <w:rPr>
                <w:rFonts w:ascii="宋体" w:hAnsi="宋体" w:cs="宋体" w:eastAsia="宋体" w:hint="default"/>
                <w:sz w:val="15"/>
                <w:szCs w:val="15"/>
              </w:rPr>
              <w:t>采购图书</w:t>
            </w:r>
          </w:p>
        </w:tc>
        <w:tc>
          <w:tcPr>
            <w:tcW w:w="1091"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284"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006" w:type="dxa"/>
            <w:tcBorders>
              <w:top w:val="single" w:sz="4" w:space="0" w:color="000000"/>
              <w:left w:val="nil" w:sz="6" w:space="0" w:color="auto"/>
              <w:bottom w:val="nil" w:sz="6" w:space="0" w:color="auto"/>
              <w:right w:val="nil" w:sz="6" w:space="0" w:color="auto"/>
            </w:tcBorders>
          </w:tcPr>
          <w:p>
            <w:pPr/>
          </w:p>
        </w:tc>
        <w:tc>
          <w:tcPr>
            <w:tcW w:w="1161" w:type="dxa"/>
            <w:tcBorders>
              <w:top w:val="single" w:sz="4" w:space="0" w:color="000000"/>
              <w:left w:val="nil" w:sz="6" w:space="0" w:color="auto"/>
              <w:bottom w:val="nil" w:sz="6" w:space="0" w:color="auto"/>
              <w:right w:val="nil" w:sz="6" w:space="0" w:color="auto"/>
            </w:tcBorders>
          </w:tcPr>
          <w:p>
            <w:pPr/>
          </w:p>
        </w:tc>
        <w:tc>
          <w:tcPr>
            <w:tcW w:w="85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5"/>
              <w:jc w:val="center"/>
              <w:rPr>
                <w:rFonts w:ascii="Times New Roman" w:hAnsi="Times New Roman" w:cs="Times New Roman" w:eastAsia="Times New Roman" w:hint="default"/>
                <w:sz w:val="15"/>
                <w:szCs w:val="15"/>
              </w:rPr>
            </w:pPr>
            <w:r>
              <w:rPr>
                <w:rFonts w:ascii="Times New Roman"/>
                <w:sz w:val="15"/>
              </w:rPr>
              <w:t>196,891.57</w:t>
            </w:r>
          </w:p>
        </w:tc>
        <w:tc>
          <w:tcPr>
            <w:tcW w:w="110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385" w:right="0"/>
              <w:jc w:val="left"/>
              <w:rPr>
                <w:rFonts w:ascii="Times New Roman" w:hAnsi="Times New Roman" w:cs="Times New Roman" w:eastAsia="Times New Roman" w:hint="default"/>
                <w:sz w:val="15"/>
                <w:szCs w:val="15"/>
              </w:rPr>
            </w:pPr>
            <w:r>
              <w:rPr>
                <w:rFonts w:ascii="Times New Roman"/>
                <w:sz w:val="15"/>
              </w:rPr>
              <w:t>0.07</w:t>
            </w:r>
          </w:p>
        </w:tc>
      </w:tr>
      <w:tr>
        <w:trPr>
          <w:trHeight w:val="376"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1" w:right="0"/>
              <w:jc w:val="left"/>
              <w:rPr>
                <w:rFonts w:ascii="宋体" w:hAnsi="宋体" w:cs="宋体" w:eastAsia="宋体" w:hint="default"/>
                <w:sz w:val="15"/>
                <w:szCs w:val="15"/>
              </w:rPr>
            </w:pPr>
            <w:r>
              <w:rPr>
                <w:rFonts w:ascii="宋体" w:hAnsi="宋体" w:cs="宋体" w:eastAsia="宋体" w:hint="default"/>
                <w:sz w:val="15"/>
                <w:szCs w:val="15"/>
              </w:rPr>
              <w:t>北京北舟文化传媒有限责任公司</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5" w:right="0"/>
              <w:jc w:val="center"/>
              <w:rPr>
                <w:rFonts w:ascii="宋体" w:hAnsi="宋体" w:cs="宋体" w:eastAsia="宋体" w:hint="default"/>
                <w:sz w:val="15"/>
                <w:szCs w:val="15"/>
              </w:rPr>
            </w:pPr>
            <w:r>
              <w:rPr>
                <w:rFonts w:ascii="宋体" w:hAnsi="宋体" w:cs="宋体" w:eastAsia="宋体" w:hint="default"/>
                <w:sz w:val="15"/>
                <w:szCs w:val="15"/>
              </w:rPr>
              <w:t>采购图书</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84"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8"/>
              <w:jc w:val="right"/>
              <w:rPr>
                <w:rFonts w:ascii="Times New Roman" w:hAnsi="Times New Roman" w:cs="Times New Roman" w:eastAsia="Times New Roman" w:hint="default"/>
                <w:sz w:val="15"/>
                <w:szCs w:val="15"/>
              </w:rPr>
            </w:pPr>
            <w:r>
              <w:rPr>
                <w:rFonts w:ascii="Times New Roman"/>
                <w:spacing w:val="-2"/>
                <w:sz w:val="15"/>
              </w:rPr>
              <w:t>1,013,173.28</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4" w:right="0"/>
              <w:jc w:val="left"/>
              <w:rPr>
                <w:rFonts w:ascii="Times New Roman" w:hAnsi="Times New Roman" w:cs="Times New Roman" w:eastAsia="Times New Roman" w:hint="default"/>
                <w:sz w:val="15"/>
                <w:szCs w:val="15"/>
              </w:rPr>
            </w:pPr>
            <w:r>
              <w:rPr>
                <w:rFonts w:ascii="Times New Roman"/>
                <w:sz w:val="15"/>
              </w:rPr>
              <w:t>0.48</w:t>
            </w:r>
          </w:p>
        </w:tc>
        <w:tc>
          <w:tcPr>
            <w:tcW w:w="856"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
        </w:tc>
      </w:tr>
      <w:tr>
        <w:trPr>
          <w:trHeight w:val="395"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5"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785"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96"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1,013,173.28</w:t>
            </w:r>
            <w:r>
              <w:rPr>
                <w:rFonts w:ascii="Times New Roman"/>
                <w:sz w:val="15"/>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4"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0.48</w:t>
            </w:r>
            <w:r>
              <w:rPr>
                <w:rFonts w:ascii="Times New Roman"/>
                <w:sz w:val="15"/>
              </w:rPr>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5"/>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196,891.57</w:t>
            </w:r>
            <w:r>
              <w:rPr>
                <w:rFonts w:ascii="Times New Roman"/>
                <w:sz w:val="15"/>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85"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0.07</w:t>
            </w:r>
            <w:r>
              <w:rPr>
                <w:rFonts w:ascii="Times New Roman"/>
                <w:sz w:val="15"/>
              </w:rPr>
            </w:r>
          </w:p>
        </w:tc>
      </w:tr>
      <w:tr>
        <w:trPr>
          <w:trHeight w:val="398"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1" w:right="0"/>
              <w:jc w:val="left"/>
              <w:rPr>
                <w:rFonts w:ascii="宋体" w:hAnsi="宋体" w:cs="宋体" w:eastAsia="宋体" w:hint="default"/>
                <w:sz w:val="15"/>
                <w:szCs w:val="15"/>
              </w:rPr>
            </w:pPr>
            <w:r>
              <w:rPr>
                <w:rFonts w:ascii="宋体" w:hAnsi="宋体" w:cs="宋体" w:eastAsia="宋体" w:hint="default"/>
                <w:sz w:val="15"/>
                <w:szCs w:val="15"/>
              </w:rPr>
              <w:t>长沙鸿发印务实业有限公司</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5" w:right="0"/>
              <w:jc w:val="center"/>
              <w:rPr>
                <w:rFonts w:ascii="宋体" w:hAnsi="宋体" w:cs="宋体" w:eastAsia="宋体" w:hint="default"/>
                <w:sz w:val="15"/>
                <w:szCs w:val="15"/>
              </w:rPr>
            </w:pPr>
            <w:r>
              <w:rPr>
                <w:rFonts w:ascii="宋体" w:hAnsi="宋体" w:cs="宋体" w:eastAsia="宋体" w:hint="default"/>
                <w:sz w:val="15"/>
                <w:szCs w:val="15"/>
              </w:rPr>
              <w:t>接受劳务</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84"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64"/>
              <w:jc w:val="right"/>
              <w:rPr>
                <w:rFonts w:ascii="Times New Roman" w:hAnsi="Times New Roman" w:cs="Times New Roman" w:eastAsia="Times New Roman" w:hint="default"/>
                <w:sz w:val="15"/>
                <w:szCs w:val="15"/>
              </w:rPr>
            </w:pPr>
            <w:r>
              <w:rPr>
                <w:rFonts w:ascii="Times New Roman"/>
                <w:spacing w:val="-2"/>
                <w:sz w:val="15"/>
              </w:rPr>
              <w:t>13,594.54</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74" w:right="0"/>
              <w:jc w:val="left"/>
              <w:rPr>
                <w:rFonts w:ascii="Times New Roman" w:hAnsi="Times New Roman" w:cs="Times New Roman" w:eastAsia="Times New Roman" w:hint="default"/>
                <w:sz w:val="15"/>
                <w:szCs w:val="15"/>
              </w:rPr>
            </w:pPr>
            <w:r>
              <w:rPr>
                <w:rFonts w:ascii="Times New Roman"/>
                <w:sz w:val="15"/>
              </w:rPr>
              <w:t>100</w:t>
            </w:r>
          </w:p>
        </w:tc>
        <w:tc>
          <w:tcPr>
            <w:tcW w:w="856"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
        </w:tc>
      </w:tr>
      <w:tr>
        <w:trPr>
          <w:trHeight w:val="285"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5"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785"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13,594.54</w:t>
            </w:r>
            <w:r>
              <w:rPr>
                <w:rFonts w:ascii="Times New Roman"/>
                <w:spacing w:val="-1"/>
                <w:sz w:val="15"/>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74"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856"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720" w:right="0"/>
        <w:jc w:val="left"/>
      </w:pPr>
      <w:r>
        <w:rPr/>
        <w:t>（</w:t>
      </w:r>
      <w:r>
        <w:rPr>
          <w:rFonts w:ascii="Times New Roman" w:hAnsi="Times New Roman" w:cs="Times New Roman" w:eastAsia="Times New Roman" w:hint="default"/>
        </w:rPr>
        <w:t>2</w:t>
      </w:r>
      <w:r>
        <w:rPr/>
        <w:t>）出售商品</w:t>
      </w:r>
      <w:r>
        <w:rPr>
          <w:rFonts w:ascii="Times New Roman" w:hAnsi="Times New Roman" w:cs="Times New Roman" w:eastAsia="Times New Roman" w:hint="default"/>
        </w:rPr>
        <w:t>/</w:t>
      </w:r>
      <w:r>
        <w:rPr/>
        <w:t>提供劳务情况表</w:t>
      </w:r>
    </w:p>
    <w:p>
      <w:pPr>
        <w:spacing w:after="0" w:line="240" w:lineRule="auto"/>
        <w:jc w:val="left"/>
        <w:sectPr>
          <w:pgSz w:w="11910" w:h="16840"/>
          <w:pgMar w:header="0" w:footer="979" w:top="1500" w:bottom="1160" w:left="1440" w:right="1200"/>
        </w:sectPr>
      </w:pPr>
    </w:p>
    <w:p>
      <w:pPr>
        <w:spacing w:line="240" w:lineRule="auto" w:before="12"/>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058"/>
        <w:gridCol w:w="1227"/>
        <w:gridCol w:w="1231"/>
        <w:gridCol w:w="863"/>
        <w:gridCol w:w="1320"/>
        <w:gridCol w:w="884"/>
        <w:gridCol w:w="1224"/>
      </w:tblGrid>
      <w:tr>
        <w:trPr>
          <w:trHeight w:val="176" w:hRule="exact"/>
        </w:trPr>
        <w:tc>
          <w:tcPr>
            <w:tcW w:w="6699" w:type="dxa"/>
            <w:gridSpan w:val="5"/>
            <w:tcBorders>
              <w:top w:val="nil" w:sz="6" w:space="0" w:color="auto"/>
              <w:left w:val="nil" w:sz="6" w:space="0" w:color="auto"/>
              <w:bottom w:val="nil" w:sz="6" w:space="0" w:color="auto"/>
              <w:right w:val="nil" w:sz="6" w:space="0" w:color="auto"/>
            </w:tcBorders>
          </w:tcPr>
          <w:p>
            <w:pPr>
              <w:pStyle w:val="TableParagraph"/>
              <w:spacing w:line="151" w:lineRule="exact"/>
              <w:ind w:right="816"/>
              <w:jc w:val="right"/>
              <w:rPr>
                <w:rFonts w:ascii="宋体" w:hAnsi="宋体" w:cs="宋体" w:eastAsia="宋体" w:hint="default"/>
                <w:sz w:val="15"/>
                <w:szCs w:val="15"/>
              </w:rPr>
            </w:pPr>
            <w:r>
              <w:rPr>
                <w:rFonts w:ascii="宋体" w:hAnsi="宋体" w:cs="宋体" w:eastAsia="宋体" w:hint="default"/>
                <w:b/>
                <w:bCs/>
                <w:sz w:val="15"/>
                <w:szCs w:val="15"/>
              </w:rPr>
              <w:t>本期发生额</w:t>
            </w:r>
            <w:r>
              <w:rPr>
                <w:rFonts w:ascii="宋体" w:hAnsi="宋体" w:cs="宋体" w:eastAsia="宋体" w:hint="default"/>
                <w:sz w:val="15"/>
                <w:szCs w:val="15"/>
              </w:rPr>
            </w:r>
          </w:p>
        </w:tc>
        <w:tc>
          <w:tcPr>
            <w:tcW w:w="2108" w:type="dxa"/>
            <w:gridSpan w:val="2"/>
            <w:tcBorders>
              <w:top w:val="nil" w:sz="6" w:space="0" w:color="auto"/>
              <w:left w:val="nil" w:sz="6" w:space="0" w:color="auto"/>
              <w:bottom w:val="nil" w:sz="6" w:space="0" w:color="auto"/>
              <w:right w:val="nil" w:sz="6" w:space="0" w:color="auto"/>
            </w:tcBorders>
          </w:tcPr>
          <w:p>
            <w:pPr>
              <w:pStyle w:val="TableParagraph"/>
              <w:spacing w:line="151" w:lineRule="exact"/>
              <w:ind w:left="636" w:right="0"/>
              <w:jc w:val="left"/>
              <w:rPr>
                <w:rFonts w:ascii="宋体" w:hAnsi="宋体" w:cs="宋体" w:eastAsia="宋体" w:hint="default"/>
                <w:sz w:val="15"/>
                <w:szCs w:val="15"/>
              </w:rPr>
            </w:pPr>
            <w:r>
              <w:rPr>
                <w:rFonts w:ascii="宋体" w:hAnsi="宋体" w:cs="宋体" w:eastAsia="宋体" w:hint="default"/>
                <w:b/>
                <w:bCs/>
                <w:sz w:val="15"/>
                <w:szCs w:val="15"/>
              </w:rPr>
              <w:t>上期发生额</w:t>
            </w:r>
            <w:r>
              <w:rPr>
                <w:rFonts w:ascii="宋体" w:hAnsi="宋体" w:cs="宋体" w:eastAsia="宋体" w:hint="default"/>
                <w:sz w:val="15"/>
                <w:szCs w:val="15"/>
              </w:rPr>
            </w:r>
          </w:p>
        </w:tc>
      </w:tr>
      <w:tr>
        <w:trPr>
          <w:trHeight w:val="379" w:hRule="exact"/>
        </w:trPr>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794" w:right="0"/>
              <w:jc w:val="left"/>
              <w:rPr>
                <w:rFonts w:ascii="宋体" w:hAnsi="宋体" w:cs="宋体" w:eastAsia="宋体" w:hint="default"/>
                <w:sz w:val="15"/>
                <w:szCs w:val="15"/>
              </w:rPr>
            </w:pPr>
            <w:r>
              <w:rPr>
                <w:rFonts w:ascii="宋体" w:hAnsi="宋体" w:cs="宋体" w:eastAsia="宋体" w:hint="default"/>
                <w:b/>
                <w:bCs/>
                <w:sz w:val="15"/>
                <w:szCs w:val="15"/>
              </w:rPr>
              <w:t>公司名称</w:t>
            </w:r>
            <w:r>
              <w:rPr>
                <w:rFonts w:ascii="宋体" w:hAnsi="宋体" w:cs="宋体" w:eastAsia="宋体" w:hint="default"/>
                <w:sz w:val="15"/>
                <w:szCs w:val="15"/>
              </w:rPr>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32" w:right="0"/>
              <w:jc w:val="center"/>
              <w:rPr>
                <w:rFonts w:ascii="宋体" w:hAnsi="宋体" w:cs="宋体" w:eastAsia="宋体" w:hint="default"/>
                <w:sz w:val="15"/>
                <w:szCs w:val="15"/>
              </w:rPr>
            </w:pPr>
            <w:r>
              <w:rPr>
                <w:rFonts w:ascii="宋体" w:hAnsi="宋体" w:cs="宋体" w:eastAsia="宋体" w:hint="default"/>
                <w:b/>
                <w:bCs/>
                <w:sz w:val="15"/>
                <w:szCs w:val="15"/>
              </w:rPr>
              <w:t>关联交易内容</w:t>
            </w:r>
            <w:r>
              <w:rPr>
                <w:rFonts w:ascii="宋体" w:hAnsi="宋体" w:cs="宋体" w:eastAsia="宋体" w:hint="default"/>
                <w:sz w:val="15"/>
                <w:szCs w:val="15"/>
              </w:rPr>
            </w:r>
          </w:p>
        </w:tc>
        <w:tc>
          <w:tcPr>
            <w:tcW w:w="1231" w:type="dxa"/>
            <w:vMerge w:val="restart"/>
            <w:tcBorders>
              <w:top w:val="nil" w:sz="6" w:space="0" w:color="auto"/>
              <w:left w:val="nil" w:sz="6" w:space="0" w:color="auto"/>
              <w:right w:val="nil" w:sz="6" w:space="0" w:color="auto"/>
            </w:tcBorders>
          </w:tcPr>
          <w:p>
            <w:pPr>
              <w:pStyle w:val="TableParagraph"/>
              <w:spacing w:line="176" w:lineRule="exact"/>
              <w:ind w:left="94" w:right="0" w:firstLine="7"/>
              <w:jc w:val="left"/>
              <w:rPr>
                <w:rFonts w:ascii="宋体" w:hAnsi="宋体" w:cs="宋体" w:eastAsia="宋体" w:hint="default"/>
                <w:sz w:val="15"/>
                <w:szCs w:val="15"/>
              </w:rPr>
            </w:pPr>
            <w:r>
              <w:rPr>
                <w:rFonts w:ascii="宋体" w:hAnsi="宋体" w:cs="宋体" w:eastAsia="宋体" w:hint="default"/>
                <w:b/>
                <w:bCs/>
                <w:sz w:val="15"/>
                <w:szCs w:val="15"/>
              </w:rPr>
              <w:t>关联方定价方</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94" w:right="0"/>
              <w:jc w:val="left"/>
              <w:rPr>
                <w:rFonts w:ascii="宋体" w:hAnsi="宋体" w:cs="宋体" w:eastAsia="宋体" w:hint="default"/>
                <w:sz w:val="15"/>
                <w:szCs w:val="15"/>
              </w:rPr>
            </w:pPr>
            <w:r>
              <w:rPr>
                <w:rFonts w:ascii="宋体" w:hAnsi="宋体" w:cs="宋体" w:eastAsia="宋体" w:hint="default"/>
                <w:b/>
                <w:bCs/>
                <w:sz w:val="15"/>
                <w:szCs w:val="15"/>
              </w:rPr>
              <w:t>式及决策程序</w:t>
            </w:r>
            <w:r>
              <w:rPr>
                <w:rFonts w:ascii="宋体" w:hAnsi="宋体" w:cs="宋体" w:eastAsia="宋体" w:hint="default"/>
                <w:sz w:val="15"/>
                <w:szCs w:val="15"/>
              </w:rPr>
            </w:r>
          </w:p>
        </w:tc>
        <w:tc>
          <w:tcPr>
            <w:tcW w:w="863" w:type="dxa"/>
            <w:tcBorders>
              <w:top w:val="nil" w:sz="6" w:space="0" w:color="auto"/>
              <w:left w:val="nil" w:sz="6" w:space="0" w:color="auto"/>
              <w:bottom w:val="nil" w:sz="6" w:space="0" w:color="auto"/>
              <w:right w:val="nil" w:sz="6" w:space="0" w:color="auto"/>
            </w:tcBorders>
          </w:tcPr>
          <w:p>
            <w:pPr/>
          </w:p>
        </w:tc>
        <w:tc>
          <w:tcPr>
            <w:tcW w:w="1320" w:type="dxa"/>
            <w:vMerge w:val="restart"/>
            <w:tcBorders>
              <w:top w:val="nil" w:sz="6" w:space="0" w:color="auto"/>
              <w:left w:val="nil" w:sz="6" w:space="0" w:color="auto"/>
              <w:right w:val="nil" w:sz="6" w:space="0" w:color="auto"/>
            </w:tcBorders>
          </w:tcPr>
          <w:p>
            <w:pPr>
              <w:pStyle w:val="TableParagraph"/>
              <w:spacing w:line="370" w:lineRule="atLeast" w:before="8"/>
              <w:ind w:left="189" w:right="146" w:hanging="75"/>
              <w:jc w:val="left"/>
              <w:rPr>
                <w:rFonts w:ascii="宋体" w:hAnsi="宋体" w:cs="宋体" w:eastAsia="宋体" w:hint="default"/>
                <w:sz w:val="15"/>
                <w:szCs w:val="15"/>
              </w:rPr>
            </w:pPr>
            <w:r>
              <w:rPr>
                <w:rFonts w:ascii="宋体" w:hAnsi="宋体" w:cs="宋体" w:eastAsia="宋体" w:hint="default"/>
                <w:b/>
                <w:bCs/>
                <w:spacing w:val="-1"/>
                <w:sz w:val="15"/>
                <w:szCs w:val="15"/>
              </w:rPr>
              <w:t>占同类交易金额</w:t>
            </w:r>
            <w:r>
              <w:rPr>
                <w:rFonts w:ascii="宋体" w:hAnsi="宋体" w:cs="宋体" w:eastAsia="宋体" w:hint="default"/>
                <w:b/>
                <w:bCs/>
                <w:spacing w:val="-68"/>
                <w:sz w:val="15"/>
                <w:szCs w:val="15"/>
              </w:rPr>
              <w:t> </w:t>
            </w:r>
            <w:r>
              <w:rPr>
                <w:rFonts w:ascii="宋体" w:hAnsi="宋体" w:cs="宋体" w:eastAsia="宋体" w:hint="default"/>
                <w:b/>
                <w:bCs/>
                <w:spacing w:val="-68"/>
                <w:sz w:val="15"/>
                <w:szCs w:val="15"/>
              </w:rPr>
            </w:r>
            <w:r>
              <w:rPr>
                <w:rFonts w:ascii="宋体" w:hAnsi="宋体" w:cs="宋体" w:eastAsia="宋体" w:hint="default"/>
                <w:b/>
                <w:bCs/>
                <w:sz w:val="15"/>
                <w:szCs w:val="15"/>
              </w:rPr>
              <w:t>的比例（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884" w:type="dxa"/>
            <w:tcBorders>
              <w:top w:val="nil" w:sz="6" w:space="0" w:color="auto"/>
              <w:left w:val="nil" w:sz="6" w:space="0" w:color="auto"/>
              <w:bottom w:val="nil" w:sz="6" w:space="0" w:color="auto"/>
              <w:right w:val="nil" w:sz="6" w:space="0" w:color="auto"/>
            </w:tcBorders>
          </w:tcPr>
          <w:p>
            <w:pPr/>
          </w:p>
        </w:tc>
        <w:tc>
          <w:tcPr>
            <w:tcW w:w="1224" w:type="dxa"/>
            <w:vMerge w:val="restart"/>
            <w:tcBorders>
              <w:top w:val="nil" w:sz="6" w:space="0" w:color="auto"/>
              <w:left w:val="nil" w:sz="6" w:space="0" w:color="auto"/>
              <w:right w:val="nil" w:sz="6" w:space="0" w:color="auto"/>
            </w:tcBorders>
          </w:tcPr>
          <w:p>
            <w:pPr>
              <w:pStyle w:val="TableParagraph"/>
              <w:spacing w:line="370" w:lineRule="atLeast" w:before="8"/>
              <w:ind w:left="208" w:right="31" w:hanging="75"/>
              <w:jc w:val="left"/>
              <w:rPr>
                <w:rFonts w:ascii="宋体" w:hAnsi="宋体" w:cs="宋体" w:eastAsia="宋体" w:hint="default"/>
                <w:sz w:val="15"/>
                <w:szCs w:val="15"/>
              </w:rPr>
            </w:pPr>
            <w:r>
              <w:rPr>
                <w:rFonts w:ascii="宋体" w:hAnsi="宋体" w:cs="宋体" w:eastAsia="宋体" w:hint="default"/>
                <w:b/>
                <w:bCs/>
                <w:sz w:val="15"/>
                <w:szCs w:val="15"/>
              </w:rPr>
              <w:t>占同类交易金额</w:t>
            </w:r>
            <w:r>
              <w:rPr>
                <w:rFonts w:ascii="宋体" w:hAnsi="宋体" w:cs="宋体" w:eastAsia="宋体" w:hint="default"/>
                <w:b/>
                <w:bCs/>
                <w:w w:val="100"/>
                <w:sz w:val="15"/>
                <w:szCs w:val="15"/>
              </w:rPr>
              <w:t> </w:t>
            </w:r>
            <w:r>
              <w:rPr>
                <w:rFonts w:ascii="宋体" w:hAnsi="宋体" w:cs="宋体" w:eastAsia="宋体" w:hint="default"/>
                <w:b/>
                <w:bCs/>
                <w:sz w:val="15"/>
                <w:szCs w:val="15"/>
              </w:rPr>
              <w:t>的比例（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453" w:hRule="exact"/>
        </w:trPr>
        <w:tc>
          <w:tcPr>
            <w:tcW w:w="2058" w:type="dxa"/>
            <w:tcBorders>
              <w:top w:val="nil" w:sz="6" w:space="0" w:color="auto"/>
              <w:left w:val="nil" w:sz="6" w:space="0" w:color="auto"/>
              <w:bottom w:val="single" w:sz="4" w:space="0" w:color="000000"/>
              <w:right w:val="nil" w:sz="6" w:space="0" w:color="auto"/>
            </w:tcBorders>
          </w:tcPr>
          <w:p>
            <w:pPr/>
          </w:p>
        </w:tc>
        <w:tc>
          <w:tcPr>
            <w:tcW w:w="1227" w:type="dxa"/>
            <w:tcBorders>
              <w:top w:val="nil" w:sz="6" w:space="0" w:color="auto"/>
              <w:left w:val="nil" w:sz="6" w:space="0" w:color="auto"/>
              <w:bottom w:val="single" w:sz="4" w:space="0" w:color="000000"/>
              <w:right w:val="nil" w:sz="6" w:space="0" w:color="auto"/>
            </w:tcBorders>
          </w:tcPr>
          <w:p>
            <w:pPr/>
          </w:p>
        </w:tc>
        <w:tc>
          <w:tcPr>
            <w:tcW w:w="1231" w:type="dxa"/>
            <w:vMerge/>
            <w:tcBorders>
              <w:left w:val="nil" w:sz="6" w:space="0" w:color="auto"/>
              <w:bottom w:val="single" w:sz="4" w:space="0" w:color="000000"/>
              <w:right w:val="nil" w:sz="6" w:space="0" w:color="auto"/>
            </w:tcBorders>
          </w:tcPr>
          <w:p>
            <w:pPr/>
          </w:p>
        </w:tc>
        <w:tc>
          <w:tcPr>
            <w:tcW w:w="863" w:type="dxa"/>
            <w:tcBorders>
              <w:top w:val="nil" w:sz="6" w:space="0" w:color="auto"/>
              <w:left w:val="nil" w:sz="6" w:space="0" w:color="auto"/>
              <w:bottom w:val="single" w:sz="4" w:space="0" w:color="000000"/>
              <w:right w:val="nil" w:sz="6" w:space="0" w:color="auto"/>
            </w:tcBorders>
          </w:tcPr>
          <w:p>
            <w:pPr>
              <w:pStyle w:val="TableParagraph"/>
              <w:spacing w:line="176" w:lineRule="exact"/>
              <w:ind w:right="81"/>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1320" w:type="dxa"/>
            <w:vMerge/>
            <w:tcBorders>
              <w:left w:val="nil" w:sz="6" w:space="0" w:color="auto"/>
              <w:bottom w:val="single" w:sz="4" w:space="0" w:color="000000"/>
              <w:right w:val="nil" w:sz="6" w:space="0" w:color="auto"/>
            </w:tcBorders>
          </w:tcPr>
          <w:p>
            <w:pPr/>
          </w:p>
        </w:tc>
        <w:tc>
          <w:tcPr>
            <w:tcW w:w="884" w:type="dxa"/>
            <w:tcBorders>
              <w:top w:val="nil" w:sz="6" w:space="0" w:color="auto"/>
              <w:left w:val="nil" w:sz="6" w:space="0" w:color="auto"/>
              <w:bottom w:val="single" w:sz="4" w:space="0" w:color="000000"/>
              <w:right w:val="nil" w:sz="6" w:space="0" w:color="auto"/>
            </w:tcBorders>
          </w:tcPr>
          <w:p>
            <w:pPr>
              <w:pStyle w:val="TableParagraph"/>
              <w:spacing w:line="176" w:lineRule="exact"/>
              <w:ind w:left="18" w:right="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1224" w:type="dxa"/>
            <w:vMerge/>
            <w:tcBorders>
              <w:left w:val="nil" w:sz="6" w:space="0" w:color="auto"/>
              <w:bottom w:val="single" w:sz="4" w:space="0" w:color="000000"/>
              <w:right w:val="nil" w:sz="6" w:space="0" w:color="auto"/>
            </w:tcBorders>
          </w:tcPr>
          <w:p>
            <w:pPr/>
          </w:p>
        </w:tc>
      </w:tr>
      <w:tr>
        <w:trPr>
          <w:trHeight w:val="442" w:hRule="exact"/>
        </w:trPr>
        <w:tc>
          <w:tcPr>
            <w:tcW w:w="2058"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28" w:right="0"/>
              <w:jc w:val="left"/>
              <w:rPr>
                <w:rFonts w:ascii="宋体" w:hAnsi="宋体" w:cs="宋体" w:eastAsia="宋体" w:hint="default"/>
                <w:sz w:val="15"/>
                <w:szCs w:val="15"/>
              </w:rPr>
            </w:pPr>
            <w:r>
              <w:rPr>
                <w:rFonts w:ascii="宋体" w:hAnsi="宋体" w:cs="宋体" w:eastAsia="宋体" w:hint="default"/>
                <w:sz w:val="15"/>
                <w:szCs w:val="15"/>
              </w:rPr>
              <w:t>北京北舟文化传媒有限公司</w:t>
            </w:r>
          </w:p>
        </w:tc>
        <w:tc>
          <w:tcPr>
            <w:tcW w:w="1227"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127" w:right="0"/>
              <w:jc w:val="center"/>
              <w:rPr>
                <w:rFonts w:ascii="宋体" w:hAnsi="宋体" w:cs="宋体" w:eastAsia="宋体" w:hint="default"/>
                <w:sz w:val="15"/>
                <w:szCs w:val="15"/>
              </w:rPr>
            </w:pPr>
            <w:r>
              <w:rPr>
                <w:rFonts w:ascii="宋体" w:hAnsi="宋体" w:cs="宋体" w:eastAsia="宋体" w:hint="default"/>
                <w:sz w:val="15"/>
                <w:szCs w:val="15"/>
              </w:rPr>
              <w:t>销售图书</w:t>
            </w:r>
          </w:p>
        </w:tc>
        <w:tc>
          <w:tcPr>
            <w:tcW w:w="1231"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320"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86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09" w:right="0"/>
              <w:jc w:val="center"/>
              <w:rPr>
                <w:rFonts w:ascii="Times New Roman" w:hAnsi="Times New Roman" w:cs="Times New Roman" w:eastAsia="Times New Roman" w:hint="default"/>
                <w:sz w:val="15"/>
                <w:szCs w:val="15"/>
              </w:rPr>
            </w:pPr>
            <w:r>
              <w:rPr>
                <w:rFonts w:ascii="Times New Roman"/>
                <w:sz w:val="15"/>
              </w:rPr>
              <w:t>4,231.90</w:t>
            </w:r>
          </w:p>
        </w:tc>
        <w:tc>
          <w:tcPr>
            <w:tcW w:w="132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508" w:right="0"/>
              <w:jc w:val="left"/>
              <w:rPr>
                <w:rFonts w:ascii="Times New Roman" w:hAnsi="Times New Roman" w:cs="Times New Roman" w:eastAsia="Times New Roman" w:hint="default"/>
                <w:sz w:val="15"/>
                <w:szCs w:val="15"/>
              </w:rPr>
            </w:pPr>
            <w:r>
              <w:rPr>
                <w:rFonts w:ascii="Times New Roman"/>
                <w:sz w:val="15"/>
              </w:rPr>
              <w:t>0.01</w:t>
            </w:r>
          </w:p>
        </w:tc>
        <w:tc>
          <w:tcPr>
            <w:tcW w:w="884" w:type="dxa"/>
            <w:tcBorders>
              <w:top w:val="single" w:sz="4" w:space="0" w:color="000000"/>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nil" w:sz="6" w:space="0" w:color="auto"/>
              <w:right w:val="nil" w:sz="6" w:space="0" w:color="auto"/>
            </w:tcBorders>
          </w:tcPr>
          <w:p>
            <w:pPr/>
          </w:p>
        </w:tc>
      </w:tr>
      <w:tr>
        <w:trPr>
          <w:trHeight w:val="400" w:hRule="exact"/>
        </w:trPr>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 w:right="0"/>
              <w:jc w:val="left"/>
              <w:rPr>
                <w:rFonts w:ascii="宋体" w:hAnsi="宋体" w:cs="宋体" w:eastAsia="宋体" w:hint="default"/>
                <w:sz w:val="15"/>
                <w:szCs w:val="15"/>
              </w:rPr>
            </w:pPr>
            <w:r>
              <w:rPr>
                <w:rFonts w:ascii="宋体" w:hAnsi="宋体" w:cs="宋体" w:eastAsia="宋体" w:hint="default"/>
                <w:sz w:val="15"/>
                <w:szCs w:val="15"/>
              </w:rPr>
              <w:t>湖南天鸿投资集团有限公司</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7" w:right="0"/>
              <w:jc w:val="center"/>
              <w:rPr>
                <w:rFonts w:ascii="宋体" w:hAnsi="宋体" w:cs="宋体" w:eastAsia="宋体" w:hint="default"/>
                <w:sz w:val="15"/>
                <w:szCs w:val="15"/>
              </w:rPr>
            </w:pPr>
            <w:r>
              <w:rPr>
                <w:rFonts w:ascii="宋体" w:hAnsi="宋体" w:cs="宋体" w:eastAsia="宋体" w:hint="default"/>
                <w:sz w:val="15"/>
                <w:szCs w:val="15"/>
              </w:rPr>
              <w:t>销售图书</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20"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863"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4" w:right="0"/>
              <w:jc w:val="center"/>
              <w:rPr>
                <w:rFonts w:ascii="Times New Roman" w:hAnsi="Times New Roman" w:cs="Times New Roman" w:eastAsia="Times New Roman" w:hint="default"/>
                <w:sz w:val="15"/>
                <w:szCs w:val="15"/>
              </w:rPr>
            </w:pPr>
            <w:r>
              <w:rPr>
                <w:rFonts w:ascii="Times New Roman"/>
                <w:sz w:val="15"/>
              </w:rPr>
              <w:t>14,287.15</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31"/>
              <w:jc w:val="right"/>
              <w:rPr>
                <w:rFonts w:ascii="Times New Roman" w:hAnsi="Times New Roman" w:cs="Times New Roman" w:eastAsia="Times New Roman" w:hint="default"/>
                <w:sz w:val="15"/>
                <w:szCs w:val="15"/>
              </w:rPr>
            </w:pPr>
            <w:r>
              <w:rPr>
                <w:rFonts w:ascii="Times New Roman"/>
                <w:spacing w:val="-1"/>
                <w:sz w:val="15"/>
              </w:rPr>
              <w:t>0.01</w:t>
            </w:r>
          </w:p>
        </w:tc>
      </w:tr>
      <w:tr>
        <w:trPr>
          <w:trHeight w:val="280" w:hRule="exact"/>
        </w:trPr>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5"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27"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2" w:right="0"/>
              <w:jc w:val="center"/>
              <w:rPr>
                <w:rFonts w:ascii="Times New Roman" w:hAnsi="Times New Roman" w:cs="Times New Roman" w:eastAsia="Times New Roman" w:hint="default"/>
                <w:sz w:val="15"/>
                <w:szCs w:val="15"/>
              </w:rPr>
            </w:pPr>
            <w:r>
              <w:rPr>
                <w:rFonts w:ascii="Times New Roman"/>
                <w:w w:val="100"/>
                <w:sz w:val="15"/>
              </w:rPr>
            </w:r>
            <w:r>
              <w:rPr>
                <w:rFonts w:ascii="Times New Roman"/>
                <w:w w:val="100"/>
                <w:sz w:val="15"/>
                <w:u w:val="thick" w:color="000000"/>
              </w:rPr>
              <w:t> </w:t>
            </w:r>
            <w:r>
              <w:rPr>
                <w:rFonts w:ascii="Times New Roman"/>
                <w:spacing w:val="1"/>
                <w:sz w:val="15"/>
                <w:u w:val="thick" w:color="000000"/>
              </w:rPr>
              <w:t> </w:t>
            </w:r>
            <w:r>
              <w:rPr>
                <w:rFonts w:ascii="Times New Roman"/>
                <w:sz w:val="15"/>
                <w:u w:val="thick" w:color="000000"/>
              </w:rPr>
              <w:t>4,231.90</w:t>
            </w:r>
            <w:r>
              <w:rPr>
                <w:rFonts w:ascii="Times New Roman"/>
                <w:sz w:val="15"/>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508"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0.01</w:t>
            </w:r>
            <w:r>
              <w:rPr>
                <w:rFonts w:ascii="Times New Roman"/>
                <w:sz w:val="15"/>
              </w:rPr>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4"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14,287.15</w:t>
            </w:r>
            <w:r>
              <w:rPr>
                <w:rFonts w:ascii="Times New Roman"/>
                <w:sz w:val="15"/>
              </w:rPr>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31"/>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0.01</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496" w:lineRule="auto"/>
        <w:ind w:left="871" w:right="6347" w:hanging="152"/>
        <w:jc w:val="left"/>
      </w:pPr>
      <w:r>
        <w:rPr/>
        <w:t>（</w:t>
      </w:r>
      <w:r>
        <w:rPr>
          <w:rFonts w:ascii="Times New Roman" w:hAnsi="Times New Roman" w:cs="Times New Roman" w:eastAsia="Times New Roman" w:hint="default"/>
        </w:rPr>
        <w:t>3</w:t>
      </w:r>
      <w:r>
        <w:rPr/>
        <w:t>）关联托管</w:t>
      </w:r>
      <w:r>
        <w:rPr>
          <w:rFonts w:ascii="Times New Roman" w:hAnsi="Times New Roman" w:cs="Times New Roman" w:eastAsia="Times New Roman" w:hint="default"/>
        </w:rPr>
        <w:t>/</w:t>
      </w:r>
      <w:r>
        <w:rPr/>
        <w:t>承包情况 无。</w:t>
      </w:r>
    </w:p>
    <w:p>
      <w:pPr>
        <w:spacing w:line="240" w:lineRule="auto" w:before="1"/>
        <w:rPr>
          <w:rFonts w:ascii="宋体" w:hAnsi="宋体" w:cs="宋体" w:eastAsia="宋体" w:hint="default"/>
          <w:sz w:val="16"/>
          <w:szCs w:val="16"/>
        </w:rPr>
      </w:pPr>
    </w:p>
    <w:p>
      <w:pPr>
        <w:pStyle w:val="BodyText"/>
        <w:spacing w:line="499" w:lineRule="auto"/>
        <w:ind w:left="720" w:right="6756"/>
        <w:jc w:val="left"/>
      </w:pPr>
      <w:r>
        <w:rPr/>
        <w:t>（</w:t>
      </w:r>
      <w:r>
        <w:rPr>
          <w:rFonts w:ascii="Times New Roman" w:hAnsi="Times New Roman" w:cs="Times New Roman" w:eastAsia="Times New Roman" w:hint="default"/>
        </w:rPr>
        <w:t>4</w:t>
      </w:r>
      <w:r>
        <w:rPr/>
        <w:t>）关联租赁情况 公司承租情况表：</w:t>
      </w:r>
    </w:p>
    <w:p>
      <w:pPr>
        <w:spacing w:line="240" w:lineRule="auto" w:before="4"/>
        <w:rPr>
          <w:rFonts w:ascii="宋体" w:hAnsi="宋体" w:cs="宋体" w:eastAsia="宋体" w:hint="default"/>
          <w:sz w:val="10"/>
          <w:szCs w:val="10"/>
        </w:rPr>
      </w:pPr>
    </w:p>
    <w:tbl>
      <w:tblPr>
        <w:tblW w:w="0" w:type="auto"/>
        <w:jc w:val="left"/>
        <w:tblInd w:w="192" w:type="dxa"/>
        <w:tblLayout w:type="fixed"/>
        <w:tblCellMar>
          <w:top w:w="0" w:type="dxa"/>
          <w:left w:w="0" w:type="dxa"/>
          <w:bottom w:w="0" w:type="dxa"/>
          <w:right w:w="0" w:type="dxa"/>
        </w:tblCellMar>
        <w:tblLook w:val="01E0"/>
      </w:tblPr>
      <w:tblGrid>
        <w:gridCol w:w="1586"/>
        <w:gridCol w:w="1635"/>
        <w:gridCol w:w="1088"/>
        <w:gridCol w:w="977"/>
        <w:gridCol w:w="1027"/>
        <w:gridCol w:w="898"/>
        <w:gridCol w:w="1431"/>
      </w:tblGrid>
      <w:tr>
        <w:trPr>
          <w:trHeight w:val="598" w:hRule="exact"/>
        </w:trPr>
        <w:tc>
          <w:tcPr>
            <w:tcW w:w="158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3" w:right="0"/>
              <w:jc w:val="center"/>
              <w:rPr>
                <w:rFonts w:ascii="宋体" w:hAnsi="宋体" w:cs="宋体" w:eastAsia="宋体" w:hint="default"/>
                <w:sz w:val="15"/>
                <w:szCs w:val="15"/>
              </w:rPr>
            </w:pPr>
            <w:r>
              <w:rPr>
                <w:rFonts w:ascii="宋体" w:hAnsi="宋体" w:cs="宋体" w:eastAsia="宋体" w:hint="default"/>
                <w:b/>
                <w:bCs/>
                <w:sz w:val="15"/>
                <w:szCs w:val="15"/>
              </w:rPr>
              <w:t>出租方名称</w:t>
            </w:r>
            <w:r>
              <w:rPr>
                <w:rFonts w:ascii="宋体" w:hAnsi="宋体" w:cs="宋体" w:eastAsia="宋体" w:hint="default"/>
                <w:sz w:val="15"/>
                <w:szCs w:val="15"/>
              </w:rPr>
            </w:r>
          </w:p>
        </w:tc>
        <w:tc>
          <w:tcPr>
            <w:tcW w:w="163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b/>
                <w:bCs/>
                <w:sz w:val="15"/>
                <w:szCs w:val="15"/>
              </w:rPr>
              <w:t>承租方名称</w:t>
            </w:r>
            <w:r>
              <w:rPr>
                <w:rFonts w:ascii="宋体" w:hAnsi="宋体" w:cs="宋体" w:eastAsia="宋体" w:hint="default"/>
                <w:sz w:val="15"/>
                <w:szCs w:val="15"/>
              </w:rPr>
            </w:r>
          </w:p>
        </w:tc>
        <w:tc>
          <w:tcPr>
            <w:tcW w:w="108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1"/>
              <w:jc w:val="center"/>
              <w:rPr>
                <w:rFonts w:ascii="宋体" w:hAnsi="宋体" w:cs="宋体" w:eastAsia="宋体" w:hint="default"/>
                <w:sz w:val="15"/>
                <w:szCs w:val="15"/>
              </w:rPr>
            </w:pPr>
            <w:r>
              <w:rPr>
                <w:rFonts w:ascii="宋体" w:hAnsi="宋体" w:cs="宋体" w:eastAsia="宋体" w:hint="default"/>
                <w:b/>
                <w:bCs/>
                <w:sz w:val="15"/>
                <w:szCs w:val="15"/>
              </w:rPr>
              <w:t>租赁资产种类</w:t>
            </w:r>
            <w:r>
              <w:rPr>
                <w:rFonts w:ascii="宋体" w:hAnsi="宋体" w:cs="宋体" w:eastAsia="宋体" w:hint="default"/>
                <w:sz w:val="15"/>
                <w:szCs w:val="15"/>
              </w:rPr>
            </w:r>
          </w:p>
        </w:tc>
        <w:tc>
          <w:tcPr>
            <w:tcW w:w="97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b/>
                <w:bCs/>
                <w:sz w:val="15"/>
                <w:szCs w:val="15"/>
              </w:rPr>
              <w:t>租赁起始日</w:t>
            </w:r>
            <w:r>
              <w:rPr>
                <w:rFonts w:ascii="宋体" w:hAnsi="宋体" w:cs="宋体" w:eastAsia="宋体" w:hint="default"/>
                <w:sz w:val="15"/>
                <w:szCs w:val="15"/>
              </w:rPr>
            </w:r>
          </w:p>
        </w:tc>
        <w:tc>
          <w:tcPr>
            <w:tcW w:w="102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3"/>
              <w:jc w:val="center"/>
              <w:rPr>
                <w:rFonts w:ascii="宋体" w:hAnsi="宋体" w:cs="宋体" w:eastAsia="宋体" w:hint="default"/>
                <w:sz w:val="15"/>
                <w:szCs w:val="15"/>
              </w:rPr>
            </w:pPr>
            <w:r>
              <w:rPr>
                <w:rFonts w:ascii="宋体" w:hAnsi="宋体" w:cs="宋体" w:eastAsia="宋体" w:hint="default"/>
                <w:b/>
                <w:bCs/>
                <w:sz w:val="15"/>
                <w:szCs w:val="15"/>
              </w:rPr>
              <w:t>租赁终止日</w:t>
            </w:r>
            <w:r>
              <w:rPr>
                <w:rFonts w:ascii="宋体" w:hAnsi="宋体" w:cs="宋体" w:eastAsia="宋体" w:hint="default"/>
                <w:sz w:val="15"/>
                <w:szCs w:val="15"/>
              </w:rPr>
            </w:r>
          </w:p>
        </w:tc>
        <w:tc>
          <w:tcPr>
            <w:tcW w:w="898" w:type="dxa"/>
            <w:tcBorders>
              <w:top w:val="nil" w:sz="6" w:space="0" w:color="auto"/>
              <w:left w:val="nil" w:sz="6" w:space="0" w:color="auto"/>
              <w:bottom w:val="single" w:sz="4" w:space="0" w:color="000000"/>
              <w:right w:val="nil" w:sz="6" w:space="0" w:color="auto"/>
            </w:tcBorders>
          </w:tcPr>
          <w:p>
            <w:pPr>
              <w:pStyle w:val="TableParagraph"/>
              <w:spacing w:line="151" w:lineRule="exact"/>
              <w:ind w:left="153" w:right="0" w:firstLine="76"/>
              <w:jc w:val="left"/>
              <w:rPr>
                <w:rFonts w:ascii="宋体" w:hAnsi="宋体" w:cs="宋体" w:eastAsia="宋体" w:hint="default"/>
                <w:sz w:val="15"/>
                <w:szCs w:val="15"/>
              </w:rPr>
            </w:pPr>
            <w:r>
              <w:rPr>
                <w:rFonts w:ascii="宋体" w:hAnsi="宋体" w:cs="宋体" w:eastAsia="宋体" w:hint="default"/>
                <w:b/>
                <w:bCs/>
                <w:sz w:val="15"/>
                <w:szCs w:val="15"/>
              </w:rPr>
              <w:t>租赁费</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3" w:right="0"/>
              <w:jc w:val="left"/>
              <w:rPr>
                <w:rFonts w:ascii="宋体" w:hAnsi="宋体" w:cs="宋体" w:eastAsia="宋体" w:hint="default"/>
                <w:sz w:val="15"/>
                <w:szCs w:val="15"/>
              </w:rPr>
            </w:pPr>
            <w:r>
              <w:rPr>
                <w:rFonts w:ascii="宋体" w:hAnsi="宋体" w:cs="宋体" w:eastAsia="宋体" w:hint="default"/>
                <w:b/>
                <w:bCs/>
                <w:sz w:val="15"/>
                <w:szCs w:val="15"/>
              </w:rPr>
              <w:t>定价依据</w:t>
            </w:r>
            <w:r>
              <w:rPr>
                <w:rFonts w:ascii="宋体" w:hAnsi="宋体" w:cs="宋体" w:eastAsia="宋体" w:hint="default"/>
                <w:sz w:val="15"/>
                <w:szCs w:val="15"/>
              </w:rPr>
            </w:r>
          </w:p>
        </w:tc>
        <w:tc>
          <w:tcPr>
            <w:tcW w:w="143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b/>
                <w:bCs/>
                <w:sz w:val="15"/>
                <w:szCs w:val="15"/>
              </w:rPr>
              <w:t>年度确认的租赁费</w:t>
            </w:r>
            <w:r>
              <w:rPr>
                <w:rFonts w:ascii="宋体" w:hAnsi="宋体" w:cs="宋体" w:eastAsia="宋体" w:hint="default"/>
                <w:sz w:val="15"/>
                <w:szCs w:val="15"/>
              </w:rPr>
            </w:r>
          </w:p>
        </w:tc>
      </w:tr>
      <w:tr>
        <w:trPr>
          <w:trHeight w:val="706" w:hRule="exact"/>
        </w:trPr>
        <w:tc>
          <w:tcPr>
            <w:tcW w:w="1586" w:type="dxa"/>
            <w:tcBorders>
              <w:top w:val="single" w:sz="4" w:space="0" w:color="000000"/>
              <w:left w:val="nil" w:sz="6" w:space="0" w:color="auto"/>
              <w:bottom w:val="nil" w:sz="6" w:space="0" w:color="auto"/>
              <w:right w:val="nil" w:sz="6" w:space="0" w:color="auto"/>
            </w:tcBorders>
          </w:tcPr>
          <w:p>
            <w:pPr>
              <w:pStyle w:val="TableParagraph"/>
              <w:spacing w:line="391" w:lineRule="auto" w:before="81"/>
              <w:ind w:left="31" w:right="50"/>
              <w:jc w:val="left"/>
              <w:rPr>
                <w:rFonts w:ascii="宋体" w:hAnsi="宋体" w:cs="宋体" w:eastAsia="宋体" w:hint="default"/>
                <w:sz w:val="15"/>
                <w:szCs w:val="15"/>
              </w:rPr>
            </w:pPr>
            <w:r>
              <w:rPr>
                <w:rFonts w:ascii="宋体" w:hAnsi="宋体" w:cs="宋体" w:eastAsia="宋体" w:hint="default"/>
                <w:spacing w:val="-2"/>
                <w:sz w:val="15"/>
                <w:szCs w:val="15"/>
              </w:rPr>
              <w:t>湖南天鸿致远文化发展</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有限公司</w:t>
            </w:r>
          </w:p>
        </w:tc>
        <w:tc>
          <w:tcPr>
            <w:tcW w:w="163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center"/>
              <w:rPr>
                <w:rFonts w:ascii="宋体" w:hAnsi="宋体" w:cs="宋体" w:eastAsia="宋体" w:hint="default"/>
                <w:sz w:val="15"/>
                <w:szCs w:val="15"/>
              </w:rPr>
            </w:pPr>
            <w:r>
              <w:rPr>
                <w:rFonts w:ascii="宋体" w:hAnsi="宋体" w:cs="宋体" w:eastAsia="宋体" w:hint="default"/>
                <w:sz w:val="15"/>
                <w:szCs w:val="15"/>
              </w:rPr>
              <w:t>天舟文化股份有限公司</w:t>
            </w:r>
          </w:p>
        </w:tc>
        <w:tc>
          <w:tcPr>
            <w:tcW w:w="108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center"/>
              <w:rPr>
                <w:rFonts w:ascii="宋体" w:hAnsi="宋体" w:cs="宋体" w:eastAsia="宋体" w:hint="default"/>
                <w:sz w:val="15"/>
                <w:szCs w:val="15"/>
              </w:rPr>
            </w:pPr>
            <w:r>
              <w:rPr>
                <w:rFonts w:ascii="宋体" w:hAnsi="宋体" w:cs="宋体" w:eastAsia="宋体" w:hint="default"/>
                <w:sz w:val="15"/>
                <w:szCs w:val="15"/>
              </w:rPr>
              <w:t>仓储设施</w:t>
            </w:r>
          </w:p>
        </w:tc>
        <w:tc>
          <w:tcPr>
            <w:tcW w:w="97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204" w:right="0"/>
              <w:jc w:val="left"/>
              <w:rPr>
                <w:rFonts w:ascii="Times New Roman" w:hAnsi="Times New Roman" w:cs="Times New Roman" w:eastAsia="Times New Roman" w:hint="default"/>
                <w:sz w:val="15"/>
                <w:szCs w:val="15"/>
              </w:rPr>
            </w:pPr>
            <w:r>
              <w:rPr>
                <w:rFonts w:ascii="Times New Roman"/>
                <w:sz w:val="15"/>
              </w:rPr>
              <w:t>2015-1-1</w:t>
            </w:r>
          </w:p>
        </w:tc>
        <w:tc>
          <w:tcPr>
            <w:tcW w:w="102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right="33"/>
              <w:jc w:val="center"/>
              <w:rPr>
                <w:rFonts w:ascii="Times New Roman" w:hAnsi="Times New Roman" w:cs="Times New Roman" w:eastAsia="Times New Roman" w:hint="default"/>
                <w:sz w:val="15"/>
                <w:szCs w:val="15"/>
              </w:rPr>
            </w:pPr>
            <w:r>
              <w:rPr>
                <w:rFonts w:ascii="Times New Roman"/>
                <w:sz w:val="15"/>
              </w:rPr>
              <w:t>2015-12-31</w:t>
            </w:r>
          </w:p>
        </w:tc>
        <w:tc>
          <w:tcPr>
            <w:tcW w:w="89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市场价</w:t>
            </w:r>
          </w:p>
        </w:tc>
        <w:tc>
          <w:tcPr>
            <w:tcW w:w="143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right="26"/>
              <w:jc w:val="right"/>
              <w:rPr>
                <w:rFonts w:ascii="Times New Roman" w:hAnsi="Times New Roman" w:cs="Times New Roman" w:eastAsia="Times New Roman" w:hint="default"/>
                <w:sz w:val="15"/>
                <w:szCs w:val="15"/>
              </w:rPr>
            </w:pPr>
            <w:r>
              <w:rPr>
                <w:rFonts w:ascii="Times New Roman"/>
                <w:spacing w:val="-1"/>
                <w:sz w:val="15"/>
              </w:rPr>
              <w:t>1,069,980.00</w:t>
            </w:r>
          </w:p>
        </w:tc>
      </w:tr>
      <w:tr>
        <w:trPr>
          <w:trHeight w:val="682" w:hRule="exact"/>
        </w:trPr>
        <w:tc>
          <w:tcPr>
            <w:tcW w:w="1586" w:type="dxa"/>
            <w:tcBorders>
              <w:top w:val="nil" w:sz="6" w:space="0" w:color="auto"/>
              <w:left w:val="nil" w:sz="6" w:space="0" w:color="auto"/>
              <w:bottom w:val="nil" w:sz="6" w:space="0" w:color="auto"/>
              <w:right w:val="nil" w:sz="6" w:space="0" w:color="auto"/>
            </w:tcBorders>
          </w:tcPr>
          <w:p>
            <w:pPr>
              <w:pStyle w:val="TableParagraph"/>
              <w:spacing w:line="393" w:lineRule="auto" w:before="59"/>
              <w:ind w:left="31" w:right="50"/>
              <w:jc w:val="left"/>
              <w:rPr>
                <w:rFonts w:ascii="宋体" w:hAnsi="宋体" w:cs="宋体" w:eastAsia="宋体" w:hint="default"/>
                <w:sz w:val="15"/>
                <w:szCs w:val="15"/>
              </w:rPr>
            </w:pPr>
            <w:r>
              <w:rPr>
                <w:rFonts w:ascii="宋体" w:hAnsi="宋体" w:cs="宋体" w:eastAsia="宋体" w:hint="default"/>
                <w:spacing w:val="-2"/>
                <w:sz w:val="15"/>
                <w:szCs w:val="15"/>
              </w:rPr>
              <w:t>湖南天鸿致远文化发展</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有限公司</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4"/>
              <w:jc w:val="center"/>
              <w:rPr>
                <w:rFonts w:ascii="宋体" w:hAnsi="宋体" w:cs="宋体" w:eastAsia="宋体" w:hint="default"/>
                <w:sz w:val="15"/>
                <w:szCs w:val="15"/>
              </w:rPr>
            </w:pPr>
            <w:r>
              <w:rPr>
                <w:rFonts w:ascii="宋体" w:hAnsi="宋体" w:cs="宋体" w:eastAsia="宋体" w:hint="default"/>
                <w:sz w:val="15"/>
                <w:szCs w:val="15"/>
              </w:rPr>
              <w:t>天舟文化股份有限公司</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center"/>
              <w:rPr>
                <w:rFonts w:ascii="宋体" w:hAnsi="宋体" w:cs="宋体" w:eastAsia="宋体" w:hint="default"/>
                <w:sz w:val="15"/>
                <w:szCs w:val="15"/>
              </w:rPr>
            </w:pPr>
            <w:r>
              <w:rPr>
                <w:rFonts w:ascii="宋体" w:hAnsi="宋体" w:cs="宋体" w:eastAsia="宋体" w:hint="default"/>
                <w:sz w:val="15"/>
                <w:szCs w:val="15"/>
              </w:rPr>
              <w:t>仓储设施</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8" w:right="0"/>
              <w:jc w:val="left"/>
              <w:rPr>
                <w:rFonts w:ascii="Times New Roman" w:hAnsi="Times New Roman" w:cs="Times New Roman" w:eastAsia="Times New Roman" w:hint="default"/>
                <w:sz w:val="15"/>
                <w:szCs w:val="15"/>
              </w:rPr>
            </w:pPr>
            <w:r>
              <w:rPr>
                <w:rFonts w:ascii="Times New Roman"/>
                <w:sz w:val="15"/>
              </w:rPr>
              <w:t>2015-6-20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3"/>
              <w:jc w:val="center"/>
              <w:rPr>
                <w:rFonts w:ascii="Times New Roman" w:hAnsi="Times New Roman" w:cs="Times New Roman" w:eastAsia="Times New Roman" w:hint="default"/>
                <w:sz w:val="15"/>
                <w:szCs w:val="15"/>
              </w:rPr>
            </w:pPr>
            <w:r>
              <w:rPr>
                <w:rFonts w:ascii="Times New Roman"/>
                <w:sz w:val="15"/>
              </w:rPr>
              <w:t>2015-12-31</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市场价</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5"/>
                <w:szCs w:val="15"/>
              </w:rPr>
            </w:pPr>
            <w:r>
              <w:rPr>
                <w:rFonts w:ascii="Times New Roman"/>
                <w:spacing w:val="-1"/>
                <w:sz w:val="15"/>
              </w:rPr>
              <w:t>121,440.00</w:t>
            </w:r>
          </w:p>
        </w:tc>
      </w:tr>
      <w:tr>
        <w:trPr>
          <w:trHeight w:val="427" w:hRule="exact"/>
        </w:trPr>
        <w:tc>
          <w:tcPr>
            <w:tcW w:w="1586" w:type="dxa"/>
            <w:vMerge w:val="restart"/>
            <w:tcBorders>
              <w:top w:val="nil" w:sz="6" w:space="0" w:color="auto"/>
              <w:left w:val="nil" w:sz="6" w:space="0" w:color="auto"/>
              <w:right w:val="nil" w:sz="6" w:space="0" w:color="auto"/>
            </w:tcBorders>
          </w:tcPr>
          <w:p>
            <w:pPr>
              <w:pStyle w:val="TableParagraph"/>
              <w:spacing w:line="391" w:lineRule="auto" w:before="59"/>
              <w:ind w:left="31" w:right="50"/>
              <w:jc w:val="left"/>
              <w:rPr>
                <w:rFonts w:ascii="宋体" w:hAnsi="宋体" w:cs="宋体" w:eastAsia="宋体" w:hint="default"/>
                <w:sz w:val="15"/>
                <w:szCs w:val="15"/>
              </w:rPr>
            </w:pPr>
            <w:r>
              <w:rPr>
                <w:rFonts w:ascii="宋体" w:hAnsi="宋体" w:cs="宋体" w:eastAsia="宋体" w:hint="default"/>
                <w:spacing w:val="-2"/>
                <w:sz w:val="15"/>
                <w:szCs w:val="15"/>
              </w:rPr>
              <w:t>湖南天鸿致远文化发展</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有限公司</w:t>
            </w:r>
          </w:p>
        </w:tc>
        <w:tc>
          <w:tcPr>
            <w:tcW w:w="1635" w:type="dxa"/>
            <w:vMerge w:val="restart"/>
            <w:tcBorders>
              <w:top w:val="nil" w:sz="6" w:space="0" w:color="auto"/>
              <w:left w:val="nil" w:sz="6" w:space="0" w:color="auto"/>
              <w:right w:val="nil" w:sz="6" w:space="0" w:color="auto"/>
            </w:tcBorders>
          </w:tcPr>
          <w:p>
            <w:pPr>
              <w:pStyle w:val="TableParagraph"/>
              <w:spacing w:line="391" w:lineRule="auto" w:before="59"/>
              <w:ind w:left="52" w:right="77"/>
              <w:jc w:val="left"/>
              <w:rPr>
                <w:rFonts w:ascii="宋体" w:hAnsi="宋体" w:cs="宋体" w:eastAsia="宋体" w:hint="default"/>
                <w:sz w:val="15"/>
                <w:szCs w:val="15"/>
              </w:rPr>
            </w:pPr>
            <w:r>
              <w:rPr>
                <w:rFonts w:ascii="宋体" w:hAnsi="宋体" w:cs="宋体" w:eastAsia="宋体" w:hint="default"/>
                <w:spacing w:val="-2"/>
                <w:sz w:val="15"/>
                <w:szCs w:val="15"/>
              </w:rPr>
              <w:t>湖南天舟华文俪制传媒</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有限责任公司</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1"/>
              <w:jc w:val="center"/>
              <w:rPr>
                <w:rFonts w:ascii="宋体" w:hAnsi="宋体" w:cs="宋体" w:eastAsia="宋体" w:hint="default"/>
                <w:sz w:val="15"/>
                <w:szCs w:val="15"/>
              </w:rPr>
            </w:pPr>
            <w:r>
              <w:rPr>
                <w:rFonts w:ascii="宋体" w:hAnsi="宋体" w:cs="宋体" w:eastAsia="宋体" w:hint="default"/>
                <w:sz w:val="15"/>
                <w:szCs w:val="15"/>
              </w:rPr>
              <w:t>仓储设施</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4" w:right="0"/>
              <w:jc w:val="left"/>
              <w:rPr>
                <w:rFonts w:ascii="Times New Roman" w:hAnsi="Times New Roman" w:cs="Times New Roman" w:eastAsia="Times New Roman" w:hint="default"/>
                <w:sz w:val="15"/>
                <w:szCs w:val="15"/>
              </w:rPr>
            </w:pPr>
            <w:r>
              <w:rPr>
                <w:rFonts w:ascii="Times New Roman"/>
                <w:sz w:val="15"/>
              </w:rPr>
              <w:t>2015-1-1</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3"/>
              <w:jc w:val="center"/>
              <w:rPr>
                <w:rFonts w:ascii="Times New Roman" w:hAnsi="Times New Roman" w:cs="Times New Roman" w:eastAsia="Times New Roman" w:hint="default"/>
                <w:sz w:val="15"/>
                <w:szCs w:val="15"/>
              </w:rPr>
            </w:pPr>
            <w:r>
              <w:rPr>
                <w:rFonts w:ascii="Times New Roman"/>
                <w:sz w:val="15"/>
              </w:rPr>
              <w:t>2015-12-31</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市场价</w:t>
            </w:r>
          </w:p>
        </w:tc>
        <w:tc>
          <w:tcPr>
            <w:tcW w:w="1431" w:type="dxa"/>
            <w:tcBorders>
              <w:top w:val="nil" w:sz="6" w:space="0" w:color="auto"/>
              <w:left w:val="nil" w:sz="6" w:space="0" w:color="auto"/>
              <w:bottom w:val="nil" w:sz="6" w:space="0" w:color="auto"/>
              <w:right w:val="nil" w:sz="6" w:space="0" w:color="auto"/>
            </w:tcBorders>
          </w:tcPr>
          <w:p>
            <w:pPr/>
          </w:p>
        </w:tc>
      </w:tr>
      <w:tr>
        <w:trPr>
          <w:trHeight w:val="256" w:hRule="exact"/>
        </w:trPr>
        <w:tc>
          <w:tcPr>
            <w:tcW w:w="1586" w:type="dxa"/>
            <w:vMerge/>
            <w:tcBorders>
              <w:left w:val="nil" w:sz="6" w:space="0" w:color="auto"/>
              <w:bottom w:val="nil" w:sz="6" w:space="0" w:color="auto"/>
              <w:right w:val="nil" w:sz="6" w:space="0" w:color="auto"/>
            </w:tcBorders>
          </w:tcPr>
          <w:p>
            <w:pPr/>
          </w:p>
        </w:tc>
        <w:tc>
          <w:tcPr>
            <w:tcW w:w="1635" w:type="dxa"/>
            <w:vMerge/>
            <w:tcBorders>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Style w:val="TableParagraph"/>
              <w:spacing w:line="159" w:lineRule="exact"/>
              <w:ind w:right="26"/>
              <w:jc w:val="right"/>
              <w:rPr>
                <w:rFonts w:ascii="Times New Roman" w:hAnsi="Times New Roman" w:cs="Times New Roman" w:eastAsia="Times New Roman" w:hint="default"/>
                <w:sz w:val="15"/>
                <w:szCs w:val="15"/>
              </w:rPr>
            </w:pPr>
            <w:r>
              <w:rPr>
                <w:rFonts w:ascii="Times New Roman"/>
                <w:spacing w:val="-1"/>
                <w:sz w:val="15"/>
              </w:rPr>
              <w:t>459,000.00</w:t>
            </w:r>
          </w:p>
        </w:tc>
      </w:tr>
      <w:tr>
        <w:trPr>
          <w:trHeight w:val="260" w:hRule="exact"/>
        </w:trPr>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6"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6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1,650,420.00</w:t>
            </w:r>
            <w:r>
              <w:rPr>
                <w:rFonts w:ascii="Times New Roman"/>
                <w:spacing w:val="-1"/>
                <w:sz w:val="15"/>
              </w:rPr>
            </w:r>
          </w:p>
        </w:tc>
      </w:tr>
    </w:tbl>
    <w:p>
      <w:pPr>
        <w:spacing w:line="240" w:lineRule="auto" w:before="6"/>
        <w:rPr>
          <w:rFonts w:ascii="宋体" w:hAnsi="宋体" w:cs="宋体" w:eastAsia="宋体" w:hint="default"/>
          <w:sz w:val="29"/>
          <w:szCs w:val="29"/>
        </w:rPr>
      </w:pPr>
    </w:p>
    <w:p>
      <w:pPr>
        <w:pStyle w:val="BodyText"/>
        <w:spacing w:line="240" w:lineRule="auto" w:before="44"/>
        <w:ind w:left="720" w:right="0"/>
        <w:jc w:val="left"/>
      </w:pPr>
      <w:r>
        <w:rPr/>
        <w:t>注</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日，本公司与湖南天鸿致远文化发展有限公司签订仓储设施租赁协议，租赁湖南天</w:t>
      </w:r>
    </w:p>
    <w:p>
      <w:pPr>
        <w:pStyle w:val="BodyText"/>
        <w:spacing w:line="240" w:lineRule="auto" w:before="113"/>
        <w:ind w:left="360" w:right="0"/>
        <w:jc w:val="left"/>
        <w:rPr>
          <w:rFonts w:ascii="Times New Roman" w:hAnsi="Times New Roman" w:cs="Times New Roman" w:eastAsia="Times New Roman" w:hint="default"/>
        </w:rPr>
      </w:pPr>
      <w:r>
        <w:rPr/>
        <w:t>鸿致远文化发展有限公司面积 </w:t>
      </w:r>
      <w:r>
        <w:rPr>
          <w:rFonts w:ascii="Times New Roman" w:hAnsi="Times New Roman" w:cs="Times New Roman" w:eastAsia="Times New Roman" w:hint="default"/>
        </w:rPr>
        <w:t>5,245.00 </w:t>
      </w:r>
      <w:r>
        <w:rPr/>
        <w:t>平方米仓库，租赁价格为 </w:t>
      </w:r>
      <w:r>
        <w:rPr>
          <w:rFonts w:ascii="Times New Roman" w:hAnsi="Times New Roman" w:cs="Times New Roman" w:eastAsia="Times New Roman" w:hint="default"/>
        </w:rPr>
        <w:t>17 </w:t>
      </w:r>
      <w:r>
        <w:rPr/>
        <w:t>元</w:t>
      </w:r>
      <w:r>
        <w:rPr>
          <w:rFonts w:ascii="Times New Roman" w:hAnsi="Times New Roman" w:cs="Times New Roman" w:eastAsia="Times New Roman" w:hint="default"/>
        </w:rPr>
        <w:t>/</w:t>
      </w:r>
      <w:r>
        <w:rPr/>
        <w:t>平米</w:t>
      </w:r>
      <w:r>
        <w:rPr>
          <w:rFonts w:ascii="Times New Roman" w:hAnsi="Times New Roman" w:cs="Times New Roman" w:eastAsia="Times New Roman" w:hint="default"/>
        </w:rPr>
        <w:t>•</w:t>
      </w:r>
      <w:r>
        <w:rPr/>
        <w:t>月，另外支付物业管理费</w:t>
      </w:r>
      <w:r>
        <w:rPr>
          <w:spacing w:val="-45"/>
        </w:rPr>
        <w:t> </w:t>
      </w:r>
      <w:r>
        <w:rPr>
          <w:rFonts w:ascii="Times New Roman" w:hAnsi="Times New Roman" w:cs="Times New Roman" w:eastAsia="Times New Roman" w:hint="default"/>
        </w:rPr>
        <w:t>0.8</w:t>
      </w:r>
    </w:p>
    <w:p>
      <w:pPr>
        <w:pStyle w:val="BodyText"/>
        <w:spacing w:line="240" w:lineRule="auto" w:before="111"/>
        <w:ind w:left="360" w:right="0"/>
        <w:jc w:val="left"/>
      </w:pPr>
      <w:r>
        <w:rPr/>
        <w:t>元</w:t>
      </w:r>
      <w:r>
        <w:rPr>
          <w:rFonts w:ascii="Times New Roman" w:hAnsi="Times New Roman" w:cs="Times New Roman" w:eastAsia="Times New Roman" w:hint="default"/>
        </w:rPr>
        <w:t>/</w:t>
      </w:r>
      <w:r>
        <w:rPr/>
        <w:t>平米</w:t>
      </w:r>
      <w:r>
        <w:rPr>
          <w:rFonts w:ascii="Times New Roman" w:hAnsi="Times New Roman" w:cs="Times New Roman" w:eastAsia="Times New Roman" w:hint="default"/>
        </w:rPr>
        <w:t>•</w:t>
      </w:r>
      <w:r>
        <w:rPr/>
        <w:t>月，年租金</w:t>
      </w:r>
      <w:r>
        <w:rPr>
          <w:spacing w:val="-47"/>
        </w:rPr>
        <w:t> </w:t>
      </w:r>
      <w:r>
        <w:rPr>
          <w:rFonts w:ascii="Times New Roman" w:hAnsi="Times New Roman" w:cs="Times New Roman" w:eastAsia="Times New Roman" w:hint="default"/>
        </w:rPr>
        <w:t>1,069,980.00 </w:t>
      </w:r>
      <w:r>
        <w:rPr/>
        <w:t>元，租赁期限</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w:t>
      </w:r>
    </w:p>
    <w:p>
      <w:pPr>
        <w:spacing w:line="240" w:lineRule="auto" w:before="5"/>
        <w:rPr>
          <w:rFonts w:ascii="宋体" w:hAnsi="宋体" w:cs="宋体" w:eastAsia="宋体" w:hint="default"/>
          <w:sz w:val="20"/>
          <w:szCs w:val="20"/>
        </w:rPr>
      </w:pPr>
    </w:p>
    <w:p>
      <w:pPr>
        <w:pStyle w:val="BodyText"/>
        <w:spacing w:line="240" w:lineRule="auto"/>
        <w:ind w:left="720" w:right="0"/>
        <w:jc w:val="left"/>
      </w:pPr>
      <w:r>
        <w:rPr/>
        <w:t>注</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日，本公司与湖南天鸿致远文化发展有限公司签订仓储设施租赁协议，租赁湖南</w:t>
      </w:r>
    </w:p>
    <w:p>
      <w:pPr>
        <w:pStyle w:val="BodyText"/>
        <w:spacing w:line="240" w:lineRule="auto" w:before="111"/>
        <w:ind w:left="360" w:right="0"/>
        <w:jc w:val="left"/>
      </w:pPr>
      <w:r>
        <w:rPr/>
        <w:t>天鸿致远文化发展有限公司面积</w:t>
      </w:r>
      <w:r>
        <w:rPr>
          <w:spacing w:val="-50"/>
        </w:rPr>
        <w:t> </w:t>
      </w:r>
      <w:r>
        <w:rPr>
          <w:rFonts w:ascii="Times New Roman" w:hAnsi="Times New Roman" w:cs="Times New Roman" w:eastAsia="Times New Roman" w:hint="default"/>
        </w:rPr>
        <w:t>1,150.00</w:t>
      </w:r>
      <w:r>
        <w:rPr>
          <w:rFonts w:ascii="Times New Roman" w:hAnsi="Times New Roman" w:cs="Times New Roman" w:eastAsia="Times New Roman" w:hint="default"/>
          <w:spacing w:val="-4"/>
        </w:rPr>
        <w:t> </w:t>
      </w:r>
      <w:r>
        <w:rPr>
          <w:spacing w:val="-3"/>
        </w:rPr>
        <w:t>平方米仓库，租赁价格为</w:t>
      </w:r>
      <w:r>
        <w:rPr>
          <w:spacing w:val="-51"/>
        </w:rPr>
        <w:t> </w:t>
      </w:r>
      <w:r>
        <w:rPr>
          <w:rFonts w:ascii="Times New Roman" w:hAnsi="Times New Roman" w:cs="Times New Roman" w:eastAsia="Times New Roman" w:hint="default"/>
        </w:rPr>
        <w:t>17.06</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平米</w:t>
      </w:r>
      <w:r>
        <w:rPr>
          <w:rFonts w:ascii="Times New Roman" w:hAnsi="Times New Roman" w:cs="Times New Roman" w:eastAsia="Times New Roman" w:hint="default"/>
        </w:rPr>
        <w:t>•</w:t>
      </w:r>
      <w:r>
        <w:rPr/>
        <w:t>月，另外支付物业管理费</w:t>
      </w:r>
    </w:p>
    <w:p>
      <w:pPr>
        <w:pStyle w:val="BodyText"/>
        <w:spacing w:line="240" w:lineRule="auto" w:before="111"/>
        <w:ind w:left="360" w:right="0"/>
        <w:jc w:val="left"/>
      </w:pPr>
      <w:r>
        <w:rPr>
          <w:rFonts w:ascii="Times New Roman" w:hAnsi="Times New Roman" w:cs="Times New Roman" w:eastAsia="Times New Roman" w:hint="default"/>
        </w:rPr>
        <w:t>0.8 </w:t>
      </w:r>
      <w:r>
        <w:rPr/>
        <w:t>元</w:t>
      </w:r>
      <w:r>
        <w:rPr>
          <w:rFonts w:ascii="Times New Roman" w:hAnsi="Times New Roman" w:cs="Times New Roman" w:eastAsia="Times New Roman" w:hint="default"/>
        </w:rPr>
        <w:t>/</w:t>
      </w:r>
      <w:r>
        <w:rPr/>
        <w:t>平米</w:t>
      </w:r>
      <w:r>
        <w:rPr>
          <w:rFonts w:ascii="Times New Roman" w:hAnsi="Times New Roman" w:cs="Times New Roman" w:eastAsia="Times New Roman" w:hint="default"/>
        </w:rPr>
        <w:t>•</w:t>
      </w:r>
      <w:r>
        <w:rPr/>
        <w:t>月，年租金</w:t>
      </w:r>
      <w:r>
        <w:rPr>
          <w:spacing w:val="-47"/>
        </w:rPr>
        <w:t> </w:t>
      </w:r>
      <w:r>
        <w:rPr>
          <w:rFonts w:ascii="Times New Roman" w:hAnsi="Times New Roman" w:cs="Times New Roman" w:eastAsia="Times New Roman" w:hint="default"/>
        </w:rPr>
        <w:t>242,880.00</w:t>
      </w:r>
      <w:r>
        <w:rPr>
          <w:rFonts w:ascii="Times New Roman" w:hAnsi="Times New Roman" w:cs="Times New Roman" w:eastAsia="Times New Roman" w:hint="default"/>
          <w:spacing w:val="1"/>
        </w:rPr>
        <w:t> </w:t>
      </w:r>
      <w:r>
        <w:rPr/>
        <w:t>元，租赁期限</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个月。</w:t>
      </w:r>
    </w:p>
    <w:p>
      <w:pPr>
        <w:spacing w:line="240" w:lineRule="auto" w:before="5"/>
        <w:rPr>
          <w:rFonts w:ascii="宋体" w:hAnsi="宋体" w:cs="宋体" w:eastAsia="宋体" w:hint="default"/>
          <w:sz w:val="20"/>
          <w:szCs w:val="20"/>
        </w:rPr>
      </w:pPr>
    </w:p>
    <w:p>
      <w:pPr>
        <w:pStyle w:val="BodyText"/>
        <w:spacing w:line="240" w:lineRule="auto"/>
        <w:ind w:left="720" w:right="0"/>
        <w:jc w:val="left"/>
      </w:pPr>
      <w:r>
        <w:rPr/>
        <w:t>注</w:t>
      </w:r>
      <w:r>
        <w:rPr>
          <w:spacing w:val="-40"/>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日，本公司子公司湖南天舟华文俪制传媒有限责任公司与湖南天鸿致远文化发展有</w:t>
      </w:r>
    </w:p>
    <w:p>
      <w:pPr>
        <w:pStyle w:val="BodyText"/>
        <w:spacing w:line="240" w:lineRule="auto" w:before="111"/>
        <w:ind w:left="360" w:right="0"/>
        <w:jc w:val="left"/>
      </w:pPr>
      <w:r>
        <w:rPr/>
        <w:t>限公司签订仓储设施租赁协议，租赁湖南天鸿致远文化发展有限公司面积 </w:t>
      </w:r>
      <w:r>
        <w:rPr>
          <w:rFonts w:ascii="Times New Roman" w:hAnsi="Times New Roman" w:cs="Times New Roman" w:eastAsia="Times New Roman" w:hint="default"/>
        </w:rPr>
        <w:t>2250 </w:t>
      </w:r>
      <w:r>
        <w:rPr>
          <w:rFonts w:ascii="Times New Roman" w:hAnsi="Times New Roman" w:cs="Times New Roman" w:eastAsia="Times New Roman" w:hint="default"/>
          <w:spacing w:val="21"/>
        </w:rPr>
        <w:t> </w:t>
      </w:r>
      <w:r>
        <w:rPr/>
        <w:t>平方米仓库，租赁价格为</w:t>
      </w:r>
    </w:p>
    <w:p>
      <w:pPr>
        <w:pStyle w:val="BodyText"/>
        <w:spacing w:line="240" w:lineRule="auto" w:before="111"/>
        <w:ind w:left="360" w:right="0"/>
        <w:jc w:val="left"/>
      </w:pP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平米</w:t>
      </w:r>
      <w:r>
        <w:rPr>
          <w:rFonts w:ascii="Times New Roman" w:hAnsi="Times New Roman" w:cs="Times New Roman" w:eastAsia="Times New Roman" w:hint="default"/>
        </w:rPr>
        <w:t>•</w:t>
      </w:r>
      <w:r>
        <w:rPr/>
        <w:t>月，年租金</w:t>
      </w:r>
      <w:r>
        <w:rPr>
          <w:spacing w:val="-47"/>
        </w:rPr>
        <w:t> </w:t>
      </w:r>
      <w:r>
        <w:rPr>
          <w:rFonts w:ascii="Times New Roman" w:hAnsi="Times New Roman" w:cs="Times New Roman" w:eastAsia="Times New Roman" w:hint="default"/>
        </w:rPr>
        <w:t>459,000.00</w:t>
      </w:r>
      <w:r>
        <w:rPr>
          <w:rFonts w:ascii="Times New Roman" w:hAnsi="Times New Roman" w:cs="Times New Roman" w:eastAsia="Times New Roman" w:hint="default"/>
          <w:spacing w:val="1"/>
        </w:rPr>
        <w:t> </w:t>
      </w:r>
      <w:r>
        <w:rPr/>
        <w:t>元，租赁期限</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w:t>
      </w:r>
    </w:p>
    <w:p>
      <w:pPr>
        <w:spacing w:line="240" w:lineRule="auto" w:before="5"/>
        <w:rPr>
          <w:rFonts w:ascii="宋体" w:hAnsi="宋体" w:cs="宋体" w:eastAsia="宋体" w:hint="default"/>
          <w:sz w:val="20"/>
          <w:szCs w:val="20"/>
        </w:rPr>
      </w:pPr>
    </w:p>
    <w:p>
      <w:pPr>
        <w:pStyle w:val="BodyText"/>
        <w:spacing w:line="496" w:lineRule="auto"/>
        <w:ind w:left="720" w:right="5766"/>
        <w:jc w:val="left"/>
      </w:pPr>
      <w:r>
        <w:rPr/>
        <w:t>（</w:t>
      </w:r>
      <w:r>
        <w:rPr>
          <w:rFonts w:ascii="Times New Roman" w:hAnsi="Times New Roman" w:cs="Times New Roman" w:eastAsia="Times New Roman" w:hint="default"/>
        </w:rPr>
        <w:t>5</w:t>
      </w:r>
      <w:r>
        <w:rPr/>
        <w:t>）关联担保情况 本公司本期无关联方担保事项。</w:t>
      </w:r>
    </w:p>
    <w:p>
      <w:pPr>
        <w:pStyle w:val="BodyText"/>
        <w:spacing w:line="496" w:lineRule="auto" w:before="88"/>
        <w:ind w:left="720" w:right="5766"/>
        <w:jc w:val="left"/>
      </w:pPr>
      <w:r>
        <w:rPr/>
        <w:t>（</w:t>
      </w:r>
      <w:r>
        <w:rPr>
          <w:rFonts w:ascii="Times New Roman" w:hAnsi="Times New Roman" w:cs="Times New Roman" w:eastAsia="Times New Roman" w:hint="default"/>
        </w:rPr>
        <w:t>6</w:t>
      </w:r>
      <w:r>
        <w:rPr/>
        <w:t>）关联方资金拆借 本公司本期无关联方资金拆借。</w:t>
      </w:r>
    </w:p>
    <w:p>
      <w:pPr>
        <w:spacing w:after="0" w:line="496" w:lineRule="auto"/>
        <w:jc w:val="left"/>
        <w:sectPr>
          <w:pgSz w:w="11910" w:h="16840"/>
          <w:pgMar w:header="0" w:footer="979" w:top="1500" w:bottom="1160" w:left="1440" w:right="1440"/>
        </w:sectPr>
      </w:pPr>
    </w:p>
    <w:p>
      <w:pPr>
        <w:pStyle w:val="BodyText"/>
        <w:spacing w:line="496" w:lineRule="auto" w:before="19"/>
        <w:ind w:left="720" w:right="4866"/>
        <w:jc w:val="left"/>
      </w:pPr>
      <w:r>
        <w:rPr/>
        <w:t>（</w:t>
      </w:r>
      <w:r>
        <w:rPr>
          <w:rFonts w:ascii="Times New Roman" w:hAnsi="Times New Roman" w:cs="Times New Roman" w:eastAsia="Times New Roman" w:hint="default"/>
        </w:rPr>
        <w:t>7</w:t>
      </w:r>
      <w:r>
        <w:rPr/>
        <w:t>）关联方资产转让、债务重组情况 本公司本期无关联方资产转让、债务重组。</w:t>
      </w:r>
    </w:p>
    <w:p>
      <w:pPr>
        <w:pStyle w:val="BodyText"/>
        <w:spacing w:line="240" w:lineRule="auto" w:before="88"/>
        <w:ind w:left="720" w:right="0"/>
        <w:jc w:val="left"/>
      </w:pPr>
      <w:r>
        <w:rPr/>
        <w:t>（</w:t>
      </w:r>
      <w:r>
        <w:rPr>
          <w:rFonts w:ascii="Times New Roman" w:hAnsi="Times New Roman" w:cs="Times New Roman" w:eastAsia="Times New Roman" w:hint="default"/>
        </w:rPr>
        <w:t>8</w:t>
      </w:r>
      <w:r>
        <w:rPr/>
        <w:t>）关键管理人员薪酬</w:t>
      </w:r>
    </w:p>
    <w:p>
      <w:pPr>
        <w:spacing w:line="240" w:lineRule="auto" w:before="6"/>
        <w:rPr>
          <w:rFonts w:ascii="宋体" w:hAnsi="宋体" w:cs="宋体" w:eastAsia="宋体" w:hint="default"/>
          <w:sz w:val="24"/>
          <w:szCs w:val="24"/>
        </w:rPr>
      </w:pPr>
    </w:p>
    <w:tbl>
      <w:tblPr>
        <w:tblW w:w="0" w:type="auto"/>
        <w:jc w:val="left"/>
        <w:tblInd w:w="192" w:type="dxa"/>
        <w:tblLayout w:type="fixed"/>
        <w:tblCellMar>
          <w:top w:w="0" w:type="dxa"/>
          <w:left w:w="0" w:type="dxa"/>
          <w:bottom w:w="0" w:type="dxa"/>
          <w:right w:w="0" w:type="dxa"/>
        </w:tblCellMar>
        <w:tblLook w:val="01E0"/>
      </w:tblPr>
      <w:tblGrid>
        <w:gridCol w:w="3239"/>
        <w:gridCol w:w="2801"/>
        <w:gridCol w:w="2601"/>
      </w:tblGrid>
      <w:tr>
        <w:trPr>
          <w:trHeight w:val="275" w:hRule="exact"/>
        </w:trPr>
        <w:tc>
          <w:tcPr>
            <w:tcW w:w="3239" w:type="dxa"/>
            <w:tcBorders>
              <w:top w:val="nil" w:sz="6" w:space="0" w:color="auto"/>
              <w:left w:val="nil" w:sz="6" w:space="0" w:color="auto"/>
              <w:bottom w:val="single" w:sz="4" w:space="0" w:color="000000"/>
              <w:right w:val="nil" w:sz="6" w:space="0" w:color="auto"/>
            </w:tcBorders>
          </w:tcPr>
          <w:p>
            <w:pPr>
              <w:pStyle w:val="TableParagraph"/>
              <w:spacing w:line="180" w:lineRule="exact"/>
              <w:ind w:left="35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01" w:type="dxa"/>
            <w:tcBorders>
              <w:top w:val="nil" w:sz="6" w:space="0" w:color="auto"/>
              <w:left w:val="nil" w:sz="6" w:space="0" w:color="auto"/>
              <w:bottom w:val="single" w:sz="4" w:space="0" w:color="000000"/>
              <w:right w:val="nil" w:sz="6" w:space="0" w:color="auto"/>
            </w:tcBorders>
          </w:tcPr>
          <w:p>
            <w:pPr>
              <w:pStyle w:val="TableParagraph"/>
              <w:spacing w:line="180" w:lineRule="exact"/>
              <w:ind w:left="273" w:right="0"/>
              <w:jc w:val="center"/>
              <w:rPr>
                <w:rFonts w:ascii="宋体" w:hAnsi="宋体" w:cs="宋体" w:eastAsia="宋体" w:hint="default"/>
                <w:sz w:val="18"/>
                <w:szCs w:val="18"/>
              </w:rPr>
            </w:pPr>
            <w:r>
              <w:rPr>
                <w:rFonts w:ascii="宋体" w:hAnsi="宋体" w:cs="宋体" w:eastAsia="宋体" w:hint="default"/>
                <w:b/>
                <w:bCs/>
                <w:sz w:val="18"/>
                <w:szCs w:val="18"/>
              </w:rPr>
              <w:t>本期发生额（万元）</w:t>
            </w:r>
            <w:r>
              <w:rPr>
                <w:rFonts w:ascii="宋体" w:hAnsi="宋体" w:cs="宋体" w:eastAsia="宋体" w:hint="default"/>
                <w:sz w:val="18"/>
                <w:szCs w:val="18"/>
              </w:rPr>
            </w:r>
          </w:p>
        </w:tc>
        <w:tc>
          <w:tcPr>
            <w:tcW w:w="2601" w:type="dxa"/>
            <w:tcBorders>
              <w:top w:val="nil" w:sz="6" w:space="0" w:color="auto"/>
              <w:left w:val="nil" w:sz="6" w:space="0" w:color="auto"/>
              <w:bottom w:val="single" w:sz="4" w:space="0" w:color="000000"/>
              <w:right w:val="nil" w:sz="6" w:space="0" w:color="auto"/>
            </w:tcBorders>
          </w:tcPr>
          <w:p>
            <w:pPr>
              <w:pStyle w:val="TableParagraph"/>
              <w:spacing w:line="180" w:lineRule="exact"/>
              <w:ind w:right="71"/>
              <w:jc w:val="center"/>
              <w:rPr>
                <w:rFonts w:ascii="宋体" w:hAnsi="宋体" w:cs="宋体" w:eastAsia="宋体" w:hint="default"/>
                <w:sz w:val="18"/>
                <w:szCs w:val="18"/>
              </w:rPr>
            </w:pPr>
            <w:r>
              <w:rPr>
                <w:rFonts w:ascii="宋体" w:hAnsi="宋体" w:cs="宋体" w:eastAsia="宋体" w:hint="default"/>
                <w:b/>
                <w:bCs/>
                <w:sz w:val="18"/>
                <w:szCs w:val="18"/>
              </w:rPr>
              <w:t>上期发生额（万元）</w:t>
            </w:r>
            <w:r>
              <w:rPr>
                <w:rFonts w:ascii="宋体" w:hAnsi="宋体" w:cs="宋体" w:eastAsia="宋体" w:hint="default"/>
                <w:sz w:val="18"/>
                <w:szCs w:val="18"/>
              </w:rPr>
            </w:r>
          </w:p>
        </w:tc>
      </w:tr>
      <w:tr>
        <w:trPr>
          <w:trHeight w:val="326" w:hRule="exact"/>
        </w:trPr>
        <w:tc>
          <w:tcPr>
            <w:tcW w:w="323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351" w:right="0"/>
              <w:jc w:val="center"/>
              <w:rPr>
                <w:rFonts w:ascii="宋体" w:hAnsi="宋体" w:cs="宋体" w:eastAsia="宋体" w:hint="default"/>
                <w:sz w:val="18"/>
                <w:szCs w:val="18"/>
              </w:rPr>
            </w:pPr>
            <w:r>
              <w:rPr>
                <w:rFonts w:ascii="宋体" w:hAnsi="宋体" w:cs="宋体" w:eastAsia="宋体" w:hint="default"/>
                <w:sz w:val="18"/>
                <w:szCs w:val="18"/>
              </w:rPr>
              <w:t>关键管理人员报酬</w:t>
            </w:r>
          </w:p>
        </w:tc>
        <w:tc>
          <w:tcPr>
            <w:tcW w:w="280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274" w:right="0"/>
              <w:jc w:val="center"/>
              <w:rPr>
                <w:rFonts w:ascii="Times New Roman" w:hAnsi="Times New Roman" w:cs="Times New Roman" w:eastAsia="Times New Roman" w:hint="default"/>
                <w:sz w:val="18"/>
                <w:szCs w:val="18"/>
              </w:rPr>
            </w:pPr>
            <w:r>
              <w:rPr>
                <w:rFonts w:ascii="Times New Roman"/>
                <w:sz w:val="18"/>
              </w:rPr>
              <w:t>862.95</w:t>
            </w:r>
          </w:p>
        </w:tc>
        <w:tc>
          <w:tcPr>
            <w:tcW w:w="260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70"/>
              <w:jc w:val="center"/>
              <w:rPr>
                <w:rFonts w:ascii="Times New Roman" w:hAnsi="Times New Roman" w:cs="Times New Roman" w:eastAsia="Times New Roman" w:hint="default"/>
                <w:sz w:val="18"/>
                <w:szCs w:val="18"/>
              </w:rPr>
            </w:pPr>
            <w:r>
              <w:rPr>
                <w:rFonts w:ascii="Times New Roman"/>
                <w:sz w:val="18"/>
              </w:rPr>
              <w:t>812.40</w:t>
            </w:r>
          </w:p>
        </w:tc>
      </w:tr>
    </w:tbl>
    <w:p>
      <w:pPr>
        <w:spacing w:line="240" w:lineRule="auto" w:before="12"/>
        <w:rPr>
          <w:rFonts w:ascii="宋体" w:hAnsi="宋体" w:cs="宋体" w:eastAsia="宋体" w:hint="default"/>
          <w:sz w:val="29"/>
          <w:szCs w:val="29"/>
        </w:rPr>
      </w:pPr>
    </w:p>
    <w:p>
      <w:pPr>
        <w:pStyle w:val="BodyText"/>
        <w:spacing w:line="240" w:lineRule="auto" w:before="44"/>
        <w:ind w:left="720" w:right="0"/>
        <w:jc w:val="left"/>
      </w:pPr>
      <w:r>
        <w:rPr>
          <w:rFonts w:ascii="Times New Roman" w:hAnsi="Times New Roman" w:cs="Times New Roman" w:eastAsia="Times New Roman" w:hint="default"/>
        </w:rPr>
        <w:t>6. </w:t>
      </w:r>
      <w:r>
        <w:rPr>
          <w:rFonts w:ascii="Times New Roman" w:hAnsi="Times New Roman" w:cs="Times New Roman" w:eastAsia="Times New Roman" w:hint="default"/>
          <w:spacing w:val="2"/>
        </w:rPr>
        <w:t> </w:t>
      </w:r>
      <w:r>
        <w:rPr/>
        <w:t>关联方应收应付款项</w:t>
      </w:r>
    </w:p>
    <w:p>
      <w:pPr>
        <w:spacing w:line="240" w:lineRule="auto" w:before="5"/>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1</w:t>
      </w:r>
      <w:r>
        <w:rPr/>
        <w:t>）公司应收关联方款项</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979" w:top="1480" w:bottom="1160" w:left="1440" w:right="1440"/>
        </w:sectPr>
      </w:pPr>
    </w:p>
    <w:p>
      <w:pPr>
        <w:spacing w:line="240" w:lineRule="auto" w:before="11"/>
        <w:rPr>
          <w:rFonts w:ascii="宋体" w:hAnsi="宋体" w:cs="宋体" w:eastAsia="宋体" w:hint="default"/>
          <w:sz w:val="18"/>
          <w:szCs w:val="18"/>
        </w:rPr>
      </w:pPr>
    </w:p>
    <w:p>
      <w:pPr>
        <w:pStyle w:val="Heading8"/>
        <w:tabs>
          <w:tab w:pos="2736" w:val="left" w:leader="none"/>
        </w:tabs>
        <w:spacing w:line="240" w:lineRule="auto"/>
        <w:ind w:left="554" w:right="-19"/>
        <w:jc w:val="left"/>
        <w:rPr>
          <w:b w:val="0"/>
          <w:bCs w:val="0"/>
        </w:rPr>
      </w:pPr>
      <w:r>
        <w:rPr>
          <w:w w:val="95"/>
        </w:rPr>
        <w:t>项目名称</w:t>
        <w:tab/>
      </w:r>
      <w:r>
        <w:rPr/>
        <w:t>关联方</w:t>
      </w:r>
      <w:r>
        <w:rPr>
          <w:b w:val="0"/>
          <w:bCs w:val="0"/>
        </w:rPr>
      </w:r>
    </w:p>
    <w:p>
      <w:pPr>
        <w:pStyle w:val="Heading8"/>
        <w:tabs>
          <w:tab w:pos="2286" w:val="left" w:leader="none"/>
        </w:tabs>
        <w:spacing w:line="240" w:lineRule="auto" w:before="44"/>
        <w:ind w:left="117" w:right="0"/>
        <w:jc w:val="center"/>
        <w:rPr>
          <w:b w:val="0"/>
          <w:bCs w:val="0"/>
        </w:rPr>
      </w:pPr>
      <w:r>
        <w:rPr>
          <w:b w:val="0"/>
          <w:bCs w:val="0"/>
          <w:w w:val="95"/>
        </w:rPr>
        <w:br w:type="column"/>
      </w:r>
      <w:r>
        <w:rPr>
          <w:w w:val="95"/>
        </w:rPr>
        <w:t>期末金额</w:t>
        <w:tab/>
      </w:r>
      <w:r>
        <w:rPr/>
        <w:t>期初金额</w:t>
      </w:r>
      <w:r>
        <w:rPr>
          <w:b w:val="0"/>
          <w:bCs w:val="0"/>
        </w:rPr>
      </w:r>
    </w:p>
    <w:p>
      <w:pPr>
        <w:spacing w:line="240" w:lineRule="auto" w:before="8"/>
        <w:rPr>
          <w:rFonts w:ascii="宋体" w:hAnsi="宋体" w:cs="宋体" w:eastAsia="宋体" w:hint="default"/>
          <w:b/>
          <w:bCs/>
          <w:sz w:val="12"/>
          <w:szCs w:val="12"/>
        </w:rPr>
      </w:pPr>
    </w:p>
    <w:p>
      <w:pPr>
        <w:pStyle w:val="Heading8"/>
        <w:tabs>
          <w:tab w:pos="1291" w:val="left" w:leader="none"/>
          <w:tab w:pos="2366" w:val="left" w:leader="none"/>
          <w:tab w:pos="3420" w:val="left" w:leader="none"/>
        </w:tabs>
        <w:spacing w:line="240" w:lineRule="auto"/>
        <w:ind w:left="177" w:right="0"/>
        <w:jc w:val="center"/>
        <w:rPr>
          <w:b w:val="0"/>
          <w:bCs w:val="0"/>
        </w:rPr>
      </w:pPr>
      <w:r>
        <w:rPr>
          <w:w w:val="95"/>
        </w:rPr>
        <w:t>账面余额</w:t>
        <w:tab/>
        <w:t>坏账准备</w:t>
        <w:tab/>
        <w:t>账面余额</w:t>
        <w:tab/>
      </w:r>
      <w:r>
        <w:rPr/>
        <w:t>坏账准备</w:t>
      </w:r>
      <w:r>
        <w:rPr>
          <w:b w:val="0"/>
          <w:bCs w:val="0"/>
        </w:rPr>
      </w:r>
    </w:p>
    <w:p>
      <w:pPr>
        <w:spacing w:after="0" w:line="240" w:lineRule="auto"/>
        <w:jc w:val="center"/>
        <w:sectPr>
          <w:type w:val="continuous"/>
          <w:pgSz w:w="11910" w:h="16840"/>
          <w:pgMar w:top="1580" w:bottom="1140" w:left="1440" w:right="1440"/>
          <w:cols w:num="2" w:equalWidth="0">
            <w:col w:w="3280" w:space="849"/>
            <w:col w:w="4901"/>
          </w:cols>
        </w:sectPr>
      </w:pPr>
    </w:p>
    <w:p>
      <w:pPr>
        <w:spacing w:line="240" w:lineRule="auto" w:before="11"/>
        <w:rPr>
          <w:rFonts w:ascii="宋体" w:hAnsi="宋体" w:cs="宋体" w:eastAsia="宋体" w:hint="default"/>
          <w:b/>
          <w:bCs/>
          <w:sz w:val="6"/>
          <w:szCs w:val="6"/>
        </w:rPr>
      </w:pPr>
    </w:p>
    <w:p>
      <w:pPr>
        <w:spacing w:line="20" w:lineRule="exact"/>
        <w:ind w:left="247" w:right="0" w:firstLine="0"/>
        <w:rPr>
          <w:rFonts w:ascii="宋体" w:hAnsi="宋体" w:cs="宋体" w:eastAsia="宋体" w:hint="default"/>
          <w:sz w:val="2"/>
          <w:szCs w:val="2"/>
        </w:rPr>
      </w:pPr>
      <w:r>
        <w:rPr>
          <w:rFonts w:ascii="宋体" w:hAnsi="宋体" w:cs="宋体" w:eastAsia="宋体" w:hint="default"/>
          <w:sz w:val="2"/>
          <w:szCs w:val="2"/>
        </w:rPr>
        <w:pict>
          <v:group style="width:426.7pt;height:.5pt;mso-position-horizontal-relative:char;mso-position-vertical-relative:line" coordorigin="0,0" coordsize="8534,10">
            <v:group style="position:absolute;left:5;top:5;width:1328;height:2" coordorigin="5,5" coordsize="1328,2">
              <v:shape style="position:absolute;left:5;top:5;width:1328;height:2" coordorigin="5,5" coordsize="1328,0" path="m5,5l1332,5e" filled="false" stroked="true" strokeweight=".48001pt" strokecolor="#000000">
                <v:path arrowok="t"/>
              </v:shape>
            </v:group>
            <v:group style="position:absolute;left:1332;top:5;width:10;height:2" coordorigin="1332,5" coordsize="10,2">
              <v:shape style="position:absolute;left:1332;top:5;width:10;height:2" coordorigin="1332,5" coordsize="10,0" path="m1332,5l1342,5e" filled="false" stroked="true" strokeweight=".48001pt" strokecolor="#000000">
                <v:path arrowok="t"/>
              </v:shape>
            </v:group>
            <v:group style="position:absolute;left:1342;top:5;width:2847;height:2" coordorigin="1342,5" coordsize="2847,2">
              <v:shape style="position:absolute;left:1342;top:5;width:2847;height:2" coordorigin="1342,5" coordsize="2847,0" path="m1342,5l4188,5e" filled="false" stroked="true" strokeweight=".48001pt" strokecolor="#000000">
                <v:path arrowok="t"/>
              </v:shape>
            </v:group>
            <v:group style="position:absolute;left:4189;top:5;width:10;height:2" coordorigin="4189,5" coordsize="10,2">
              <v:shape style="position:absolute;left:4189;top:5;width:10;height:2" coordorigin="4189,5" coordsize="10,0" path="m4189,5l4198,5e" filled="false" stroked="true" strokeweight=".48001pt" strokecolor="#000000">
                <v:path arrowok="t"/>
              </v:shape>
            </v:group>
            <v:group style="position:absolute;left:4198;top:5;width:1211;height:2" coordorigin="4198,5" coordsize="1211,2">
              <v:shape style="position:absolute;left:4198;top:5;width:1211;height:2" coordorigin="4198,5" coordsize="1211,0" path="m4198,5l5408,5e" filled="false" stroked="true" strokeweight=".48001pt" strokecolor="#000000">
                <v:path arrowok="t"/>
              </v:shape>
            </v:group>
            <v:group style="position:absolute;left:5408;top:5;width:10;height:2" coordorigin="5408,5" coordsize="10,2">
              <v:shape style="position:absolute;left:5408;top:5;width:10;height:2" coordorigin="5408,5" coordsize="10,0" path="m5408,5l5418,5e" filled="false" stroked="true" strokeweight=".48001pt" strokecolor="#000000">
                <v:path arrowok="t"/>
              </v:shape>
            </v:group>
            <v:group style="position:absolute;left:5418;top:5;width:1001;height:2" coordorigin="5418,5" coordsize="1001,2">
              <v:shape style="position:absolute;left:5418;top:5;width:1001;height:2" coordorigin="5418,5" coordsize="1001,0" path="m5418,5l6419,5e" filled="false" stroked="true" strokeweight=".48001pt" strokecolor="#000000">
                <v:path arrowok="t"/>
              </v:shape>
            </v:group>
            <v:group style="position:absolute;left:6419;top:5;width:10;height:2" coordorigin="6419,5" coordsize="10,2">
              <v:shape style="position:absolute;left:6419;top:5;width:10;height:2" coordorigin="6419,5" coordsize="10,0" path="m6419,5l6428,5e" filled="false" stroked="true" strokeweight=".48001pt" strokecolor="#000000">
                <v:path arrowok="t"/>
              </v:shape>
            </v:group>
            <v:group style="position:absolute;left:6428;top:5;width:1127;height:2" coordorigin="6428,5" coordsize="1127,2">
              <v:shape style="position:absolute;left:6428;top:5;width:1127;height:2" coordorigin="6428,5" coordsize="1127,0" path="m6428,5l7554,5e" filled="false" stroked="true" strokeweight=".48001pt" strokecolor="#000000">
                <v:path arrowok="t"/>
              </v:shape>
            </v:group>
            <v:group style="position:absolute;left:7554;top:5;width:10;height:2" coordorigin="7554,5" coordsize="10,2">
              <v:shape style="position:absolute;left:7554;top:5;width:10;height:2" coordorigin="7554,5" coordsize="10,0" path="m7554,5l7564,5e" filled="false" stroked="true" strokeweight=".48001pt" strokecolor="#000000">
                <v:path arrowok="t"/>
              </v:shape>
            </v:group>
            <v:group style="position:absolute;left:7564;top:5;width:965;height:2" coordorigin="7564,5" coordsize="965,2">
              <v:shape style="position:absolute;left:7564;top:5;width:965;height:2" coordorigin="7564,5" coordsize="965,0" path="m7564,5l8529,5e" filled="false" stroked="true" strokeweight=".48001pt" strokecolor="#000000">
                <v:path arrowok="t"/>
              </v:shape>
            </v:group>
          </v:group>
        </w:pict>
      </w:r>
      <w:r>
        <w:rPr>
          <w:rFonts w:ascii="宋体" w:hAnsi="宋体" w:cs="宋体" w:eastAsia="宋体" w:hint="default"/>
          <w:sz w:val="2"/>
          <w:szCs w:val="2"/>
        </w:rPr>
      </w:r>
    </w:p>
    <w:p>
      <w:pPr>
        <w:pStyle w:val="BodyText"/>
        <w:tabs>
          <w:tab w:pos="1687" w:val="left" w:leader="none"/>
          <w:tab w:pos="4654" w:val="left" w:leader="none"/>
          <w:tab w:pos="6383" w:val="right" w:leader="none"/>
        </w:tabs>
        <w:spacing w:line="240" w:lineRule="auto" w:before="65"/>
        <w:ind w:left="360" w:right="0"/>
        <w:jc w:val="left"/>
        <w:rPr>
          <w:rFonts w:ascii="Times New Roman" w:hAnsi="Times New Roman" w:cs="Times New Roman" w:eastAsia="Times New Roman" w:hint="default"/>
        </w:rPr>
      </w:pPr>
      <w:r>
        <w:rPr/>
        <w:t>其他应收款</w:t>
        <w:tab/>
        <w:t>湖南天鸿致远文化发展有限公司</w:t>
        <w:tab/>
      </w:r>
      <w:r>
        <w:rPr>
          <w:rFonts w:ascii="Times New Roman" w:hAnsi="Times New Roman" w:cs="Times New Roman" w:eastAsia="Times New Roman" w:hint="default"/>
        </w:rPr>
        <w:t>20,240.00</w:t>
        <w:tab/>
        <w:t>202.40</w:t>
      </w:r>
    </w:p>
    <w:p>
      <w:pPr>
        <w:pStyle w:val="BodyText"/>
        <w:tabs>
          <w:tab w:pos="1687" w:val="left" w:leader="none"/>
          <w:tab w:pos="4880" w:val="left" w:leader="none"/>
          <w:tab w:pos="6383" w:val="right" w:leader="none"/>
        </w:tabs>
        <w:spacing w:line="240" w:lineRule="auto" w:before="149"/>
        <w:ind w:left="360" w:right="0"/>
        <w:jc w:val="left"/>
        <w:rPr>
          <w:rFonts w:ascii="Times New Roman" w:hAnsi="Times New Roman" w:cs="Times New Roman" w:eastAsia="Times New Roman" w:hint="default"/>
        </w:rPr>
      </w:pPr>
      <w:r>
        <w:rPr/>
        <w:t>其他应收款</w:t>
        <w:tab/>
        <w:t>湖南天舟教育科技研究院</w:t>
        <w:tab/>
      </w:r>
      <w:r>
        <w:rPr>
          <w:rFonts w:ascii="Times New Roman" w:hAnsi="Times New Roman" w:cs="Times New Roman" w:eastAsia="Times New Roman" w:hint="default"/>
        </w:rPr>
        <w:t>588.90</w:t>
        <w:tab/>
        <w:t>5.89</w:t>
      </w:r>
    </w:p>
    <w:p>
      <w:pPr>
        <w:pStyle w:val="BodyText"/>
        <w:tabs>
          <w:tab w:pos="1687" w:val="left" w:leader="none"/>
          <w:tab w:pos="6783" w:val="left" w:leader="none"/>
          <w:tab w:pos="8034" w:val="left" w:leader="none"/>
        </w:tabs>
        <w:spacing w:line="240" w:lineRule="auto" w:before="151"/>
        <w:ind w:left="360" w:right="0"/>
        <w:jc w:val="left"/>
        <w:rPr>
          <w:rFonts w:ascii="Times New Roman" w:hAnsi="Times New Roman" w:cs="Times New Roman" w:eastAsia="Times New Roman" w:hint="default"/>
        </w:rPr>
      </w:pPr>
      <w:r>
        <w:rPr/>
        <w:t>其他应收款</w:t>
        <w:tab/>
        <w:t>司马宁</w:t>
        <w:tab/>
      </w:r>
      <w:r>
        <w:rPr>
          <w:rFonts w:ascii="Times New Roman" w:hAnsi="Times New Roman" w:cs="Times New Roman" w:eastAsia="Times New Roman" w:hint="default"/>
          <w:spacing w:val="-1"/>
        </w:rPr>
        <w:t>600,000.00</w:t>
        <w:tab/>
      </w:r>
      <w:r>
        <w:rPr>
          <w:rFonts w:ascii="Times New Roman" w:hAnsi="Times New Roman" w:cs="Times New Roman" w:eastAsia="Times New Roman" w:hint="default"/>
        </w:rPr>
        <w:t>6,000.00</w:t>
      </w:r>
    </w:p>
    <w:p>
      <w:pPr>
        <w:pStyle w:val="BodyText"/>
        <w:tabs>
          <w:tab w:pos="4654" w:val="left" w:leader="none"/>
          <w:tab w:pos="5888" w:val="left" w:leader="none"/>
          <w:tab w:pos="6783" w:val="left" w:leader="none"/>
          <w:tab w:pos="8034" w:val="left" w:leader="none"/>
        </w:tabs>
        <w:spacing w:line="240" w:lineRule="auto" w:before="151"/>
        <w:ind w:left="360" w:right="0"/>
        <w:jc w:val="left"/>
        <w:rPr>
          <w:rFonts w:ascii="Times New Roman" w:hAnsi="Times New Roman" w:cs="Times New Roman" w:eastAsia="Times New Roman" w:hint="default"/>
        </w:rPr>
      </w:pPr>
      <w:r>
        <w:rPr/>
        <w:t>其他应收款合计</w:t>
        <w:tab/>
      </w:r>
      <w:r>
        <w:rPr>
          <w:rFonts w:ascii="Times New Roman" w:hAnsi="Times New Roman" w:cs="Times New Roman" w:eastAsia="Times New Roman" w:hint="default"/>
        </w:rPr>
      </w:r>
      <w:r>
        <w:rPr>
          <w:rFonts w:ascii="Times New Roman" w:hAnsi="Times New Roman" w:cs="Times New Roman" w:eastAsia="Times New Roman" w:hint="default"/>
          <w:spacing w:val="-1"/>
          <w:u w:val="thick" w:color="000000"/>
        </w:rPr>
        <w:t>20,828.90</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208.29</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600,000.00</w:t>
      </w:r>
      <w:r>
        <w:rPr>
          <w:rFonts w:ascii="Times New Roman" w:hAnsi="Times New Roman" w:cs="Times New Roman" w:eastAsia="Times New Roman" w:hint="default"/>
          <w:spacing w:val="-1"/>
        </w:rPr>
        <w:tab/>
      </w:r>
      <w:r>
        <w:rPr>
          <w:rFonts w:ascii="Times New Roman" w:hAnsi="Times New Roman" w:cs="Times New Roman" w:eastAsia="Times New Roman" w:hint="default"/>
          <w:u w:val="thick" w:color="000000"/>
        </w:rPr>
        <w:t>6,000.00</w:t>
      </w:r>
      <w:r>
        <w:rPr>
          <w:rFonts w:ascii="Times New Roman" w:hAnsi="Times New Roman" w:cs="Times New Roman" w:eastAsia="Times New Roman" w:hint="default"/>
        </w:rPr>
      </w:r>
    </w:p>
    <w:p>
      <w:pPr>
        <w:pStyle w:val="BodyText"/>
        <w:spacing w:line="240" w:lineRule="auto" w:before="430"/>
        <w:ind w:left="720" w:right="0"/>
        <w:jc w:val="left"/>
      </w:pPr>
      <w:r>
        <w:rPr/>
        <w:t>（</w:t>
      </w:r>
      <w:r>
        <w:rPr>
          <w:rFonts w:ascii="Times New Roman" w:hAnsi="Times New Roman" w:cs="Times New Roman" w:eastAsia="Times New Roman" w:hint="default"/>
        </w:rPr>
        <w:t>2</w:t>
      </w:r>
      <w:r>
        <w:rPr/>
        <w:t>）公司应付关联方款项</w:t>
      </w:r>
    </w:p>
    <w:p>
      <w:pPr>
        <w:spacing w:line="240" w:lineRule="auto" w:before="9"/>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502"/>
        <w:gridCol w:w="3356"/>
        <w:gridCol w:w="2041"/>
        <w:gridCol w:w="1898"/>
      </w:tblGrid>
      <w:tr>
        <w:trPr>
          <w:trHeight w:val="275" w:hRule="exact"/>
        </w:trPr>
        <w:tc>
          <w:tcPr>
            <w:tcW w:w="1502" w:type="dxa"/>
            <w:tcBorders>
              <w:top w:val="nil" w:sz="6" w:space="0" w:color="auto"/>
              <w:left w:val="nil" w:sz="6" w:space="0" w:color="auto"/>
              <w:bottom w:val="single" w:sz="4" w:space="0" w:color="000000"/>
              <w:right w:val="nil" w:sz="6" w:space="0" w:color="auto"/>
            </w:tcBorders>
          </w:tcPr>
          <w:p>
            <w:pPr>
              <w:pStyle w:val="TableParagraph"/>
              <w:spacing w:line="180" w:lineRule="exact"/>
              <w:ind w:left="403"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356" w:type="dxa"/>
            <w:tcBorders>
              <w:top w:val="nil" w:sz="6" w:space="0" w:color="auto"/>
              <w:left w:val="nil" w:sz="6" w:space="0" w:color="auto"/>
              <w:bottom w:val="single" w:sz="4" w:space="0" w:color="000000"/>
              <w:right w:val="nil" w:sz="6" w:space="0" w:color="auto"/>
            </w:tcBorders>
          </w:tcPr>
          <w:p>
            <w:pPr>
              <w:pStyle w:val="TableParagraph"/>
              <w:spacing w:line="180" w:lineRule="exact"/>
              <w:ind w:left="235"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041" w:type="dxa"/>
            <w:tcBorders>
              <w:top w:val="nil" w:sz="6" w:space="0" w:color="auto"/>
              <w:left w:val="nil" w:sz="6" w:space="0" w:color="auto"/>
              <w:bottom w:val="single" w:sz="4" w:space="0" w:color="000000"/>
              <w:right w:val="nil" w:sz="6" w:space="0" w:color="auto"/>
            </w:tcBorders>
          </w:tcPr>
          <w:p>
            <w:pPr>
              <w:pStyle w:val="TableParagraph"/>
              <w:spacing w:line="180" w:lineRule="exact"/>
              <w:ind w:left="701"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898" w:type="dxa"/>
            <w:tcBorders>
              <w:top w:val="nil" w:sz="6" w:space="0" w:color="auto"/>
              <w:left w:val="nil" w:sz="6" w:space="0" w:color="auto"/>
              <w:bottom w:val="single" w:sz="4" w:space="0" w:color="000000"/>
              <w:right w:val="nil" w:sz="6" w:space="0" w:color="auto"/>
            </w:tcBorders>
          </w:tcPr>
          <w:p>
            <w:pPr>
              <w:pStyle w:val="TableParagraph"/>
              <w:spacing w:line="180" w:lineRule="exact"/>
              <w:ind w:left="523"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431" w:hRule="exact"/>
        </w:trPr>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5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34" w:right="0"/>
              <w:jc w:val="left"/>
              <w:rPr>
                <w:rFonts w:ascii="宋体" w:hAnsi="宋体" w:cs="宋体" w:eastAsia="宋体" w:hint="default"/>
                <w:sz w:val="18"/>
                <w:szCs w:val="18"/>
              </w:rPr>
            </w:pPr>
            <w:r>
              <w:rPr>
                <w:rFonts w:ascii="宋体" w:hAnsi="宋体" w:cs="宋体" w:eastAsia="宋体" w:hint="default"/>
                <w:sz w:val="18"/>
                <w:szCs w:val="18"/>
              </w:rPr>
              <w:t>北京北舟文化传媒有限责任公司</w:t>
            </w:r>
          </w:p>
        </w:tc>
        <w:tc>
          <w:tcPr>
            <w:tcW w:w="204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521"/>
              <w:jc w:val="right"/>
              <w:rPr>
                <w:rFonts w:ascii="Times New Roman" w:hAnsi="Times New Roman" w:cs="Times New Roman" w:eastAsia="Times New Roman" w:hint="default"/>
                <w:sz w:val="18"/>
                <w:szCs w:val="18"/>
              </w:rPr>
            </w:pPr>
            <w:r>
              <w:rPr>
                <w:rFonts w:ascii="Times New Roman"/>
                <w:spacing w:val="-1"/>
                <w:sz w:val="18"/>
              </w:rPr>
              <w:t>12,491.56</w:t>
            </w:r>
          </w:p>
        </w:tc>
        <w:tc>
          <w:tcPr>
            <w:tcW w:w="1898" w:type="dxa"/>
            <w:tcBorders>
              <w:top w:val="single" w:sz="4" w:space="0" w:color="000000"/>
              <w:left w:val="nil" w:sz="6" w:space="0" w:color="auto"/>
              <w:bottom w:val="nil" w:sz="6" w:space="0" w:color="auto"/>
              <w:right w:val="nil" w:sz="6" w:space="0" w:color="auto"/>
            </w:tcBorders>
          </w:tcPr>
          <w:p>
            <w:pPr/>
          </w:p>
        </w:tc>
      </w:tr>
      <w:tr>
        <w:trPr>
          <w:trHeight w:val="400"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5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4" w:right="0"/>
              <w:jc w:val="left"/>
              <w:rPr>
                <w:rFonts w:ascii="宋体" w:hAnsi="宋体" w:cs="宋体" w:eastAsia="宋体" w:hint="default"/>
                <w:sz w:val="18"/>
                <w:szCs w:val="18"/>
              </w:rPr>
            </w:pPr>
            <w:r>
              <w:rPr>
                <w:rFonts w:ascii="宋体" w:hAnsi="宋体" w:cs="宋体" w:eastAsia="宋体" w:hint="default"/>
                <w:sz w:val="18"/>
                <w:szCs w:val="18"/>
              </w:rPr>
              <w:t>肖欢</w:t>
            </w:r>
          </w:p>
        </w:tc>
        <w:tc>
          <w:tcPr>
            <w:tcW w:w="2041"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93"/>
              <w:jc w:val="right"/>
              <w:rPr>
                <w:rFonts w:ascii="Times New Roman" w:hAnsi="Times New Roman" w:cs="Times New Roman" w:eastAsia="Times New Roman" w:hint="default"/>
                <w:sz w:val="18"/>
                <w:szCs w:val="18"/>
              </w:rPr>
            </w:pPr>
            <w:r>
              <w:rPr>
                <w:rFonts w:ascii="Times New Roman"/>
                <w:spacing w:val="-1"/>
                <w:sz w:val="18"/>
              </w:rPr>
              <w:t>164,293.58</w:t>
            </w:r>
          </w:p>
        </w:tc>
      </w:tr>
      <w:tr>
        <w:trPr>
          <w:trHeight w:val="400"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应付账款合计</w:t>
            </w:r>
          </w:p>
        </w:tc>
        <w:tc>
          <w:tcPr>
            <w:tcW w:w="3356" w:type="dxa"/>
            <w:tcBorders>
              <w:top w:val="nil" w:sz="6" w:space="0" w:color="auto"/>
              <w:left w:val="nil" w:sz="6" w:space="0" w:color="auto"/>
              <w:bottom w:val="nil" w:sz="6" w:space="0" w:color="auto"/>
              <w:right w:val="nil" w:sz="6" w:space="0" w:color="auto"/>
            </w:tcBorders>
          </w:tcPr>
          <w:p>
            <w:pPr/>
          </w:p>
        </w:tc>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12,491.56</w:t>
            </w:r>
            <w:r>
              <w:rPr>
                <w:rFonts w:ascii="Times New Roman"/>
                <w:spacing w:val="-1"/>
                <w:sz w:val="18"/>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164,293.58</w:t>
            </w:r>
            <w:r>
              <w:rPr>
                <w:rFonts w:ascii="Times New Roman"/>
                <w:spacing w:val="-1"/>
                <w:sz w:val="18"/>
              </w:rPr>
            </w:r>
          </w:p>
        </w:tc>
      </w:tr>
      <w:tr>
        <w:trPr>
          <w:trHeight w:val="401"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5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4" w:right="0"/>
              <w:jc w:val="left"/>
              <w:rPr>
                <w:rFonts w:ascii="宋体" w:hAnsi="宋体" w:cs="宋体" w:eastAsia="宋体" w:hint="default"/>
                <w:sz w:val="18"/>
                <w:szCs w:val="18"/>
              </w:rPr>
            </w:pPr>
            <w:r>
              <w:rPr>
                <w:rFonts w:ascii="宋体" w:hAnsi="宋体" w:cs="宋体" w:eastAsia="宋体" w:hint="default"/>
                <w:sz w:val="18"/>
                <w:szCs w:val="18"/>
              </w:rPr>
              <w:t>湖南天鸿致远文化发展有限公司</w:t>
            </w:r>
          </w:p>
        </w:tc>
        <w:tc>
          <w:tcPr>
            <w:tcW w:w="2041"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65"/>
              <w:jc w:val="right"/>
              <w:rPr>
                <w:rFonts w:ascii="Times New Roman" w:hAnsi="Times New Roman" w:cs="Times New Roman" w:eastAsia="Times New Roman" w:hint="default"/>
                <w:sz w:val="18"/>
                <w:szCs w:val="18"/>
              </w:rPr>
            </w:pPr>
            <w:r>
              <w:rPr>
                <w:rFonts w:ascii="Times New Roman"/>
                <w:spacing w:val="-1"/>
                <w:sz w:val="18"/>
              </w:rPr>
              <w:t>349,022.40</w:t>
            </w:r>
          </w:p>
        </w:tc>
      </w:tr>
      <w:tr>
        <w:trPr>
          <w:trHeight w:val="295"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其他应付款合计</w:t>
            </w:r>
          </w:p>
        </w:tc>
        <w:tc>
          <w:tcPr>
            <w:tcW w:w="3356" w:type="dxa"/>
            <w:tcBorders>
              <w:top w:val="nil" w:sz="6" w:space="0" w:color="auto"/>
              <w:left w:val="nil" w:sz="6" w:space="0" w:color="auto"/>
              <w:bottom w:val="nil" w:sz="6" w:space="0" w:color="auto"/>
              <w:right w:val="nil" w:sz="6" w:space="0" w:color="auto"/>
            </w:tcBorders>
          </w:tcPr>
          <w:p>
            <w:pPr/>
          </w:p>
        </w:tc>
        <w:tc>
          <w:tcPr>
            <w:tcW w:w="2041"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349,022.40</w:t>
            </w:r>
            <w:r>
              <w:rPr>
                <w:rFonts w:ascii="Times New Roman"/>
                <w:spacing w:val="-1"/>
                <w:sz w:val="18"/>
              </w:rPr>
            </w:r>
          </w:p>
        </w:tc>
      </w:tr>
    </w:tbl>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BodyText"/>
        <w:spacing w:line="499" w:lineRule="auto"/>
        <w:ind w:left="720" w:right="5766"/>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关联方承诺事项 本公司本期无关联方承诺事项。</w:t>
      </w:r>
    </w:p>
    <w:p>
      <w:pPr>
        <w:spacing w:line="240" w:lineRule="auto" w:before="2"/>
        <w:rPr>
          <w:rFonts w:ascii="宋体" w:hAnsi="宋体" w:cs="宋体" w:eastAsia="宋体" w:hint="default"/>
          <w:sz w:val="13"/>
          <w:szCs w:val="13"/>
        </w:rPr>
      </w:pPr>
    </w:p>
    <w:p>
      <w:pPr>
        <w:pStyle w:val="Heading3"/>
        <w:spacing w:line="240" w:lineRule="auto"/>
        <w:ind w:left="201" w:right="6095"/>
        <w:jc w:val="center"/>
        <w:rPr>
          <w:rFonts w:ascii="黑体" w:hAnsi="黑体" w:cs="黑体" w:eastAsia="黑体" w:hint="default"/>
          <w:b w:val="0"/>
          <w:bCs w:val="0"/>
        </w:rPr>
      </w:pPr>
      <w:r>
        <w:rPr>
          <w:rFonts w:ascii="黑体" w:hAnsi="黑体" w:cs="黑体" w:eastAsia="黑体" w:hint="default"/>
        </w:rPr>
        <w:t>十二、承诺及或有事项</w:t>
      </w:r>
      <w:r>
        <w:rPr>
          <w:rFonts w:ascii="黑体" w:hAnsi="黑体" w:cs="黑体" w:eastAsia="黑体" w:hint="default"/>
          <w:b w:val="0"/>
          <w:bCs w:val="0"/>
        </w:rPr>
      </w:r>
    </w:p>
    <w:p>
      <w:pPr>
        <w:spacing w:line="240" w:lineRule="auto" w:before="5"/>
        <w:rPr>
          <w:rFonts w:ascii="黑体" w:hAnsi="黑体" w:cs="黑体" w:eastAsia="黑体" w:hint="default"/>
          <w:b/>
          <w:bCs/>
          <w:sz w:val="27"/>
          <w:szCs w:val="27"/>
        </w:rPr>
      </w:pPr>
    </w:p>
    <w:p>
      <w:pPr>
        <w:pStyle w:val="Heading3"/>
        <w:spacing w:line="240" w:lineRule="auto"/>
        <w:ind w:left="121" w:right="6135"/>
        <w:jc w:val="center"/>
        <w:rPr>
          <w:rFonts w:ascii="黑体" w:hAnsi="黑体" w:cs="黑体" w:eastAsia="黑体" w:hint="default"/>
          <w:b w:val="0"/>
          <w:bCs w:val="0"/>
        </w:rPr>
      </w:pPr>
      <w:r>
        <w:rPr>
          <w:rFonts w:ascii="Times New Roman" w:hAnsi="Times New Roman" w:cs="Times New Roman" w:eastAsia="Times New Roman" w:hint="default"/>
        </w:rPr>
        <w:t>1</w:t>
      </w:r>
      <w:r>
        <w:rPr>
          <w:rFonts w:ascii="黑体" w:hAnsi="黑体" w:cs="黑体" w:eastAsia="黑体" w:hint="default"/>
        </w:rPr>
        <w:t>、承诺事项</w:t>
      </w:r>
      <w:r>
        <w:rPr>
          <w:rFonts w:ascii="黑体" w:hAnsi="黑体" w:cs="黑体" w:eastAsia="黑体" w:hint="default"/>
          <w:b w:val="0"/>
          <w:bCs w:val="0"/>
        </w:rPr>
      </w:r>
    </w:p>
    <w:p>
      <w:pPr>
        <w:spacing w:line="240" w:lineRule="auto" w:before="8"/>
        <w:rPr>
          <w:rFonts w:ascii="黑体" w:hAnsi="黑体" w:cs="黑体" w:eastAsia="黑体" w:hint="default"/>
          <w:b/>
          <w:bCs/>
          <w:sz w:val="28"/>
          <w:szCs w:val="28"/>
        </w:rPr>
      </w:pPr>
    </w:p>
    <w:p>
      <w:pPr>
        <w:pStyle w:val="Heading6"/>
        <w:spacing w:line="297" w:lineRule="auto"/>
        <w:ind w:left="360" w:right="351" w:firstLine="419"/>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月公司与杭州派娱科技有限公司（简称</w:t>
      </w:r>
      <w:r>
        <w:rPr>
          <w:rFonts w:ascii="Times New Roman" w:hAnsi="Times New Roman" w:cs="Times New Roman" w:eastAsia="Times New Roman" w:hint="default"/>
        </w:rPr>
        <w:t>“</w:t>
      </w:r>
      <w:r>
        <w:rPr/>
        <w:t>派娱科技</w:t>
      </w:r>
      <w:r>
        <w:rPr>
          <w:rFonts w:ascii="Times New Roman" w:hAnsi="Times New Roman" w:cs="Times New Roman" w:eastAsia="Times New Roman" w:hint="default"/>
        </w:rPr>
        <w:t>”</w:t>
      </w:r>
      <w:r>
        <w:rPr/>
        <w:t>）股东徐文签订关</w:t>
      </w:r>
      <w:r>
        <w:rPr>
          <w:w w:val="100"/>
        </w:rPr>
        <w:t> </w:t>
      </w:r>
      <w:r>
        <w:rPr>
          <w:spacing w:val="-5"/>
          <w:w w:val="100"/>
        </w:rPr>
        <w:t>于《杭州派娱科技有限公司股权投资框架协议》，公司拟以自有资金</w:t>
      </w:r>
      <w:r>
        <w:rPr>
          <w:w w:val="100"/>
        </w:rPr>
        <w:t> </w:t>
      </w:r>
      <w:r>
        <w:rPr>
          <w:rFonts w:ascii="Times New Roman" w:hAnsi="Times New Roman" w:cs="Times New Roman" w:eastAsia="Times New Roman" w:hint="default"/>
          <w:w w:val="100"/>
        </w:rPr>
        <w:t>1.805</w:t>
      </w:r>
      <w:r>
        <w:rPr>
          <w:rFonts w:ascii="Times New Roman" w:hAnsi="Times New Roman" w:cs="Times New Roman" w:eastAsia="Times New Roman" w:hint="default"/>
          <w:spacing w:val="12"/>
          <w:w w:val="100"/>
        </w:rPr>
        <w:t> </w:t>
      </w:r>
      <w:r>
        <w:rPr>
          <w:spacing w:val="-2"/>
          <w:w w:val="100"/>
        </w:rPr>
        <w:t>亿元收购出让方</w:t>
      </w:r>
      <w:r>
        <w:rPr>
          <w:w w:val="100"/>
        </w:rPr>
        <w:t> </w:t>
      </w:r>
      <w:r>
        <w:rPr/>
        <w:t>徐文持有的派娱科技</w:t>
      </w:r>
      <w:r>
        <w:rPr>
          <w:spacing w:val="-40"/>
        </w:rPr>
        <w:t> </w:t>
      </w:r>
      <w:r>
        <w:rPr>
          <w:rFonts w:ascii="Times New Roman" w:hAnsi="Times New Roman" w:cs="Times New Roman" w:eastAsia="Times New Roman" w:hint="default"/>
        </w:rPr>
        <w:t>40.11%</w:t>
      </w:r>
      <w:r>
        <w:rPr/>
        <w:t>的股权，并以自有资金</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亿元向杭州派娱科技有限公司增资，</w:t>
      </w:r>
      <w:r>
        <w:rPr>
          <w:w w:val="100"/>
        </w:rPr>
        <w:t> </w:t>
      </w:r>
      <w:r>
        <w:rPr/>
        <w:t>增资完成后公司持有派娱科技</w:t>
      </w:r>
      <w:r>
        <w:rPr>
          <w:spacing w:val="-35"/>
        </w:rPr>
        <w:t> </w:t>
      </w:r>
      <w:r>
        <w:rPr>
          <w:rFonts w:ascii="Times New Roman" w:hAnsi="Times New Roman" w:cs="Times New Roman" w:eastAsia="Times New Roman" w:hint="default"/>
          <w:spacing w:val="-4"/>
        </w:rPr>
        <w:t>51.00%</w:t>
      </w:r>
      <w:r>
        <w:rPr>
          <w:spacing w:val="-4"/>
        </w:rPr>
        <w:t>的股权，上述股权收购对价款及增资款总金额为</w:t>
      </w:r>
      <w:r>
        <w:rPr>
          <w:spacing w:val="-34"/>
        </w:rPr>
        <w:t> </w:t>
      </w:r>
      <w:r>
        <w:rPr>
          <w:rFonts w:ascii="Times New Roman" w:hAnsi="Times New Roman" w:cs="Times New Roman" w:eastAsia="Times New Roman" w:hint="default"/>
        </w:rPr>
        <w:t>2.805</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t>亿元。</w:t>
      </w:r>
    </w:p>
    <w:p>
      <w:pPr>
        <w:spacing w:after="0" w:line="297" w:lineRule="auto"/>
        <w:jc w:val="both"/>
        <w:sectPr>
          <w:type w:val="continuous"/>
          <w:pgSz w:w="11910" w:h="16840"/>
          <w:pgMar w:top="1580" w:bottom="1140" w:left="1440" w:right="1440"/>
        </w:sectPr>
      </w:pPr>
    </w:p>
    <w:p>
      <w:pPr>
        <w:pStyle w:val="Heading6"/>
        <w:spacing w:line="297" w:lineRule="auto" w:before="24"/>
        <w:ind w:left="120" w:right="211" w:firstLine="419"/>
        <w:jc w:val="both"/>
      </w:pPr>
      <w:r>
        <w:rPr/>
        <w:t>该项投资协议详细情况请查阅天舟文化董事会</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日对外公告的《拟对外</w:t>
      </w:r>
      <w:r>
        <w:rPr>
          <w:w w:val="100"/>
        </w:rPr>
        <w:t> </w:t>
      </w:r>
      <w:r>
        <w:rPr/>
        <w:t>投资的公告》（</w:t>
      </w:r>
      <w:r>
        <w:rPr>
          <w:rFonts w:ascii="Times New Roman" w:hAnsi="Times New Roman" w:cs="Times New Roman" w:eastAsia="Times New Roman" w:hint="default"/>
        </w:rPr>
        <w:t>2015-109</w:t>
      </w:r>
      <w:r>
        <w:rPr>
          <w:rFonts w:ascii="Times New Roman" w:hAnsi="Times New Roman" w:cs="Times New Roman" w:eastAsia="Times New Roman" w:hint="default"/>
          <w:spacing w:val="-7"/>
        </w:rPr>
        <w:t> </w:t>
      </w:r>
      <w:r>
        <w:rPr/>
        <w:t>号）文件。截至资产负债表日公司已预付派娱科技增资款</w:t>
      </w:r>
      <w:r>
        <w:rPr>
          <w:spacing w:val="-58"/>
        </w:rPr>
        <w:t> </w:t>
      </w:r>
      <w:r>
        <w:rPr>
          <w:rFonts w:ascii="Times New Roman" w:hAnsi="Times New Roman" w:cs="Times New Roman" w:eastAsia="Times New Roman" w:hint="default"/>
        </w:rPr>
        <w:t>1000</w:t>
      </w:r>
      <w:r>
        <w:rPr>
          <w:rFonts w:ascii="Times New Roman" w:hAnsi="Times New Roman" w:cs="Times New Roman" w:eastAsia="Times New Roman" w:hint="default"/>
          <w:spacing w:val="-5"/>
        </w:rPr>
        <w:t> </w:t>
      </w:r>
      <w:r>
        <w:rPr/>
        <w:t>万</w:t>
      </w:r>
      <w:r>
        <w:rPr>
          <w:w w:val="100"/>
        </w:rPr>
        <w:t> </w:t>
      </w:r>
      <w:r>
        <w:rPr/>
        <w:t>元，截至本财务报告披露日该投资项目正在实施过程中。</w:t>
      </w:r>
    </w:p>
    <w:p>
      <w:pPr>
        <w:spacing w:line="240" w:lineRule="auto" w:before="8"/>
        <w:rPr>
          <w:rFonts w:ascii="宋体" w:hAnsi="宋体" w:cs="宋体" w:eastAsia="宋体" w:hint="default"/>
          <w:sz w:val="14"/>
          <w:szCs w:val="14"/>
        </w:rPr>
      </w:pPr>
    </w:p>
    <w:p>
      <w:pPr>
        <w:pStyle w:val="Heading6"/>
        <w:spacing w:line="297" w:lineRule="auto"/>
        <w:ind w:left="120" w:right="211" w:firstLine="419"/>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3"/>
        </w:rPr>
        <w:t>日公司与华育今典（天津）版权服务合伙企业（有限合伙）（以</w:t>
      </w:r>
      <w:r>
        <w:rPr>
          <w:w w:val="100"/>
        </w:rPr>
        <w:t> </w:t>
      </w:r>
      <w:r>
        <w:rPr>
          <w:spacing w:val="-8"/>
        </w:rPr>
        <w:t>下简称</w:t>
      </w:r>
      <w:r>
        <w:rPr>
          <w:rFonts w:ascii="Times New Roman" w:hAnsi="Times New Roman" w:cs="Times New Roman" w:eastAsia="Times New Roman" w:hint="default"/>
          <w:spacing w:val="-8"/>
        </w:rPr>
        <w:t>“</w:t>
      </w:r>
      <w:r>
        <w:rPr>
          <w:spacing w:val="-8"/>
        </w:rPr>
        <w:t>华育今典</w:t>
      </w:r>
      <w:r>
        <w:rPr>
          <w:rFonts w:ascii="Times New Roman" w:hAnsi="Times New Roman" w:cs="Times New Roman" w:eastAsia="Times New Roman" w:hint="default"/>
          <w:spacing w:val="-8"/>
        </w:rPr>
        <w:t>”</w:t>
      </w:r>
      <w:r>
        <w:rPr>
          <w:spacing w:val="-8"/>
        </w:rPr>
        <w:t>）、人民东方出版传媒有限公司（以下简称</w:t>
      </w:r>
      <w:r>
        <w:rPr>
          <w:rFonts w:ascii="Times New Roman" w:hAnsi="Times New Roman" w:cs="Times New Roman" w:eastAsia="Times New Roman" w:hint="default"/>
          <w:spacing w:val="-8"/>
        </w:rPr>
        <w:t>“</w:t>
      </w:r>
      <w:r>
        <w:rPr>
          <w:spacing w:val="-8"/>
        </w:rPr>
        <w:t>人民东方</w:t>
      </w:r>
      <w:r>
        <w:rPr>
          <w:rFonts w:ascii="Times New Roman" w:hAnsi="Times New Roman" w:cs="Times New Roman" w:eastAsia="Times New Roman" w:hint="default"/>
          <w:spacing w:val="-8"/>
        </w:rPr>
        <w:t>”</w:t>
      </w:r>
      <w:r>
        <w:rPr>
          <w:spacing w:val="-8"/>
        </w:rPr>
        <w:t>）以及人民今典（北</w:t>
      </w:r>
      <w:r>
        <w:rPr>
          <w:spacing w:val="-29"/>
        </w:rPr>
        <w:t> </w:t>
      </w:r>
      <w:r>
        <w:rPr>
          <w:spacing w:val="-29"/>
        </w:rPr>
      </w:r>
      <w:r>
        <w:rPr>
          <w:spacing w:val="-4"/>
        </w:rPr>
        <w:t>京）书业有限公司（以下简称</w:t>
      </w:r>
      <w:r>
        <w:rPr>
          <w:rFonts w:ascii="Times New Roman" w:hAnsi="Times New Roman" w:cs="Times New Roman" w:eastAsia="Times New Roman" w:hint="default"/>
          <w:spacing w:val="-4"/>
        </w:rPr>
        <w:t>“</w:t>
      </w:r>
      <w:r>
        <w:rPr>
          <w:spacing w:val="-4"/>
        </w:rPr>
        <w:t>人民今典</w:t>
      </w:r>
      <w:r>
        <w:rPr>
          <w:rFonts w:ascii="Times New Roman" w:hAnsi="Times New Roman" w:cs="Times New Roman" w:eastAsia="Times New Roman" w:hint="default"/>
          <w:spacing w:val="-4"/>
        </w:rPr>
        <w:t>”</w:t>
      </w:r>
      <w:r>
        <w:rPr>
          <w:spacing w:val="-4"/>
        </w:rPr>
        <w:t>）签署了《股权交易合作框架协议》，公司拟以自</w:t>
      </w:r>
      <w:r>
        <w:rPr>
          <w:spacing w:val="-22"/>
        </w:rPr>
        <w:t> </w:t>
      </w:r>
      <w:r>
        <w:rPr>
          <w:spacing w:val="-22"/>
        </w:rPr>
      </w:r>
      <w:r>
        <w:rPr/>
        <w:t>有资金</w:t>
      </w:r>
      <w:r>
        <w:rPr>
          <w:spacing w:val="-45"/>
        </w:rPr>
        <w:t> </w:t>
      </w:r>
      <w:r>
        <w:rPr>
          <w:rFonts w:ascii="Times New Roman" w:hAnsi="Times New Roman" w:cs="Times New Roman" w:eastAsia="Times New Roman" w:hint="default"/>
        </w:rPr>
        <w:t>1.1434</w:t>
      </w:r>
      <w:r>
        <w:rPr>
          <w:rFonts w:ascii="Times New Roman" w:hAnsi="Times New Roman" w:cs="Times New Roman" w:eastAsia="Times New Roman" w:hint="default"/>
          <w:spacing w:val="5"/>
        </w:rPr>
        <w:t> </w:t>
      </w:r>
      <w:r>
        <w:rPr/>
        <w:t>亿元收购华育今典持有的人民今典</w:t>
      </w:r>
      <w:r>
        <w:rPr>
          <w:spacing w:val="-45"/>
        </w:rPr>
        <w:t> </w:t>
      </w:r>
      <w:r>
        <w:rPr>
          <w:rFonts w:ascii="Times New Roman" w:hAnsi="Times New Roman" w:cs="Times New Roman" w:eastAsia="Times New Roman" w:hint="default"/>
        </w:rPr>
        <w:t>26.5%</w:t>
      </w:r>
      <w:r>
        <w:rPr/>
        <w:t>的股权，并以自有资金</w:t>
      </w:r>
      <w:r>
        <w:rPr>
          <w:spacing w:val="-47"/>
        </w:rPr>
        <w:t> </w:t>
      </w:r>
      <w:r>
        <w:rPr>
          <w:rFonts w:ascii="Times New Roman" w:hAnsi="Times New Roman" w:cs="Times New Roman" w:eastAsia="Times New Roman" w:hint="default"/>
        </w:rPr>
        <w:t>1.0572</w:t>
      </w:r>
      <w:r>
        <w:rPr>
          <w:rFonts w:ascii="Times New Roman" w:hAnsi="Times New Roman" w:cs="Times New Roman" w:eastAsia="Times New Roman" w:hint="default"/>
          <w:spacing w:val="7"/>
        </w:rPr>
        <w:t> </w:t>
      </w:r>
      <w:r>
        <w:rPr>
          <w:spacing w:val="-3"/>
        </w:rPr>
        <w:t>亿元</w:t>
      </w:r>
      <w:r>
        <w:rPr>
          <w:spacing w:val="-3"/>
          <w:w w:val="100"/>
        </w:rPr>
        <w:t> </w:t>
      </w:r>
      <w:r>
        <w:rPr/>
        <w:t>向人民今典增资以实现对人民今典</w:t>
      </w:r>
      <w:r>
        <w:rPr>
          <w:spacing w:val="-40"/>
        </w:rPr>
        <w:t> </w:t>
      </w:r>
      <w:r>
        <w:rPr>
          <w:rFonts w:ascii="Times New Roman" w:hAnsi="Times New Roman" w:cs="Times New Roman" w:eastAsia="Times New Roman" w:hint="default"/>
        </w:rPr>
        <w:t>51%</w:t>
      </w:r>
      <w:r>
        <w:rPr/>
        <w:t>的控股，合计投资金额为</w:t>
      </w:r>
      <w:r>
        <w:rPr>
          <w:spacing w:val="-40"/>
        </w:rPr>
        <w:t> </w:t>
      </w:r>
      <w:r>
        <w:rPr>
          <w:rFonts w:ascii="Times New Roman" w:hAnsi="Times New Roman" w:cs="Times New Roman" w:eastAsia="Times New Roman" w:hint="default"/>
        </w:rPr>
        <w:t>2.2006</w:t>
      </w:r>
      <w:r>
        <w:rPr>
          <w:rFonts w:ascii="Times New Roman" w:hAnsi="Times New Roman" w:cs="Times New Roman" w:eastAsia="Times New Roman" w:hint="default"/>
          <w:spacing w:val="12"/>
        </w:rPr>
        <w:t> </w:t>
      </w:r>
      <w:r>
        <w:rPr/>
        <w:t>亿元。该项投资协</w:t>
      </w:r>
      <w:r>
        <w:rPr>
          <w:w w:val="100"/>
        </w:rPr>
        <w:t> </w:t>
      </w:r>
      <w:r>
        <w:rPr/>
        <w:t>议详细情况请查阅天舟文化董事会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日对外公告的《拟对外投资的公告》</w:t>
      </w:r>
    </w:p>
    <w:p>
      <w:pPr>
        <w:pStyle w:val="Heading6"/>
        <w:spacing w:line="240" w:lineRule="auto" w:before="14"/>
        <w:ind w:left="120" w:right="0"/>
        <w:jc w:val="left"/>
      </w:pPr>
      <w:r>
        <w:rPr>
          <w:spacing w:val="-1"/>
        </w:rPr>
        <w:t>（</w:t>
      </w:r>
      <w:r>
        <w:rPr>
          <w:rFonts w:ascii="Times New Roman" w:hAnsi="Times New Roman" w:cs="Times New Roman" w:eastAsia="Times New Roman" w:hint="default"/>
          <w:spacing w:val="-1"/>
        </w:rPr>
        <w:t>2015-112</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spacing w:val="-2"/>
        </w:rPr>
        <w:t>号）文件。截至本财务报告披露日该投资项目正在实施过程中。</w:t>
      </w:r>
    </w:p>
    <w:p>
      <w:pPr>
        <w:spacing w:line="240" w:lineRule="auto" w:before="2"/>
        <w:rPr>
          <w:rFonts w:ascii="宋体" w:hAnsi="宋体" w:cs="宋体" w:eastAsia="宋体" w:hint="default"/>
          <w:sz w:val="29"/>
          <w:szCs w:val="29"/>
        </w:rPr>
      </w:pPr>
    </w:p>
    <w:p>
      <w:pPr>
        <w:pStyle w:val="Heading6"/>
        <w:spacing w:line="307" w:lineRule="auto"/>
        <w:ind w:left="120" w:right="211" w:firstLine="419"/>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日公司与广州游爱网络技术有限公司（简称</w:t>
      </w:r>
      <w:r>
        <w:rPr>
          <w:rFonts w:ascii="Times New Roman" w:hAnsi="Times New Roman" w:cs="Times New Roman" w:eastAsia="Times New Roman" w:hint="default"/>
        </w:rPr>
        <w:t>“</w:t>
      </w:r>
      <w:r>
        <w:rPr/>
        <w:t>游爱网络</w:t>
      </w:r>
      <w:r>
        <w:rPr>
          <w:rFonts w:ascii="Times New Roman" w:hAnsi="Times New Roman" w:cs="Times New Roman" w:eastAsia="Times New Roman" w:hint="default"/>
        </w:rPr>
        <w:t>”</w:t>
      </w:r>
      <w:r>
        <w:rPr/>
        <w:t>）股东袁雄</w:t>
      </w:r>
      <w:r>
        <w:rPr>
          <w:spacing w:val="-3"/>
          <w:w w:val="100"/>
        </w:rPr>
        <w:t> </w:t>
      </w:r>
      <w:r>
        <w:rPr>
          <w:spacing w:val="-4"/>
          <w:w w:val="100"/>
        </w:rPr>
        <w:t>贵、李道龙、成仁风、申徐洲、樟树市悦玩投资管理中心（有限合伙）、李冰、新余高新区</w:t>
      </w:r>
      <w:r>
        <w:rPr>
          <w:spacing w:val="-90"/>
          <w:w w:val="100"/>
        </w:rPr>
        <w:t> </w:t>
      </w:r>
      <w:r>
        <w:rPr>
          <w:spacing w:val="-90"/>
          <w:w w:val="100"/>
        </w:rPr>
      </w:r>
      <w:r>
        <w:rPr>
          <w:spacing w:val="-4"/>
          <w:w w:val="100"/>
        </w:rPr>
        <w:t>互兴拾号投资管理中心（有限合伙）、乾亨投资投资管理有限公司、詹庆光、新余高新区和</w:t>
      </w:r>
      <w:r>
        <w:rPr>
          <w:spacing w:val="-91"/>
          <w:w w:val="100"/>
        </w:rPr>
        <w:t> </w:t>
      </w:r>
      <w:r>
        <w:rPr>
          <w:spacing w:val="-91"/>
          <w:w w:val="100"/>
        </w:rPr>
      </w:r>
      <w:r>
        <w:rPr/>
        <w:t>也投资管理中心（有限合伙）和新余高新区青羊投资管理中心（有限合伙）共计</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
        </w:rPr>
        <w:t> </w:t>
      </w:r>
      <w:r>
        <w:rPr/>
        <w:t>名股东</w:t>
      </w:r>
      <w:r>
        <w:rPr>
          <w:w w:val="100"/>
        </w:rPr>
        <w:t> </w:t>
      </w:r>
      <w:r>
        <w:rPr>
          <w:spacing w:val="-4"/>
          <w:w w:val="100"/>
        </w:rPr>
        <w:t>签订《关于天舟文化股份有限公司发行股份及支付现金购买资产框架协议》，公司拟收购上</w:t>
      </w:r>
      <w:r>
        <w:rPr>
          <w:spacing w:val="-91"/>
          <w:w w:val="100"/>
        </w:rPr>
        <w:t> </w:t>
      </w:r>
      <w:r>
        <w:rPr>
          <w:spacing w:val="-91"/>
          <w:w w:val="100"/>
        </w:rPr>
      </w:r>
      <w:r>
        <w:rPr/>
        <w:t>述 </w:t>
      </w:r>
      <w:r>
        <w:rPr>
          <w:rFonts w:ascii="Times New Roman" w:hAnsi="Times New Roman" w:cs="Times New Roman" w:eastAsia="Times New Roman" w:hint="default"/>
          <w:spacing w:val="-4"/>
        </w:rPr>
        <w:t>11 </w:t>
      </w:r>
      <w:r>
        <w:rPr/>
        <w:t>名股东持有游爱网络 </w:t>
      </w:r>
      <w:r>
        <w:rPr>
          <w:rFonts w:ascii="Times New Roman" w:hAnsi="Times New Roman" w:cs="Times New Roman" w:eastAsia="Times New Roman" w:hint="default"/>
        </w:rPr>
        <w:t>100%</w:t>
      </w:r>
      <w:r>
        <w:rPr/>
        <w:t>股权，拟支付收购对价为 </w:t>
      </w:r>
      <w:r>
        <w:rPr>
          <w:rFonts w:ascii="Times New Roman" w:hAnsi="Times New Roman" w:cs="Times New Roman" w:eastAsia="Times New Roman" w:hint="default"/>
        </w:rPr>
        <w:t>162,000</w:t>
      </w:r>
      <w:r>
        <w:rPr>
          <w:rFonts w:ascii="Times New Roman" w:hAnsi="Times New Roman" w:cs="Times New Roman" w:eastAsia="Times New Roman" w:hint="default"/>
          <w:spacing w:val="-4"/>
        </w:rPr>
        <w:t> </w:t>
      </w:r>
      <w:r>
        <w:rPr/>
        <w:t>万元，其中：现金支付</w:t>
      </w:r>
    </w:p>
    <w:p>
      <w:pPr>
        <w:pStyle w:val="Heading6"/>
        <w:spacing w:line="297" w:lineRule="auto" w:before="4"/>
        <w:ind w:left="120" w:right="211"/>
        <w:jc w:val="both"/>
      </w:pPr>
      <w:r>
        <w:rPr>
          <w:rFonts w:ascii="Times New Roman" w:hAnsi="Times New Roman" w:cs="Times New Roman" w:eastAsia="Times New Roman" w:hint="default"/>
        </w:rPr>
        <w:t>53,890.28</w:t>
      </w:r>
      <w:r>
        <w:rPr>
          <w:rFonts w:ascii="Times New Roman" w:hAnsi="Times New Roman" w:cs="Times New Roman" w:eastAsia="Times New Roman" w:hint="default"/>
          <w:spacing w:val="12"/>
        </w:rPr>
        <w:t> </w:t>
      </w:r>
      <w:r>
        <w:rPr/>
        <w:t>万元，发行股份支付</w:t>
      </w:r>
      <w:r>
        <w:rPr>
          <w:spacing w:val="-41"/>
        </w:rPr>
        <w:t> </w:t>
      </w:r>
      <w:r>
        <w:rPr>
          <w:rFonts w:ascii="Times New Roman" w:hAnsi="Times New Roman" w:cs="Times New Roman" w:eastAsia="Times New Roman" w:hint="default"/>
        </w:rPr>
        <w:t>108,109.72</w:t>
      </w:r>
      <w:r>
        <w:rPr>
          <w:rFonts w:ascii="Times New Roman" w:hAnsi="Times New Roman" w:cs="Times New Roman" w:eastAsia="Times New Roman" w:hint="default"/>
          <w:spacing w:val="12"/>
        </w:rPr>
        <w:t> </w:t>
      </w:r>
      <w:r>
        <w:rPr/>
        <w:t>万元。初步确定拟发行股份数量</w:t>
      </w:r>
      <w:r>
        <w:rPr>
          <w:spacing w:val="-41"/>
        </w:rPr>
        <w:t> </w:t>
      </w:r>
      <w:r>
        <w:rPr>
          <w:rFonts w:ascii="Times New Roman" w:hAnsi="Times New Roman" w:cs="Times New Roman" w:eastAsia="Times New Roman" w:hint="default"/>
        </w:rPr>
        <w:t>60,804,114</w:t>
      </w:r>
      <w:r>
        <w:rPr>
          <w:rFonts w:ascii="Times New Roman" w:hAnsi="Times New Roman" w:cs="Times New Roman" w:eastAsia="Times New Roman" w:hint="default"/>
          <w:spacing w:val="10"/>
        </w:rPr>
        <w:t> </w:t>
      </w:r>
      <w:r>
        <w:rPr/>
        <w:t>股，</w:t>
      </w:r>
      <w:r>
        <w:rPr>
          <w:w w:val="100"/>
        </w:rPr>
        <w:t> </w:t>
      </w:r>
      <w:r>
        <w:rPr/>
        <w:t>股票发行价格以不低于定价基准日前二十个交易日股票交易均价的</w:t>
      </w:r>
      <w:r>
        <w:rPr>
          <w:spacing w:val="43"/>
        </w:rPr>
        <w:t> </w:t>
      </w:r>
      <w:r>
        <w:rPr>
          <w:rFonts w:ascii="Times New Roman" w:hAnsi="Times New Roman" w:cs="Times New Roman" w:eastAsia="Times New Roman" w:hint="default"/>
        </w:rPr>
        <w:t>90%</w:t>
      </w:r>
      <w:r>
        <w:rPr/>
        <w:t>为原则，初步确定</w:t>
      </w:r>
      <w:r>
        <w:rPr>
          <w:spacing w:val="-101"/>
        </w:rPr>
        <w:t> </w:t>
      </w:r>
      <w:r>
        <w:rPr>
          <w:spacing w:val="-101"/>
        </w:rPr>
      </w:r>
      <w:r>
        <w:rPr/>
        <w:t>发行价格为</w:t>
      </w:r>
      <w:r>
        <w:rPr>
          <w:spacing w:val="-56"/>
        </w:rPr>
        <w:t> </w:t>
      </w:r>
      <w:r>
        <w:rPr>
          <w:rFonts w:ascii="Times New Roman" w:hAnsi="Times New Roman" w:cs="Times New Roman" w:eastAsia="Times New Roman" w:hint="default"/>
        </w:rPr>
        <w:t>17.78</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股。截至本财务报告披露日该投资项目正在实施过程中。</w:t>
      </w:r>
    </w:p>
    <w:p>
      <w:pPr>
        <w:spacing w:line="240" w:lineRule="auto" w:before="3"/>
        <w:rPr>
          <w:rFonts w:ascii="宋体" w:hAnsi="宋体" w:cs="宋体" w:eastAsia="宋体" w:hint="default"/>
          <w:sz w:val="22"/>
          <w:szCs w:val="22"/>
        </w:rPr>
      </w:pPr>
    </w:p>
    <w:p>
      <w:pPr>
        <w:pStyle w:val="Heading3"/>
        <w:spacing w:line="240" w:lineRule="auto"/>
        <w:ind w:left="602" w:right="0"/>
        <w:jc w:val="left"/>
        <w:rPr>
          <w:rFonts w:ascii="黑体" w:hAnsi="黑体" w:cs="黑体" w:eastAsia="黑体" w:hint="default"/>
          <w:b w:val="0"/>
          <w:bCs w:val="0"/>
        </w:rPr>
      </w:pPr>
      <w:r>
        <w:rPr>
          <w:rFonts w:ascii="Times New Roman" w:hAnsi="Times New Roman" w:cs="Times New Roman" w:eastAsia="Times New Roman" w:hint="default"/>
        </w:rPr>
        <w:t>2</w:t>
      </w:r>
      <w:r>
        <w:rPr>
          <w:rFonts w:ascii="黑体" w:hAnsi="黑体" w:cs="黑体" w:eastAsia="黑体" w:hint="default"/>
        </w:rPr>
        <w:t>、或有事项</w:t>
      </w:r>
      <w:r>
        <w:rPr>
          <w:rFonts w:ascii="黑体" w:hAnsi="黑体" w:cs="黑体" w:eastAsia="黑体" w:hint="default"/>
          <w:b w:val="0"/>
          <w:bCs w:val="0"/>
        </w:rPr>
      </w:r>
    </w:p>
    <w:p>
      <w:pPr>
        <w:spacing w:line="240" w:lineRule="auto" w:before="8"/>
        <w:rPr>
          <w:rFonts w:ascii="黑体" w:hAnsi="黑体" w:cs="黑体" w:eastAsia="黑体" w:hint="default"/>
          <w:b/>
          <w:bCs/>
          <w:sz w:val="28"/>
          <w:szCs w:val="28"/>
        </w:rPr>
      </w:pPr>
    </w:p>
    <w:p>
      <w:pPr>
        <w:pStyle w:val="Heading6"/>
        <w:spacing w:line="240" w:lineRule="auto"/>
        <w:ind w:left="540"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spacing w:val="-3"/>
        </w:rPr>
        <w:t>日公司收到湖南省长沙市芙蓉区人民法院（</w:t>
      </w:r>
      <w:r>
        <w:rPr>
          <w:rFonts w:ascii="Times New Roman" w:hAnsi="Times New Roman" w:cs="Times New Roman" w:eastAsia="Times New Roman" w:hint="default"/>
          <w:spacing w:val="-3"/>
        </w:rPr>
        <w:t>2015</w:t>
      </w:r>
      <w:r>
        <w:rPr>
          <w:spacing w:val="-3"/>
        </w:rPr>
        <w:t>）芙民初字第</w:t>
      </w:r>
      <w:r>
        <w:rPr>
          <w:spacing w:val="-47"/>
        </w:rPr>
        <w:t> </w:t>
      </w:r>
      <w:r>
        <w:rPr>
          <w:rFonts w:ascii="Times New Roman" w:hAnsi="Times New Roman" w:cs="Times New Roman" w:eastAsia="Times New Roman" w:hint="default"/>
        </w:rPr>
        <w:t>7462</w:t>
      </w:r>
      <w:r>
        <w:rPr>
          <w:rFonts w:ascii="Times New Roman" w:hAnsi="Times New Roman" w:cs="Times New Roman" w:eastAsia="Times New Roman" w:hint="default"/>
          <w:spacing w:val="5"/>
        </w:rPr>
        <w:t> </w:t>
      </w:r>
      <w:r>
        <w:rPr/>
        <w:t>号</w:t>
      </w:r>
    </w:p>
    <w:p>
      <w:pPr>
        <w:pStyle w:val="Heading6"/>
        <w:spacing w:line="297" w:lineRule="auto" w:before="69"/>
        <w:ind w:left="120" w:right="106"/>
        <w:jc w:val="left"/>
      </w:pPr>
      <w:r>
        <w:rPr/>
        <w:t>传票、应诉通知书，</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日江苏凤凰美术出版社有限公司（简称</w:t>
      </w:r>
      <w:r>
        <w:rPr>
          <w:rFonts w:ascii="Times New Roman" w:hAnsi="Times New Roman" w:cs="Times New Roman" w:eastAsia="Times New Roman" w:hint="default"/>
        </w:rPr>
        <w:t>“</w:t>
      </w:r>
      <w:r>
        <w:rPr/>
        <w:t>江美出版社</w:t>
      </w:r>
      <w:r>
        <w:rPr>
          <w:rFonts w:ascii="Times New Roman" w:hAnsi="Times New Roman" w:cs="Times New Roman" w:eastAsia="Times New Roman" w:hint="default"/>
        </w:rPr>
        <w:t>“</w:t>
      </w:r>
      <w:r>
        <w:rPr/>
        <w:t>）</w:t>
      </w:r>
      <w:r>
        <w:rPr>
          <w:w w:val="100"/>
        </w:rPr>
        <w:t> </w:t>
      </w:r>
      <w:r>
        <w:rPr>
          <w:spacing w:val="-3"/>
          <w:w w:val="100"/>
        </w:rPr>
        <w:t>以买卖合同纠纷起诉湖南天舟华文俪制传媒有限公司（简称</w:t>
      </w:r>
      <w:r>
        <w:rPr>
          <w:rFonts w:ascii="Times New Roman" w:hAnsi="Times New Roman" w:cs="Times New Roman" w:eastAsia="Times New Roman" w:hint="default"/>
          <w:spacing w:val="-3"/>
          <w:w w:val="100"/>
        </w:rPr>
        <w:t>“</w:t>
      </w:r>
      <w:r>
        <w:rPr>
          <w:spacing w:val="-3"/>
          <w:w w:val="100"/>
        </w:rPr>
        <w:t>华文俪制</w:t>
      </w:r>
      <w:r>
        <w:rPr>
          <w:rFonts w:ascii="Times New Roman" w:hAnsi="Times New Roman" w:cs="Times New Roman" w:eastAsia="Times New Roman" w:hint="default"/>
          <w:spacing w:val="-3"/>
          <w:w w:val="100"/>
        </w:rPr>
        <w:t>”</w:t>
      </w:r>
      <w:r>
        <w:rPr>
          <w:spacing w:val="-3"/>
          <w:w w:val="100"/>
        </w:rPr>
        <w:t>），请求法院支付所</w:t>
      </w:r>
      <w:r>
        <w:rPr>
          <w:spacing w:val="-100"/>
          <w:w w:val="100"/>
        </w:rPr>
        <w:t> </w:t>
      </w:r>
      <w:r>
        <w:rPr>
          <w:spacing w:val="-100"/>
          <w:w w:val="100"/>
        </w:rPr>
      </w:r>
      <w:r>
        <w:rPr/>
        <w:t>欠款项</w:t>
      </w:r>
      <w:r>
        <w:rPr>
          <w:spacing w:val="-54"/>
        </w:rPr>
        <w:t> </w:t>
      </w:r>
      <w:r>
        <w:rPr>
          <w:rFonts w:ascii="Times New Roman" w:hAnsi="Times New Roman" w:cs="Times New Roman" w:eastAsia="Times New Roman" w:hint="default"/>
        </w:rPr>
        <w:t>108.54</w:t>
      </w:r>
      <w:r>
        <w:rPr>
          <w:rFonts w:ascii="Times New Roman" w:hAnsi="Times New Roman" w:cs="Times New Roman" w:eastAsia="Times New Roman" w:hint="default"/>
          <w:spacing w:val="-4"/>
        </w:rPr>
        <w:t> </w:t>
      </w:r>
      <w:r>
        <w:rPr/>
        <w:t>万元及本次诉讼费。</w:t>
      </w:r>
    </w:p>
    <w:p>
      <w:pPr>
        <w:pStyle w:val="Heading6"/>
        <w:spacing w:line="297" w:lineRule="auto" w:before="170"/>
        <w:ind w:left="120" w:right="214" w:firstLine="419"/>
        <w:jc w:val="both"/>
      </w:pPr>
      <w:r>
        <w:rPr>
          <w:w w:val="100"/>
        </w:rPr>
        <w:t>诉讼事由：江美出版社与华文俪制曾就《美绘注音</w:t>
      </w:r>
      <w:r>
        <w:rPr>
          <w:spacing w:val="2"/>
          <w:w w:val="100"/>
        </w:rPr>
        <w:t>本</w:t>
      </w:r>
      <w:r>
        <w:rPr>
          <w:rFonts w:ascii="Times New Roman" w:hAnsi="Times New Roman" w:cs="Times New Roman" w:eastAsia="Times New Roman" w:hint="default"/>
          <w:spacing w:val="-1"/>
          <w:w w:val="100"/>
        </w:rPr>
        <w:t>-</w:t>
      </w:r>
      <w:r>
        <w:rPr>
          <w:w w:val="100"/>
        </w:rPr>
        <w:t>发明故事</w:t>
      </w:r>
      <w:r>
        <w:rPr>
          <w:spacing w:val="-106"/>
          <w:w w:val="100"/>
        </w:rPr>
        <w:t>》、</w:t>
      </w:r>
      <w:r>
        <w:rPr>
          <w:w w:val="100"/>
        </w:rPr>
        <w:t>《赛尔号暗黑黑</w:t>
      </w:r>
      <w:r>
        <w:rPr>
          <w:spacing w:val="2"/>
          <w:w w:val="100"/>
        </w:rPr>
        <w:t>云</w:t>
      </w:r>
      <w:r>
        <w:rPr>
          <w:w w:val="100"/>
        </w:rPr>
        <w:t>系</w:t>
      </w:r>
      <w:r>
        <w:rPr>
          <w:w w:val="100"/>
        </w:rPr>
        <w:t> 列</w:t>
      </w:r>
      <w:r>
        <w:rPr>
          <w:spacing w:val="-34"/>
          <w:w w:val="100"/>
        </w:rPr>
        <w:t>》</w:t>
      </w:r>
      <w:r>
        <w:rPr>
          <w:w w:val="100"/>
        </w:rPr>
        <w:t>等</w:t>
      </w:r>
      <w:r>
        <w:rPr>
          <w:spacing w:val="-3"/>
          <w:w w:val="100"/>
        </w:rPr>
        <w:t>图</w:t>
      </w:r>
      <w:r>
        <w:rPr>
          <w:w w:val="100"/>
        </w:rPr>
        <w:t>书</w:t>
      </w:r>
      <w:r>
        <w:rPr>
          <w:spacing w:val="-3"/>
          <w:w w:val="100"/>
        </w:rPr>
        <w:t>签</w:t>
      </w:r>
      <w:r>
        <w:rPr>
          <w:w w:val="100"/>
        </w:rPr>
        <w:t>订</w:t>
      </w:r>
      <w:r>
        <w:rPr>
          <w:spacing w:val="-34"/>
          <w:w w:val="100"/>
        </w:rPr>
        <w:t>了</w:t>
      </w:r>
      <w:r>
        <w:rPr>
          <w:w w:val="100"/>
        </w:rPr>
        <w:t>《</w:t>
      </w:r>
      <w:r>
        <w:rPr>
          <w:spacing w:val="-3"/>
          <w:w w:val="100"/>
        </w:rPr>
        <w:t>图书</w:t>
      </w:r>
      <w:r>
        <w:rPr>
          <w:w w:val="100"/>
        </w:rPr>
        <w:t>购销</w:t>
      </w:r>
      <w:r>
        <w:rPr>
          <w:spacing w:val="-3"/>
          <w:w w:val="100"/>
        </w:rPr>
        <w:t>合</w:t>
      </w:r>
      <w:r>
        <w:rPr>
          <w:w w:val="100"/>
        </w:rPr>
        <w:t>同</w:t>
      </w:r>
      <w:r>
        <w:rPr>
          <w:spacing w:val="-108"/>
          <w:w w:val="100"/>
        </w:rPr>
        <w:t>》</w:t>
      </w:r>
      <w:r>
        <w:rPr>
          <w:spacing w:val="-32"/>
          <w:w w:val="100"/>
        </w:rPr>
        <w:t>。</w:t>
      </w:r>
      <w:r>
        <w:rPr>
          <w:spacing w:val="-3"/>
          <w:w w:val="100"/>
        </w:rPr>
        <w:t>华</w:t>
      </w:r>
      <w:r>
        <w:rPr>
          <w:w w:val="100"/>
        </w:rPr>
        <w:t>文</w:t>
      </w:r>
      <w:r>
        <w:rPr>
          <w:spacing w:val="-3"/>
          <w:w w:val="100"/>
        </w:rPr>
        <w:t>俪</w:t>
      </w:r>
      <w:r>
        <w:rPr>
          <w:w w:val="100"/>
        </w:rPr>
        <w:t>制于</w:t>
      </w:r>
      <w:r>
        <w:rPr>
          <w:spacing w:val="-55"/>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15</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spacing w:val="-3"/>
          <w:w w:val="100"/>
        </w:rPr>
        <w:t>月</w:t>
      </w:r>
      <w:r>
        <w:rPr>
          <w:w w:val="100"/>
        </w:rPr>
        <w:t>初</w:t>
      </w:r>
      <w:r>
        <w:rPr>
          <w:spacing w:val="-3"/>
          <w:w w:val="100"/>
        </w:rPr>
        <w:t>退</w:t>
      </w:r>
      <w:r>
        <w:rPr>
          <w:w w:val="100"/>
        </w:rPr>
        <w:t>回</w:t>
      </w:r>
      <w:r>
        <w:rPr>
          <w:spacing w:val="-3"/>
          <w:w w:val="100"/>
        </w:rPr>
        <w:t>一</w:t>
      </w:r>
      <w:r>
        <w:rPr>
          <w:w w:val="100"/>
        </w:rPr>
        <w:t>批</w:t>
      </w:r>
      <w:r>
        <w:rPr>
          <w:spacing w:val="-3"/>
          <w:w w:val="100"/>
        </w:rPr>
        <w:t>从江</w:t>
      </w:r>
      <w:r>
        <w:rPr>
          <w:w w:val="100"/>
        </w:rPr>
        <w:t>美出</w:t>
      </w:r>
      <w:r>
        <w:rPr>
          <w:spacing w:val="-3"/>
          <w:w w:val="100"/>
        </w:rPr>
        <w:t>版</w:t>
      </w:r>
      <w:r>
        <w:rPr>
          <w:w w:val="100"/>
        </w:rPr>
        <w:t>社</w:t>
      </w:r>
      <w:r>
        <w:rPr>
          <w:spacing w:val="-3"/>
          <w:w w:val="100"/>
        </w:rPr>
        <w:t>采</w:t>
      </w:r>
      <w:r>
        <w:rPr>
          <w:w w:val="100"/>
        </w:rPr>
        <w:t>购</w:t>
      </w:r>
    </w:p>
    <w:p>
      <w:pPr>
        <w:pStyle w:val="Heading6"/>
        <w:spacing w:line="297" w:lineRule="auto" w:before="13"/>
        <w:ind w:left="120" w:right="205"/>
        <w:jc w:val="left"/>
      </w:pPr>
      <w:r>
        <w:rPr/>
        <w:t>的图书</w:t>
      </w:r>
      <w:r>
        <w:rPr>
          <w:rFonts w:ascii="Times New Roman" w:hAnsi="Times New Roman" w:cs="Times New Roman" w:eastAsia="Times New Roman" w:hint="default"/>
        </w:rPr>
        <w:t>,</w:t>
      </w:r>
      <w:r>
        <w:rPr/>
        <w:t>实洋为</w:t>
      </w:r>
      <w:r>
        <w:rPr>
          <w:spacing w:val="-49"/>
        </w:rPr>
        <w:t> </w:t>
      </w:r>
      <w:r>
        <w:rPr>
          <w:rFonts w:ascii="Times New Roman" w:hAnsi="Times New Roman" w:cs="Times New Roman" w:eastAsia="Times New Roman" w:hint="default"/>
        </w:rPr>
        <w:t>108.12</w:t>
      </w:r>
      <w:r>
        <w:rPr>
          <w:rFonts w:ascii="Times New Roman" w:hAnsi="Times New Roman" w:cs="Times New Roman" w:eastAsia="Times New Roman" w:hint="default"/>
          <w:spacing w:val="2"/>
        </w:rPr>
        <w:t> </w:t>
      </w:r>
      <w:r>
        <w:rPr/>
        <w:t>万元，江美出版社已签收。截至资产负债表日该诉讼事项还未开庭审</w:t>
      </w:r>
      <w:r>
        <w:rPr>
          <w:w w:val="100"/>
        </w:rPr>
        <w:t> </w:t>
      </w:r>
      <w:r>
        <w:rPr/>
        <w:t>理，是否败诉存在重大不确定性，未计提预计负债。</w:t>
      </w:r>
    </w:p>
    <w:p>
      <w:pPr>
        <w:spacing w:line="240" w:lineRule="auto" w:before="11"/>
        <w:rPr>
          <w:rFonts w:ascii="宋体" w:hAnsi="宋体" w:cs="宋体" w:eastAsia="宋体" w:hint="default"/>
          <w:sz w:val="23"/>
          <w:szCs w:val="23"/>
        </w:rPr>
      </w:pPr>
    </w:p>
    <w:p>
      <w:pPr>
        <w:pStyle w:val="Heading3"/>
        <w:spacing w:line="240" w:lineRule="auto"/>
        <w:ind w:left="120" w:right="0"/>
        <w:jc w:val="left"/>
        <w:rPr>
          <w:rFonts w:ascii="黑体" w:hAnsi="黑体" w:cs="黑体" w:eastAsia="黑体" w:hint="default"/>
          <w:b w:val="0"/>
          <w:bCs w:val="0"/>
        </w:rPr>
      </w:pPr>
      <w:r>
        <w:rPr>
          <w:rFonts w:ascii="黑体" w:hAnsi="黑体" w:cs="黑体" w:eastAsia="黑体" w:hint="default"/>
        </w:rPr>
        <w:t>十三、资产负债表日后事项</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240" w:lineRule="auto"/>
        <w:ind w:left="480"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spacing w:val="-39"/>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36"/>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日，本公司第二届董事会第四十五次会议审议通过公司</w:t>
      </w:r>
      <w:r>
        <w:rPr>
          <w:spacing w:val="-3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年度利润分配和资本公积</w:t>
      </w:r>
    </w:p>
    <w:p>
      <w:pPr>
        <w:pStyle w:val="BodyText"/>
        <w:spacing w:line="240" w:lineRule="auto" w:before="111"/>
        <w:ind w:right="0"/>
        <w:jc w:val="left"/>
      </w:pPr>
      <w:r>
        <w:rPr/>
        <w:t>转增股本预案，公司拟以</w:t>
      </w:r>
      <w:r>
        <w:rPr>
          <w:spacing w:val="-3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日的总股本</w:t>
      </w:r>
      <w:r>
        <w:rPr>
          <w:spacing w:val="-42"/>
        </w:rPr>
        <w:t> </w:t>
      </w:r>
      <w:r>
        <w:rPr>
          <w:rFonts w:ascii="Times New Roman" w:hAnsi="Times New Roman" w:cs="Times New Roman" w:eastAsia="Times New Roman" w:hint="default"/>
        </w:rPr>
        <w:t>422,351,509.00</w:t>
      </w:r>
      <w:r>
        <w:rPr>
          <w:rFonts w:ascii="Times New Roman" w:hAnsi="Times New Roman" w:cs="Times New Roman" w:eastAsia="Times New Roman" w:hint="default"/>
          <w:spacing w:val="7"/>
        </w:rPr>
        <w:t> </w:t>
      </w:r>
      <w:r>
        <w:rPr/>
        <w:t>股为基数，向全体股东每</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股派发</w:t>
      </w:r>
    </w:p>
    <w:p>
      <w:pPr>
        <w:pStyle w:val="BodyText"/>
        <w:spacing w:line="345" w:lineRule="auto" w:before="111"/>
        <w:ind w:right="204"/>
        <w:jc w:val="left"/>
      </w:pPr>
      <w:r>
        <w:rPr/>
        <w:t>现金股利</w:t>
      </w:r>
      <w:r>
        <w:rPr>
          <w:spacing w:val="-36"/>
        </w:rPr>
        <w:t> </w:t>
      </w:r>
      <w:r>
        <w:rPr>
          <w:rFonts w:ascii="Times New Roman" w:hAnsi="Times New Roman" w:cs="Times New Roman" w:eastAsia="Times New Roman" w:hint="default"/>
        </w:rPr>
        <w:t>0.40</w:t>
      </w:r>
      <w:r>
        <w:rPr>
          <w:rFonts w:ascii="Times New Roman" w:hAnsi="Times New Roman" w:cs="Times New Roman" w:eastAsia="Times New Roman" w:hint="default"/>
          <w:spacing w:val="11"/>
        </w:rPr>
        <w:t> </w:t>
      </w:r>
      <w:r>
        <w:rPr>
          <w:spacing w:val="-5"/>
        </w:rPr>
        <w:t>元（含税）；同时，拟以资本公积向全体股东每</w:t>
      </w:r>
      <w:r>
        <w:rPr>
          <w:spacing w:val="-35"/>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股转增</w:t>
      </w:r>
      <w:r>
        <w:rPr>
          <w:spacing w:val="-36"/>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股。该分配预案待公司</w:t>
      </w:r>
      <w:r>
        <w:rPr>
          <w:spacing w:val="-3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 度股东大会通过后实施。</w:t>
      </w:r>
    </w:p>
    <w:p>
      <w:pPr>
        <w:spacing w:after="0" w:line="345" w:lineRule="auto"/>
        <w:jc w:val="left"/>
        <w:sectPr>
          <w:pgSz w:w="11910" w:h="16840"/>
          <w:pgMar w:header="0" w:footer="979" w:top="1440" w:bottom="1160" w:left="1680" w:right="1580"/>
        </w:sectPr>
      </w:pPr>
    </w:p>
    <w:p>
      <w:pPr>
        <w:pStyle w:val="BodyText"/>
        <w:spacing w:line="240" w:lineRule="auto" w:before="19"/>
        <w:ind w:left="580" w:right="0"/>
        <w:jc w:val="left"/>
      </w:pPr>
      <w:r>
        <w:rPr/>
        <w:t>除上述事项外，截至本财务报表批准报出日，本公司无应披露的资产负债表日后非调整事项。</w:t>
      </w:r>
    </w:p>
    <w:p>
      <w:pPr>
        <w:spacing w:line="240" w:lineRule="auto" w:before="0"/>
        <w:rPr>
          <w:rFonts w:ascii="宋体" w:hAnsi="宋体" w:cs="宋体" w:eastAsia="宋体" w:hint="default"/>
          <w:sz w:val="18"/>
          <w:szCs w:val="18"/>
        </w:rPr>
      </w:pPr>
    </w:p>
    <w:p>
      <w:pPr>
        <w:pStyle w:val="Heading3"/>
        <w:spacing w:line="240" w:lineRule="auto" w:before="131"/>
        <w:ind w:left="220" w:right="0"/>
        <w:jc w:val="left"/>
        <w:rPr>
          <w:rFonts w:ascii="黑体" w:hAnsi="黑体" w:cs="黑体" w:eastAsia="黑体" w:hint="default"/>
          <w:b w:val="0"/>
          <w:bCs w:val="0"/>
        </w:rPr>
      </w:pPr>
      <w:r>
        <w:rPr>
          <w:rFonts w:ascii="黑体" w:hAnsi="黑体" w:cs="黑体" w:eastAsia="黑体" w:hint="default"/>
        </w:rPr>
        <w:t>十四、分部报告</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240" w:lineRule="auto"/>
        <w:ind w:left="580" w:right="0"/>
        <w:jc w:val="left"/>
      </w:pPr>
      <w:r>
        <w:rPr/>
        <w:t>本公司本期收入及利润根据公司业务情况划分为以下经营分部：</w:t>
      </w:r>
    </w:p>
    <w:p>
      <w:pPr>
        <w:spacing w:line="240" w:lineRule="auto" w:before="5"/>
        <w:rPr>
          <w:rFonts w:ascii="宋体" w:hAnsi="宋体" w:cs="宋体" w:eastAsia="宋体"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3237"/>
        <w:gridCol w:w="1322"/>
        <w:gridCol w:w="1343"/>
        <w:gridCol w:w="1282"/>
        <w:gridCol w:w="1340"/>
      </w:tblGrid>
      <w:tr>
        <w:trPr>
          <w:trHeight w:val="255" w:hRule="exact"/>
        </w:trPr>
        <w:tc>
          <w:tcPr>
            <w:tcW w:w="3237" w:type="dxa"/>
            <w:tcBorders>
              <w:top w:val="nil" w:sz="6" w:space="0" w:color="auto"/>
              <w:left w:val="nil" w:sz="6" w:space="0" w:color="auto"/>
              <w:bottom w:val="single" w:sz="8" w:space="0" w:color="000000"/>
              <w:right w:val="nil" w:sz="6" w:space="0" w:color="auto"/>
            </w:tcBorders>
          </w:tcPr>
          <w:p>
            <w:pPr>
              <w:pStyle w:val="TableParagraph"/>
              <w:spacing w:line="151" w:lineRule="exact"/>
              <w:ind w:left="27"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322" w:type="dxa"/>
            <w:tcBorders>
              <w:top w:val="nil" w:sz="6" w:space="0" w:color="auto"/>
              <w:left w:val="nil" w:sz="6" w:space="0" w:color="auto"/>
              <w:bottom w:val="single" w:sz="8" w:space="0" w:color="000000"/>
              <w:right w:val="nil" w:sz="6" w:space="0" w:color="auto"/>
            </w:tcBorders>
          </w:tcPr>
          <w:p>
            <w:pPr>
              <w:pStyle w:val="TableParagraph"/>
              <w:spacing w:line="151" w:lineRule="exact"/>
              <w:ind w:left="383" w:right="0"/>
              <w:jc w:val="left"/>
              <w:rPr>
                <w:rFonts w:ascii="宋体" w:hAnsi="宋体" w:cs="宋体" w:eastAsia="宋体" w:hint="default"/>
                <w:sz w:val="15"/>
                <w:szCs w:val="15"/>
              </w:rPr>
            </w:pPr>
            <w:r>
              <w:rPr>
                <w:rFonts w:ascii="宋体" w:hAnsi="宋体" w:cs="宋体" w:eastAsia="宋体" w:hint="default"/>
                <w:b/>
                <w:bCs/>
                <w:sz w:val="15"/>
                <w:szCs w:val="15"/>
              </w:rPr>
              <w:t>出版发行</w:t>
            </w:r>
            <w:r>
              <w:rPr>
                <w:rFonts w:ascii="宋体" w:hAnsi="宋体" w:cs="宋体" w:eastAsia="宋体" w:hint="default"/>
                <w:sz w:val="15"/>
                <w:szCs w:val="15"/>
              </w:rPr>
            </w:r>
          </w:p>
        </w:tc>
        <w:tc>
          <w:tcPr>
            <w:tcW w:w="1343" w:type="dxa"/>
            <w:tcBorders>
              <w:top w:val="nil" w:sz="6" w:space="0" w:color="auto"/>
              <w:left w:val="nil" w:sz="6" w:space="0" w:color="auto"/>
              <w:bottom w:val="single" w:sz="8" w:space="0" w:color="000000"/>
              <w:right w:val="nil" w:sz="6" w:space="0" w:color="auto"/>
            </w:tcBorders>
          </w:tcPr>
          <w:p>
            <w:pPr>
              <w:pStyle w:val="TableParagraph"/>
              <w:spacing w:line="151" w:lineRule="exact"/>
              <w:ind w:left="376" w:right="0"/>
              <w:jc w:val="left"/>
              <w:rPr>
                <w:rFonts w:ascii="宋体" w:hAnsi="宋体" w:cs="宋体" w:eastAsia="宋体" w:hint="default"/>
                <w:sz w:val="15"/>
                <w:szCs w:val="15"/>
              </w:rPr>
            </w:pPr>
            <w:r>
              <w:rPr>
                <w:rFonts w:ascii="宋体" w:hAnsi="宋体" w:cs="宋体" w:eastAsia="宋体" w:hint="default"/>
                <w:b/>
                <w:bCs/>
                <w:sz w:val="15"/>
                <w:szCs w:val="15"/>
              </w:rPr>
              <w:t>网络游戏</w:t>
            </w:r>
            <w:r>
              <w:rPr>
                <w:rFonts w:ascii="宋体" w:hAnsi="宋体" w:cs="宋体" w:eastAsia="宋体" w:hint="default"/>
                <w:sz w:val="15"/>
                <w:szCs w:val="15"/>
              </w:rPr>
            </w:r>
          </w:p>
        </w:tc>
        <w:tc>
          <w:tcPr>
            <w:tcW w:w="1282" w:type="dxa"/>
            <w:tcBorders>
              <w:top w:val="nil" w:sz="6" w:space="0" w:color="auto"/>
              <w:left w:val="nil" w:sz="6" w:space="0" w:color="auto"/>
              <w:bottom w:val="single" w:sz="8" w:space="0" w:color="000000"/>
              <w:right w:val="nil" w:sz="6" w:space="0" w:color="auto"/>
            </w:tcBorders>
          </w:tcPr>
          <w:p>
            <w:pPr>
              <w:pStyle w:val="TableParagraph"/>
              <w:spacing w:line="151" w:lineRule="exact"/>
              <w:ind w:left="20" w:right="0"/>
              <w:jc w:val="center"/>
              <w:rPr>
                <w:rFonts w:ascii="宋体" w:hAnsi="宋体" w:cs="宋体" w:eastAsia="宋体" w:hint="default"/>
                <w:sz w:val="15"/>
                <w:szCs w:val="15"/>
              </w:rPr>
            </w:pPr>
            <w:r>
              <w:rPr>
                <w:rFonts w:ascii="宋体" w:hAnsi="宋体" w:cs="宋体" w:eastAsia="宋体" w:hint="default"/>
                <w:b/>
                <w:bCs/>
                <w:sz w:val="15"/>
                <w:szCs w:val="15"/>
              </w:rPr>
              <w:t>抵销</w:t>
            </w:r>
            <w:r>
              <w:rPr>
                <w:rFonts w:ascii="宋体" w:hAnsi="宋体" w:cs="宋体" w:eastAsia="宋体" w:hint="default"/>
                <w:sz w:val="15"/>
                <w:szCs w:val="15"/>
              </w:rPr>
            </w:r>
          </w:p>
        </w:tc>
        <w:tc>
          <w:tcPr>
            <w:tcW w:w="1340" w:type="dxa"/>
            <w:tcBorders>
              <w:top w:val="nil" w:sz="6" w:space="0" w:color="auto"/>
              <w:left w:val="nil" w:sz="6" w:space="0" w:color="auto"/>
              <w:bottom w:val="single" w:sz="8" w:space="0" w:color="000000"/>
              <w:right w:val="nil" w:sz="6" w:space="0" w:color="auto"/>
            </w:tcBorders>
          </w:tcPr>
          <w:p>
            <w:pPr>
              <w:pStyle w:val="TableParagraph"/>
              <w:spacing w:line="151" w:lineRule="exact"/>
              <w:ind w:left="25"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r>
      <w:tr>
        <w:trPr>
          <w:trHeight w:val="417" w:hRule="exact"/>
        </w:trPr>
        <w:tc>
          <w:tcPr>
            <w:tcW w:w="3237" w:type="dxa"/>
            <w:tcBorders>
              <w:top w:val="single" w:sz="8" w:space="0" w:color="000000"/>
              <w:left w:val="nil" w:sz="6" w:space="0" w:color="auto"/>
              <w:bottom w:val="nil" w:sz="6" w:space="0" w:color="auto"/>
              <w:right w:val="nil" w:sz="6" w:space="0" w:color="auto"/>
            </w:tcBorders>
          </w:tcPr>
          <w:p>
            <w:pPr>
              <w:pStyle w:val="TableParagraph"/>
              <w:spacing w:line="240" w:lineRule="auto" w:before="110"/>
              <w:ind w:left="108" w:right="0"/>
              <w:jc w:val="left"/>
              <w:rPr>
                <w:rFonts w:ascii="宋体" w:hAnsi="宋体" w:cs="宋体" w:eastAsia="宋体" w:hint="default"/>
                <w:sz w:val="15"/>
                <w:szCs w:val="15"/>
              </w:rPr>
            </w:pPr>
            <w:r>
              <w:rPr>
                <w:rFonts w:ascii="宋体" w:hAnsi="宋体" w:cs="宋体" w:eastAsia="宋体" w:hint="default"/>
                <w:sz w:val="15"/>
                <w:szCs w:val="15"/>
              </w:rPr>
              <w:t>一、营业收入</w:t>
            </w:r>
          </w:p>
        </w:tc>
        <w:tc>
          <w:tcPr>
            <w:tcW w:w="1322" w:type="dxa"/>
            <w:tcBorders>
              <w:top w:val="single" w:sz="8" w:space="0" w:color="000000"/>
              <w:left w:val="nil" w:sz="6" w:space="0" w:color="auto"/>
              <w:bottom w:val="nil" w:sz="6" w:space="0" w:color="auto"/>
              <w:right w:val="nil" w:sz="6" w:space="0" w:color="auto"/>
            </w:tcBorders>
          </w:tcPr>
          <w:p>
            <w:pPr>
              <w:pStyle w:val="TableParagraph"/>
              <w:spacing w:line="240" w:lineRule="auto" w:before="88"/>
              <w:ind w:right="132"/>
              <w:jc w:val="right"/>
              <w:rPr>
                <w:rFonts w:ascii="Times New Roman" w:hAnsi="Times New Roman" w:cs="Times New Roman" w:eastAsia="Times New Roman" w:hint="default"/>
                <w:sz w:val="15"/>
                <w:szCs w:val="15"/>
              </w:rPr>
            </w:pPr>
            <w:r>
              <w:rPr>
                <w:rFonts w:ascii="Times New Roman"/>
                <w:spacing w:val="-1"/>
                <w:sz w:val="15"/>
              </w:rPr>
              <w:t>293,117,550.87</w:t>
            </w:r>
          </w:p>
        </w:tc>
        <w:tc>
          <w:tcPr>
            <w:tcW w:w="1343" w:type="dxa"/>
            <w:tcBorders>
              <w:top w:val="single" w:sz="8" w:space="0" w:color="000000"/>
              <w:left w:val="nil" w:sz="6" w:space="0" w:color="auto"/>
              <w:bottom w:val="nil" w:sz="6" w:space="0" w:color="auto"/>
              <w:right w:val="nil" w:sz="6" w:space="0" w:color="auto"/>
            </w:tcBorders>
          </w:tcPr>
          <w:p>
            <w:pPr>
              <w:pStyle w:val="TableParagraph"/>
              <w:spacing w:line="240" w:lineRule="auto" w:before="88"/>
              <w:ind w:right="162"/>
              <w:jc w:val="right"/>
              <w:rPr>
                <w:rFonts w:ascii="Times New Roman" w:hAnsi="Times New Roman" w:cs="Times New Roman" w:eastAsia="Times New Roman" w:hint="default"/>
                <w:sz w:val="15"/>
                <w:szCs w:val="15"/>
              </w:rPr>
            </w:pPr>
            <w:r>
              <w:rPr>
                <w:rFonts w:ascii="Times New Roman"/>
                <w:spacing w:val="-1"/>
                <w:sz w:val="15"/>
              </w:rPr>
              <w:t>251,164,979.30</w:t>
            </w:r>
          </w:p>
        </w:tc>
        <w:tc>
          <w:tcPr>
            <w:tcW w:w="1282" w:type="dxa"/>
            <w:tcBorders>
              <w:top w:val="single" w:sz="8" w:space="0" w:color="000000"/>
              <w:left w:val="nil" w:sz="6" w:space="0" w:color="auto"/>
              <w:bottom w:val="nil" w:sz="6" w:space="0" w:color="auto"/>
              <w:right w:val="nil" w:sz="6" w:space="0" w:color="auto"/>
            </w:tcBorders>
          </w:tcPr>
          <w:p>
            <w:pPr/>
          </w:p>
        </w:tc>
        <w:tc>
          <w:tcPr>
            <w:tcW w:w="1340" w:type="dxa"/>
            <w:tcBorders>
              <w:top w:val="single" w:sz="8" w:space="0" w:color="000000"/>
              <w:left w:val="nil" w:sz="6" w:space="0" w:color="auto"/>
              <w:bottom w:val="nil" w:sz="6" w:space="0" w:color="auto"/>
              <w:right w:val="nil" w:sz="6" w:space="0" w:color="auto"/>
            </w:tcBorders>
          </w:tcPr>
          <w:p>
            <w:pPr>
              <w:pStyle w:val="TableParagraph"/>
              <w:spacing w:line="240" w:lineRule="auto" w:before="88"/>
              <w:ind w:right="157"/>
              <w:jc w:val="right"/>
              <w:rPr>
                <w:rFonts w:ascii="Times New Roman" w:hAnsi="Times New Roman" w:cs="Times New Roman" w:eastAsia="Times New Roman" w:hint="default"/>
                <w:sz w:val="15"/>
                <w:szCs w:val="15"/>
              </w:rPr>
            </w:pPr>
            <w:r>
              <w:rPr>
                <w:rFonts w:ascii="Times New Roman"/>
                <w:spacing w:val="-1"/>
                <w:sz w:val="15"/>
              </w:rPr>
              <w:t>544,282,530.17</w:t>
            </w:r>
          </w:p>
        </w:tc>
      </w:tr>
      <w:tr>
        <w:trPr>
          <w:trHeight w:val="42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8" w:right="0"/>
              <w:jc w:val="left"/>
              <w:rPr>
                <w:rFonts w:ascii="宋体" w:hAnsi="宋体" w:cs="宋体" w:eastAsia="宋体" w:hint="default"/>
                <w:sz w:val="15"/>
                <w:szCs w:val="15"/>
              </w:rPr>
            </w:pPr>
            <w:r>
              <w:rPr>
                <w:rFonts w:ascii="宋体" w:hAnsi="宋体" w:cs="宋体" w:eastAsia="宋体" w:hint="default"/>
                <w:sz w:val="15"/>
                <w:szCs w:val="15"/>
              </w:rPr>
              <w:t>其中：对外交易收入</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2"/>
              <w:jc w:val="right"/>
              <w:rPr>
                <w:rFonts w:ascii="Times New Roman" w:hAnsi="Times New Roman" w:cs="Times New Roman" w:eastAsia="Times New Roman" w:hint="default"/>
                <w:sz w:val="15"/>
                <w:szCs w:val="15"/>
              </w:rPr>
            </w:pPr>
            <w:r>
              <w:rPr>
                <w:rFonts w:ascii="Times New Roman"/>
                <w:spacing w:val="-1"/>
                <w:sz w:val="15"/>
              </w:rPr>
              <w:t>293,117,550.87</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2"/>
              <w:jc w:val="right"/>
              <w:rPr>
                <w:rFonts w:ascii="Times New Roman" w:hAnsi="Times New Roman" w:cs="Times New Roman" w:eastAsia="Times New Roman" w:hint="default"/>
                <w:sz w:val="15"/>
                <w:szCs w:val="15"/>
              </w:rPr>
            </w:pPr>
            <w:r>
              <w:rPr>
                <w:rFonts w:ascii="Times New Roman"/>
                <w:spacing w:val="-1"/>
                <w:sz w:val="15"/>
              </w:rPr>
              <w:t>251,164,979.30</w:t>
            </w:r>
          </w:p>
        </w:tc>
        <w:tc>
          <w:tcPr>
            <w:tcW w:w="1282"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7"/>
              <w:jc w:val="right"/>
              <w:rPr>
                <w:rFonts w:ascii="Times New Roman" w:hAnsi="Times New Roman" w:cs="Times New Roman" w:eastAsia="Times New Roman" w:hint="default"/>
                <w:sz w:val="15"/>
                <w:szCs w:val="15"/>
              </w:rPr>
            </w:pPr>
            <w:r>
              <w:rPr>
                <w:rFonts w:ascii="Times New Roman"/>
                <w:spacing w:val="-1"/>
                <w:sz w:val="15"/>
              </w:rPr>
              <w:t>544,282,530.17</w:t>
            </w:r>
          </w:p>
        </w:tc>
      </w:tr>
      <w:tr>
        <w:trPr>
          <w:trHeight w:val="375"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8" w:right="0"/>
              <w:jc w:val="left"/>
              <w:rPr>
                <w:rFonts w:ascii="宋体" w:hAnsi="宋体" w:cs="宋体" w:eastAsia="宋体" w:hint="default"/>
                <w:sz w:val="15"/>
                <w:szCs w:val="15"/>
              </w:rPr>
            </w:pPr>
            <w:r>
              <w:rPr>
                <w:rFonts w:ascii="宋体" w:hAnsi="宋体" w:cs="宋体" w:eastAsia="宋体" w:hint="default"/>
                <w:sz w:val="15"/>
                <w:szCs w:val="15"/>
              </w:rPr>
              <w:t>分部间交易收入</w:t>
            </w:r>
          </w:p>
        </w:tc>
        <w:tc>
          <w:tcPr>
            <w:tcW w:w="1322"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r>
      <w:tr>
        <w:trPr>
          <w:trHeight w:val="401"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8" w:right="0"/>
              <w:jc w:val="left"/>
              <w:rPr>
                <w:rFonts w:ascii="宋体" w:hAnsi="宋体" w:cs="宋体" w:eastAsia="宋体" w:hint="default"/>
                <w:sz w:val="15"/>
                <w:szCs w:val="15"/>
              </w:rPr>
            </w:pPr>
            <w:r>
              <w:rPr>
                <w:rFonts w:ascii="宋体" w:hAnsi="宋体" w:cs="宋体" w:eastAsia="宋体" w:hint="default"/>
                <w:sz w:val="15"/>
                <w:szCs w:val="15"/>
              </w:rPr>
              <w:t>二、对联营和合营企业的投资收益</w:t>
            </w:r>
          </w:p>
        </w:tc>
        <w:tc>
          <w:tcPr>
            <w:tcW w:w="1322"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2"/>
              <w:jc w:val="right"/>
              <w:rPr>
                <w:rFonts w:ascii="Times New Roman" w:hAnsi="Times New Roman" w:cs="Times New Roman" w:eastAsia="Times New Roman" w:hint="default"/>
                <w:sz w:val="15"/>
                <w:szCs w:val="15"/>
              </w:rPr>
            </w:pPr>
            <w:r>
              <w:rPr>
                <w:rFonts w:ascii="Times New Roman"/>
                <w:spacing w:val="-1"/>
                <w:sz w:val="15"/>
              </w:rPr>
              <w:t>-124,848.83</w:t>
            </w:r>
          </w:p>
        </w:tc>
        <w:tc>
          <w:tcPr>
            <w:tcW w:w="1282"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5"/>
              <w:jc w:val="right"/>
              <w:rPr>
                <w:rFonts w:ascii="Times New Roman" w:hAnsi="Times New Roman" w:cs="Times New Roman" w:eastAsia="Times New Roman" w:hint="default"/>
                <w:sz w:val="15"/>
                <w:szCs w:val="15"/>
              </w:rPr>
            </w:pPr>
            <w:r>
              <w:rPr>
                <w:rFonts w:ascii="Times New Roman"/>
                <w:spacing w:val="-1"/>
                <w:sz w:val="15"/>
              </w:rPr>
              <w:t>-124,848.83</w:t>
            </w:r>
          </w:p>
        </w:tc>
      </w:tr>
      <w:tr>
        <w:trPr>
          <w:trHeight w:val="400"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8" w:right="0"/>
              <w:jc w:val="left"/>
              <w:rPr>
                <w:rFonts w:ascii="宋体" w:hAnsi="宋体" w:cs="宋体" w:eastAsia="宋体" w:hint="default"/>
                <w:sz w:val="15"/>
                <w:szCs w:val="15"/>
              </w:rPr>
            </w:pPr>
            <w:r>
              <w:rPr>
                <w:rFonts w:ascii="宋体" w:hAnsi="宋体" w:cs="宋体" w:eastAsia="宋体" w:hint="default"/>
                <w:sz w:val="15"/>
                <w:szCs w:val="15"/>
              </w:rPr>
              <w:t>三、资产减值损失</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2"/>
              <w:jc w:val="right"/>
              <w:rPr>
                <w:rFonts w:ascii="Times New Roman" w:hAnsi="Times New Roman" w:cs="Times New Roman" w:eastAsia="Times New Roman" w:hint="default"/>
                <w:sz w:val="15"/>
                <w:szCs w:val="15"/>
              </w:rPr>
            </w:pPr>
            <w:r>
              <w:rPr>
                <w:rFonts w:ascii="Times New Roman"/>
                <w:spacing w:val="-1"/>
                <w:sz w:val="15"/>
              </w:rPr>
              <w:t>17,307,247.54</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2"/>
              <w:jc w:val="right"/>
              <w:rPr>
                <w:rFonts w:ascii="Times New Roman" w:hAnsi="Times New Roman" w:cs="Times New Roman" w:eastAsia="Times New Roman" w:hint="default"/>
                <w:sz w:val="15"/>
                <w:szCs w:val="15"/>
              </w:rPr>
            </w:pPr>
            <w:r>
              <w:rPr>
                <w:rFonts w:ascii="Times New Roman"/>
                <w:spacing w:val="-1"/>
                <w:sz w:val="15"/>
              </w:rPr>
              <w:t>286,428.89</w:t>
            </w:r>
          </w:p>
        </w:tc>
        <w:tc>
          <w:tcPr>
            <w:tcW w:w="1282"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5"/>
              <w:jc w:val="right"/>
              <w:rPr>
                <w:rFonts w:ascii="Times New Roman" w:hAnsi="Times New Roman" w:cs="Times New Roman" w:eastAsia="Times New Roman" w:hint="default"/>
                <w:sz w:val="15"/>
                <w:szCs w:val="15"/>
              </w:rPr>
            </w:pPr>
            <w:r>
              <w:rPr>
                <w:rFonts w:ascii="Times New Roman"/>
                <w:spacing w:val="-1"/>
                <w:sz w:val="15"/>
              </w:rPr>
              <w:t>17,593,676.43</w:t>
            </w:r>
          </w:p>
        </w:tc>
      </w:tr>
      <w:tr>
        <w:trPr>
          <w:trHeight w:val="400"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15"/>
                <w:szCs w:val="15"/>
              </w:rPr>
            </w:pPr>
            <w:r>
              <w:rPr>
                <w:rFonts w:ascii="宋体" w:hAnsi="宋体" w:cs="宋体" w:eastAsia="宋体" w:hint="default"/>
                <w:sz w:val="15"/>
                <w:szCs w:val="15"/>
              </w:rPr>
              <w:t>四、折旧费和摊销费</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32"/>
              <w:jc w:val="right"/>
              <w:rPr>
                <w:rFonts w:ascii="Times New Roman" w:hAnsi="Times New Roman" w:cs="Times New Roman" w:eastAsia="Times New Roman" w:hint="default"/>
                <w:sz w:val="15"/>
                <w:szCs w:val="15"/>
              </w:rPr>
            </w:pPr>
            <w:r>
              <w:rPr>
                <w:rFonts w:ascii="Times New Roman"/>
                <w:spacing w:val="-1"/>
                <w:sz w:val="15"/>
              </w:rPr>
              <w:t>3,232,089.60</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2"/>
              <w:jc w:val="right"/>
              <w:rPr>
                <w:rFonts w:ascii="Times New Roman" w:hAnsi="Times New Roman" w:cs="Times New Roman" w:eastAsia="Times New Roman" w:hint="default"/>
                <w:sz w:val="15"/>
                <w:szCs w:val="15"/>
              </w:rPr>
            </w:pPr>
            <w:r>
              <w:rPr>
                <w:rFonts w:ascii="Times New Roman"/>
                <w:spacing w:val="-1"/>
                <w:sz w:val="15"/>
              </w:rPr>
              <w:t>4,285,334.17</w:t>
            </w:r>
          </w:p>
        </w:tc>
        <w:tc>
          <w:tcPr>
            <w:tcW w:w="1282"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55"/>
              <w:jc w:val="right"/>
              <w:rPr>
                <w:rFonts w:ascii="Times New Roman" w:hAnsi="Times New Roman" w:cs="Times New Roman" w:eastAsia="Times New Roman" w:hint="default"/>
                <w:sz w:val="15"/>
                <w:szCs w:val="15"/>
              </w:rPr>
            </w:pPr>
            <w:r>
              <w:rPr>
                <w:rFonts w:ascii="Times New Roman"/>
                <w:spacing w:val="-1"/>
                <w:sz w:val="15"/>
              </w:rPr>
              <w:t>7,517,423.77</w:t>
            </w:r>
          </w:p>
        </w:tc>
      </w:tr>
      <w:tr>
        <w:trPr>
          <w:trHeight w:val="401"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8" w:right="0"/>
              <w:jc w:val="left"/>
              <w:rPr>
                <w:rFonts w:ascii="宋体" w:hAnsi="宋体" w:cs="宋体" w:eastAsia="宋体" w:hint="default"/>
                <w:sz w:val="15"/>
                <w:szCs w:val="15"/>
              </w:rPr>
            </w:pPr>
            <w:r>
              <w:rPr>
                <w:rFonts w:ascii="宋体" w:hAnsi="宋体" w:cs="宋体" w:eastAsia="宋体" w:hint="default"/>
                <w:sz w:val="15"/>
                <w:szCs w:val="15"/>
              </w:rPr>
              <w:t>五、利润总额（亏损总额）</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2"/>
              <w:jc w:val="right"/>
              <w:rPr>
                <w:rFonts w:ascii="Times New Roman" w:hAnsi="Times New Roman" w:cs="Times New Roman" w:eastAsia="Times New Roman" w:hint="default"/>
                <w:sz w:val="15"/>
                <w:szCs w:val="15"/>
              </w:rPr>
            </w:pPr>
            <w:r>
              <w:rPr>
                <w:rFonts w:ascii="Times New Roman"/>
                <w:spacing w:val="-1"/>
                <w:sz w:val="15"/>
              </w:rPr>
              <w:t>40,411,274.71</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2"/>
              <w:jc w:val="right"/>
              <w:rPr>
                <w:rFonts w:ascii="Times New Roman" w:hAnsi="Times New Roman" w:cs="Times New Roman" w:eastAsia="Times New Roman" w:hint="default"/>
                <w:sz w:val="15"/>
                <w:szCs w:val="15"/>
              </w:rPr>
            </w:pPr>
            <w:r>
              <w:rPr>
                <w:rFonts w:ascii="Times New Roman"/>
                <w:spacing w:val="-1"/>
                <w:sz w:val="15"/>
              </w:rPr>
              <w:t>180,918,156.42</w:t>
            </w:r>
          </w:p>
        </w:tc>
        <w:tc>
          <w:tcPr>
            <w:tcW w:w="1282"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7"/>
              <w:jc w:val="right"/>
              <w:rPr>
                <w:rFonts w:ascii="Times New Roman" w:hAnsi="Times New Roman" w:cs="Times New Roman" w:eastAsia="Times New Roman" w:hint="default"/>
                <w:sz w:val="15"/>
                <w:szCs w:val="15"/>
              </w:rPr>
            </w:pPr>
            <w:r>
              <w:rPr>
                <w:rFonts w:ascii="Times New Roman"/>
                <w:spacing w:val="-1"/>
                <w:sz w:val="15"/>
              </w:rPr>
              <w:t>221,329,431.13</w:t>
            </w:r>
          </w:p>
        </w:tc>
      </w:tr>
      <w:tr>
        <w:trPr>
          <w:trHeight w:val="400"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8" w:right="0"/>
              <w:jc w:val="left"/>
              <w:rPr>
                <w:rFonts w:ascii="宋体" w:hAnsi="宋体" w:cs="宋体" w:eastAsia="宋体" w:hint="default"/>
                <w:sz w:val="15"/>
                <w:szCs w:val="15"/>
              </w:rPr>
            </w:pPr>
            <w:r>
              <w:rPr>
                <w:rFonts w:ascii="宋体" w:hAnsi="宋体" w:cs="宋体" w:eastAsia="宋体" w:hint="default"/>
                <w:sz w:val="15"/>
                <w:szCs w:val="15"/>
              </w:rPr>
              <w:t>六、所得税费用</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2"/>
              <w:jc w:val="right"/>
              <w:rPr>
                <w:rFonts w:ascii="Times New Roman" w:hAnsi="Times New Roman" w:cs="Times New Roman" w:eastAsia="Times New Roman" w:hint="default"/>
                <w:sz w:val="15"/>
                <w:szCs w:val="15"/>
              </w:rPr>
            </w:pPr>
            <w:r>
              <w:rPr>
                <w:rFonts w:ascii="Times New Roman"/>
                <w:spacing w:val="-1"/>
                <w:sz w:val="15"/>
              </w:rPr>
              <w:t>17,041,110.67</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2"/>
              <w:jc w:val="right"/>
              <w:rPr>
                <w:rFonts w:ascii="Times New Roman" w:hAnsi="Times New Roman" w:cs="Times New Roman" w:eastAsia="Times New Roman" w:hint="default"/>
                <w:sz w:val="15"/>
                <w:szCs w:val="15"/>
              </w:rPr>
            </w:pPr>
            <w:r>
              <w:rPr>
                <w:rFonts w:ascii="Times New Roman"/>
                <w:spacing w:val="-1"/>
                <w:sz w:val="15"/>
              </w:rPr>
              <w:t>27,290,961.75</w:t>
            </w:r>
          </w:p>
        </w:tc>
        <w:tc>
          <w:tcPr>
            <w:tcW w:w="1282"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5"/>
              <w:jc w:val="right"/>
              <w:rPr>
                <w:rFonts w:ascii="Times New Roman" w:hAnsi="Times New Roman" w:cs="Times New Roman" w:eastAsia="Times New Roman" w:hint="default"/>
                <w:sz w:val="15"/>
                <w:szCs w:val="15"/>
              </w:rPr>
            </w:pPr>
            <w:r>
              <w:rPr>
                <w:rFonts w:ascii="Times New Roman"/>
                <w:spacing w:val="-1"/>
                <w:sz w:val="15"/>
              </w:rPr>
              <w:t>44,332,072.42</w:t>
            </w:r>
          </w:p>
        </w:tc>
      </w:tr>
      <w:tr>
        <w:trPr>
          <w:trHeight w:val="400"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15"/>
                <w:szCs w:val="15"/>
              </w:rPr>
            </w:pPr>
            <w:r>
              <w:rPr>
                <w:rFonts w:ascii="宋体" w:hAnsi="宋体" w:cs="宋体" w:eastAsia="宋体" w:hint="default"/>
                <w:sz w:val="15"/>
                <w:szCs w:val="15"/>
              </w:rPr>
              <w:t>七、净利润（净亏损）</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32"/>
              <w:jc w:val="right"/>
              <w:rPr>
                <w:rFonts w:ascii="Times New Roman" w:hAnsi="Times New Roman" w:cs="Times New Roman" w:eastAsia="Times New Roman" w:hint="default"/>
                <w:sz w:val="15"/>
                <w:szCs w:val="15"/>
              </w:rPr>
            </w:pPr>
            <w:r>
              <w:rPr>
                <w:rFonts w:ascii="Times New Roman"/>
                <w:spacing w:val="-1"/>
                <w:sz w:val="15"/>
              </w:rPr>
              <w:t>23,370,164.04</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2"/>
              <w:jc w:val="right"/>
              <w:rPr>
                <w:rFonts w:ascii="Times New Roman" w:hAnsi="Times New Roman" w:cs="Times New Roman" w:eastAsia="Times New Roman" w:hint="default"/>
                <w:sz w:val="15"/>
                <w:szCs w:val="15"/>
              </w:rPr>
            </w:pPr>
            <w:r>
              <w:rPr>
                <w:rFonts w:ascii="Times New Roman"/>
                <w:spacing w:val="-1"/>
                <w:sz w:val="15"/>
              </w:rPr>
              <w:t>153,627,194.67</w:t>
            </w:r>
          </w:p>
        </w:tc>
        <w:tc>
          <w:tcPr>
            <w:tcW w:w="1282"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57"/>
              <w:jc w:val="right"/>
              <w:rPr>
                <w:rFonts w:ascii="Times New Roman" w:hAnsi="Times New Roman" w:cs="Times New Roman" w:eastAsia="Times New Roman" w:hint="default"/>
                <w:sz w:val="15"/>
                <w:szCs w:val="15"/>
              </w:rPr>
            </w:pPr>
            <w:r>
              <w:rPr>
                <w:rFonts w:ascii="Times New Roman"/>
                <w:spacing w:val="-1"/>
                <w:sz w:val="15"/>
              </w:rPr>
              <w:t>176,997,358.71</w:t>
            </w:r>
          </w:p>
        </w:tc>
      </w:tr>
      <w:tr>
        <w:trPr>
          <w:trHeight w:val="401"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8" w:right="0"/>
              <w:jc w:val="left"/>
              <w:rPr>
                <w:rFonts w:ascii="宋体" w:hAnsi="宋体" w:cs="宋体" w:eastAsia="宋体" w:hint="default"/>
                <w:sz w:val="15"/>
                <w:szCs w:val="15"/>
              </w:rPr>
            </w:pPr>
            <w:r>
              <w:rPr>
                <w:rFonts w:ascii="宋体" w:hAnsi="宋体" w:cs="宋体" w:eastAsia="宋体" w:hint="default"/>
                <w:sz w:val="15"/>
                <w:szCs w:val="15"/>
              </w:rPr>
              <w:t>八、资产总额</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2"/>
              <w:jc w:val="right"/>
              <w:rPr>
                <w:rFonts w:ascii="Times New Roman" w:hAnsi="Times New Roman" w:cs="Times New Roman" w:eastAsia="Times New Roman" w:hint="default"/>
                <w:sz w:val="15"/>
                <w:szCs w:val="15"/>
              </w:rPr>
            </w:pPr>
            <w:r>
              <w:rPr>
                <w:rFonts w:ascii="Times New Roman"/>
                <w:spacing w:val="-1"/>
                <w:sz w:val="15"/>
              </w:rPr>
              <w:t>766,272,450.43</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2"/>
              <w:jc w:val="right"/>
              <w:rPr>
                <w:rFonts w:ascii="Times New Roman" w:hAnsi="Times New Roman" w:cs="Times New Roman" w:eastAsia="Times New Roman" w:hint="default"/>
                <w:sz w:val="15"/>
                <w:szCs w:val="15"/>
              </w:rPr>
            </w:pPr>
            <w:r>
              <w:rPr>
                <w:rFonts w:ascii="Times New Roman"/>
                <w:spacing w:val="-2"/>
                <w:sz w:val="15"/>
              </w:rPr>
              <w:t>1,519,711,142.89</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3" w:right="0"/>
              <w:jc w:val="center"/>
              <w:rPr>
                <w:rFonts w:ascii="Times New Roman" w:hAnsi="Times New Roman" w:cs="Times New Roman" w:eastAsia="Times New Roman" w:hint="default"/>
                <w:sz w:val="15"/>
                <w:szCs w:val="15"/>
              </w:rPr>
            </w:pPr>
            <w:r>
              <w:rPr>
                <w:rFonts w:ascii="Times New Roman"/>
                <w:sz w:val="15"/>
              </w:rPr>
              <w:t>-200,196,761.91</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6"/>
              <w:jc w:val="right"/>
              <w:rPr>
                <w:rFonts w:ascii="Times New Roman" w:hAnsi="Times New Roman" w:cs="Times New Roman" w:eastAsia="Times New Roman" w:hint="default"/>
                <w:sz w:val="15"/>
                <w:szCs w:val="15"/>
              </w:rPr>
            </w:pPr>
            <w:r>
              <w:rPr>
                <w:rFonts w:ascii="Times New Roman"/>
                <w:spacing w:val="-1"/>
                <w:sz w:val="15"/>
              </w:rPr>
              <w:t>2,085,786,831.41</w:t>
            </w:r>
          </w:p>
        </w:tc>
      </w:tr>
      <w:tr>
        <w:trPr>
          <w:trHeight w:val="42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8" w:right="0"/>
              <w:jc w:val="left"/>
              <w:rPr>
                <w:rFonts w:ascii="宋体" w:hAnsi="宋体" w:cs="宋体" w:eastAsia="宋体" w:hint="default"/>
                <w:sz w:val="15"/>
                <w:szCs w:val="15"/>
              </w:rPr>
            </w:pPr>
            <w:r>
              <w:rPr>
                <w:rFonts w:ascii="宋体" w:hAnsi="宋体" w:cs="宋体" w:eastAsia="宋体" w:hint="default"/>
                <w:sz w:val="15"/>
                <w:szCs w:val="15"/>
              </w:rPr>
              <w:t>九、负债总额</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2"/>
              <w:jc w:val="right"/>
              <w:rPr>
                <w:rFonts w:ascii="Times New Roman" w:hAnsi="Times New Roman" w:cs="Times New Roman" w:eastAsia="Times New Roman" w:hint="default"/>
                <w:sz w:val="15"/>
                <w:szCs w:val="15"/>
              </w:rPr>
            </w:pPr>
            <w:r>
              <w:rPr>
                <w:rFonts w:ascii="Times New Roman"/>
                <w:spacing w:val="-1"/>
                <w:sz w:val="15"/>
              </w:rPr>
              <w:t>332,883,445.19</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2"/>
              <w:jc w:val="right"/>
              <w:rPr>
                <w:rFonts w:ascii="Times New Roman" w:hAnsi="Times New Roman" w:cs="Times New Roman" w:eastAsia="Times New Roman" w:hint="default"/>
                <w:sz w:val="15"/>
                <w:szCs w:val="15"/>
              </w:rPr>
            </w:pPr>
            <w:r>
              <w:rPr>
                <w:rFonts w:ascii="Times New Roman"/>
                <w:spacing w:val="-1"/>
                <w:sz w:val="15"/>
              </w:rPr>
              <w:t>13,994,194.47</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3" w:right="0"/>
              <w:jc w:val="center"/>
              <w:rPr>
                <w:rFonts w:ascii="Times New Roman" w:hAnsi="Times New Roman" w:cs="Times New Roman" w:eastAsia="Times New Roman" w:hint="default"/>
                <w:sz w:val="15"/>
                <w:szCs w:val="15"/>
              </w:rPr>
            </w:pPr>
            <w:r>
              <w:rPr>
                <w:rFonts w:ascii="Times New Roman"/>
                <w:sz w:val="15"/>
              </w:rPr>
              <w:t>-200,196,761.91</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7"/>
              <w:jc w:val="right"/>
              <w:rPr>
                <w:rFonts w:ascii="Times New Roman" w:hAnsi="Times New Roman" w:cs="Times New Roman" w:eastAsia="Times New Roman" w:hint="default"/>
                <w:sz w:val="15"/>
                <w:szCs w:val="15"/>
              </w:rPr>
            </w:pPr>
            <w:r>
              <w:rPr>
                <w:rFonts w:ascii="Times New Roman"/>
                <w:spacing w:val="-1"/>
                <w:sz w:val="15"/>
              </w:rPr>
              <w:t>146,680,877.75</w:t>
            </w:r>
          </w:p>
        </w:tc>
      </w:tr>
      <w:tr>
        <w:trPr>
          <w:trHeight w:val="375"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8" w:right="0"/>
              <w:jc w:val="left"/>
              <w:rPr>
                <w:rFonts w:ascii="宋体" w:hAnsi="宋体" w:cs="宋体" w:eastAsia="宋体" w:hint="default"/>
                <w:sz w:val="15"/>
                <w:szCs w:val="15"/>
              </w:rPr>
            </w:pPr>
            <w:r>
              <w:rPr>
                <w:rFonts w:ascii="宋体" w:hAnsi="宋体" w:cs="宋体" w:eastAsia="宋体" w:hint="default"/>
                <w:sz w:val="15"/>
                <w:szCs w:val="15"/>
              </w:rPr>
              <w:t>十、其他重要的非现金项目</w:t>
            </w:r>
          </w:p>
        </w:tc>
        <w:tc>
          <w:tcPr>
            <w:tcW w:w="1322"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r>
      <w:tr>
        <w:trPr>
          <w:trHeight w:val="405"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折旧费和摊销费以外的其他非现金费用</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2"/>
              <w:jc w:val="right"/>
              <w:rPr>
                <w:rFonts w:ascii="Times New Roman" w:hAnsi="Times New Roman" w:cs="Times New Roman" w:eastAsia="Times New Roman" w:hint="default"/>
                <w:sz w:val="15"/>
                <w:szCs w:val="15"/>
              </w:rPr>
            </w:pPr>
            <w:r>
              <w:rPr>
                <w:rFonts w:ascii="Times New Roman"/>
                <w:spacing w:val="-1"/>
                <w:sz w:val="15"/>
              </w:rPr>
              <w:t>17,307,247.54</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2"/>
              <w:jc w:val="right"/>
              <w:rPr>
                <w:rFonts w:ascii="Times New Roman" w:hAnsi="Times New Roman" w:cs="Times New Roman" w:eastAsia="Times New Roman" w:hint="default"/>
                <w:sz w:val="15"/>
                <w:szCs w:val="15"/>
              </w:rPr>
            </w:pPr>
            <w:r>
              <w:rPr>
                <w:rFonts w:ascii="Times New Roman"/>
                <w:spacing w:val="-1"/>
                <w:sz w:val="15"/>
              </w:rPr>
              <w:t>286,428.89</w:t>
            </w:r>
          </w:p>
        </w:tc>
        <w:tc>
          <w:tcPr>
            <w:tcW w:w="1282"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5"/>
              <w:jc w:val="right"/>
              <w:rPr>
                <w:rFonts w:ascii="Times New Roman" w:hAnsi="Times New Roman" w:cs="Times New Roman" w:eastAsia="Times New Roman" w:hint="default"/>
                <w:sz w:val="15"/>
                <w:szCs w:val="15"/>
              </w:rPr>
            </w:pPr>
            <w:r>
              <w:rPr>
                <w:rFonts w:ascii="Times New Roman"/>
                <w:spacing w:val="-1"/>
                <w:sz w:val="15"/>
              </w:rPr>
              <w:t>17,593,676.43</w:t>
            </w:r>
          </w:p>
        </w:tc>
      </w:tr>
      <w:tr>
        <w:trPr>
          <w:trHeight w:val="400"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对联营企业和合营企业的长期股权投资</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32"/>
              <w:jc w:val="right"/>
              <w:rPr>
                <w:rFonts w:ascii="Times New Roman" w:hAnsi="Times New Roman" w:cs="Times New Roman" w:eastAsia="Times New Roman" w:hint="default"/>
                <w:sz w:val="15"/>
                <w:szCs w:val="15"/>
              </w:rPr>
            </w:pPr>
            <w:r>
              <w:rPr>
                <w:rFonts w:ascii="Times New Roman"/>
                <w:spacing w:val="-1"/>
                <w:sz w:val="15"/>
              </w:rPr>
              <w:t>170,000,000.00</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2"/>
              <w:jc w:val="right"/>
              <w:rPr>
                <w:rFonts w:ascii="Times New Roman" w:hAnsi="Times New Roman" w:cs="Times New Roman" w:eastAsia="Times New Roman" w:hint="default"/>
                <w:sz w:val="15"/>
                <w:szCs w:val="15"/>
              </w:rPr>
            </w:pPr>
            <w:r>
              <w:rPr>
                <w:rFonts w:ascii="Times New Roman"/>
                <w:spacing w:val="-1"/>
                <w:sz w:val="15"/>
              </w:rPr>
              <w:t>2,875,151.17</w:t>
            </w:r>
          </w:p>
        </w:tc>
        <w:tc>
          <w:tcPr>
            <w:tcW w:w="1282"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57"/>
              <w:jc w:val="right"/>
              <w:rPr>
                <w:rFonts w:ascii="Times New Roman" w:hAnsi="Times New Roman" w:cs="Times New Roman" w:eastAsia="Times New Roman" w:hint="default"/>
                <w:sz w:val="15"/>
                <w:szCs w:val="15"/>
              </w:rPr>
            </w:pPr>
            <w:r>
              <w:rPr>
                <w:rFonts w:ascii="Times New Roman"/>
                <w:spacing w:val="-1"/>
                <w:sz w:val="15"/>
              </w:rPr>
              <w:t>172,875,151.17</w:t>
            </w:r>
          </w:p>
        </w:tc>
      </w:tr>
      <w:tr>
        <w:trPr>
          <w:trHeight w:val="304" w:hRule="exact"/>
        </w:trPr>
        <w:tc>
          <w:tcPr>
            <w:tcW w:w="323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长期股权投资以外的其他非流动资产增加额</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2"/>
              <w:jc w:val="right"/>
              <w:rPr>
                <w:rFonts w:ascii="Times New Roman" w:hAnsi="Times New Roman" w:cs="Times New Roman" w:eastAsia="Times New Roman" w:hint="default"/>
                <w:sz w:val="15"/>
                <w:szCs w:val="15"/>
              </w:rPr>
            </w:pPr>
            <w:r>
              <w:rPr>
                <w:rFonts w:ascii="Times New Roman"/>
                <w:spacing w:val="-1"/>
                <w:sz w:val="15"/>
              </w:rPr>
              <w:t>93,337,802.73</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62"/>
              <w:jc w:val="right"/>
              <w:rPr>
                <w:rFonts w:ascii="Times New Roman" w:hAnsi="Times New Roman" w:cs="Times New Roman" w:eastAsia="Times New Roman" w:hint="default"/>
                <w:sz w:val="15"/>
                <w:szCs w:val="15"/>
              </w:rPr>
            </w:pPr>
            <w:r>
              <w:rPr>
                <w:rFonts w:ascii="Times New Roman"/>
                <w:spacing w:val="-1"/>
                <w:sz w:val="15"/>
              </w:rPr>
              <w:t>-3,780,382.78</w:t>
            </w:r>
          </w:p>
        </w:tc>
        <w:tc>
          <w:tcPr>
            <w:tcW w:w="1282"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5"/>
              <w:jc w:val="right"/>
              <w:rPr>
                <w:rFonts w:ascii="Times New Roman" w:hAnsi="Times New Roman" w:cs="Times New Roman" w:eastAsia="Times New Roman" w:hint="default"/>
                <w:sz w:val="15"/>
                <w:szCs w:val="15"/>
              </w:rPr>
            </w:pPr>
            <w:r>
              <w:rPr>
                <w:rFonts w:ascii="Times New Roman"/>
                <w:spacing w:val="-1"/>
                <w:sz w:val="15"/>
              </w:rPr>
              <w:t>89,557,419.95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580" w:right="0"/>
        <w:jc w:val="left"/>
      </w:pPr>
      <w:r>
        <w:rPr/>
        <w:t>本公司上期收入及利润根据公司业务情况划分为以下经营分部：</w:t>
      </w:r>
    </w:p>
    <w:p>
      <w:pPr>
        <w:spacing w:line="240" w:lineRule="auto" w:before="2"/>
        <w:rPr>
          <w:rFonts w:ascii="宋体" w:hAnsi="宋体" w:cs="宋体" w:eastAsia="宋体"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2991"/>
        <w:gridCol w:w="1447"/>
        <w:gridCol w:w="1521"/>
        <w:gridCol w:w="1343"/>
        <w:gridCol w:w="1497"/>
      </w:tblGrid>
      <w:tr>
        <w:trPr>
          <w:trHeight w:val="255" w:hRule="exact"/>
        </w:trPr>
        <w:tc>
          <w:tcPr>
            <w:tcW w:w="2991" w:type="dxa"/>
            <w:tcBorders>
              <w:top w:val="nil" w:sz="6" w:space="0" w:color="auto"/>
              <w:left w:val="nil" w:sz="6" w:space="0" w:color="auto"/>
              <w:bottom w:val="single" w:sz="8" w:space="0" w:color="000000"/>
              <w:right w:val="nil" w:sz="6" w:space="0" w:color="auto"/>
            </w:tcBorders>
          </w:tcPr>
          <w:p>
            <w:pPr>
              <w:pStyle w:val="TableParagraph"/>
              <w:spacing w:line="180" w:lineRule="exact"/>
              <w:ind w:right="3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47" w:type="dxa"/>
            <w:tcBorders>
              <w:top w:val="nil" w:sz="6" w:space="0" w:color="auto"/>
              <w:left w:val="nil" w:sz="6" w:space="0" w:color="auto"/>
              <w:bottom w:val="single" w:sz="8" w:space="0" w:color="000000"/>
              <w:right w:val="nil" w:sz="6" w:space="0" w:color="auto"/>
            </w:tcBorders>
          </w:tcPr>
          <w:p>
            <w:pPr>
              <w:pStyle w:val="TableParagraph"/>
              <w:spacing w:line="180" w:lineRule="exact"/>
              <w:ind w:left="329" w:right="0"/>
              <w:jc w:val="left"/>
              <w:rPr>
                <w:rFonts w:ascii="宋体" w:hAnsi="宋体" w:cs="宋体" w:eastAsia="宋体" w:hint="default"/>
                <w:sz w:val="18"/>
                <w:szCs w:val="18"/>
              </w:rPr>
            </w:pPr>
            <w:r>
              <w:rPr>
                <w:rFonts w:ascii="宋体" w:hAnsi="宋体" w:cs="宋体" w:eastAsia="宋体" w:hint="default"/>
                <w:b/>
                <w:bCs/>
                <w:sz w:val="18"/>
                <w:szCs w:val="18"/>
              </w:rPr>
              <w:t>出版发行</w:t>
            </w:r>
            <w:r>
              <w:rPr>
                <w:rFonts w:ascii="宋体" w:hAnsi="宋体" w:cs="宋体" w:eastAsia="宋体" w:hint="default"/>
                <w:sz w:val="18"/>
                <w:szCs w:val="18"/>
              </w:rPr>
            </w:r>
          </w:p>
        </w:tc>
        <w:tc>
          <w:tcPr>
            <w:tcW w:w="1521" w:type="dxa"/>
            <w:tcBorders>
              <w:top w:val="nil" w:sz="6" w:space="0" w:color="auto"/>
              <w:left w:val="nil" w:sz="6" w:space="0" w:color="auto"/>
              <w:bottom w:val="single" w:sz="8" w:space="0" w:color="000000"/>
              <w:right w:val="nil" w:sz="6" w:space="0" w:color="auto"/>
            </w:tcBorders>
          </w:tcPr>
          <w:p>
            <w:pPr>
              <w:pStyle w:val="TableParagraph"/>
              <w:spacing w:line="180" w:lineRule="exact"/>
              <w:ind w:left="378" w:right="0"/>
              <w:jc w:val="left"/>
              <w:rPr>
                <w:rFonts w:ascii="宋体" w:hAnsi="宋体" w:cs="宋体" w:eastAsia="宋体" w:hint="default"/>
                <w:sz w:val="18"/>
                <w:szCs w:val="18"/>
              </w:rPr>
            </w:pPr>
            <w:r>
              <w:rPr>
                <w:rFonts w:ascii="宋体" w:hAnsi="宋体" w:cs="宋体" w:eastAsia="宋体" w:hint="default"/>
                <w:b/>
                <w:bCs/>
                <w:sz w:val="18"/>
                <w:szCs w:val="18"/>
              </w:rPr>
              <w:t>网络游戏</w:t>
            </w:r>
            <w:r>
              <w:rPr>
                <w:rFonts w:ascii="宋体" w:hAnsi="宋体" w:cs="宋体" w:eastAsia="宋体" w:hint="default"/>
                <w:sz w:val="18"/>
                <w:szCs w:val="18"/>
              </w:rPr>
            </w:r>
          </w:p>
        </w:tc>
        <w:tc>
          <w:tcPr>
            <w:tcW w:w="1343" w:type="dxa"/>
            <w:tcBorders>
              <w:top w:val="nil" w:sz="6" w:space="0" w:color="auto"/>
              <w:left w:val="nil" w:sz="6" w:space="0" w:color="auto"/>
              <w:bottom w:val="single" w:sz="8" w:space="0" w:color="000000"/>
              <w:right w:val="nil" w:sz="6" w:space="0" w:color="auto"/>
            </w:tcBorders>
          </w:tcPr>
          <w:p>
            <w:pPr>
              <w:pStyle w:val="TableParagraph"/>
              <w:spacing w:line="180" w:lineRule="exact"/>
              <w:ind w:right="30"/>
              <w:jc w:val="center"/>
              <w:rPr>
                <w:rFonts w:ascii="宋体" w:hAnsi="宋体" w:cs="宋体" w:eastAsia="宋体" w:hint="default"/>
                <w:sz w:val="18"/>
                <w:szCs w:val="18"/>
              </w:rPr>
            </w:pPr>
            <w:r>
              <w:rPr>
                <w:rFonts w:ascii="宋体" w:hAnsi="宋体" w:cs="宋体" w:eastAsia="宋体" w:hint="default"/>
                <w:b/>
                <w:bCs/>
                <w:sz w:val="18"/>
                <w:szCs w:val="18"/>
              </w:rPr>
              <w:t>抵销</w:t>
            </w:r>
            <w:r>
              <w:rPr>
                <w:rFonts w:ascii="宋体" w:hAnsi="宋体" w:cs="宋体" w:eastAsia="宋体" w:hint="default"/>
                <w:sz w:val="18"/>
                <w:szCs w:val="18"/>
              </w:rPr>
            </w:r>
          </w:p>
        </w:tc>
        <w:tc>
          <w:tcPr>
            <w:tcW w:w="1497" w:type="dxa"/>
            <w:tcBorders>
              <w:top w:val="nil" w:sz="6" w:space="0" w:color="auto"/>
              <w:left w:val="nil" w:sz="6" w:space="0" w:color="auto"/>
              <w:bottom w:val="single" w:sz="8" w:space="0" w:color="000000"/>
              <w:right w:val="nil" w:sz="6" w:space="0" w:color="auto"/>
            </w:tcBorders>
          </w:tcPr>
          <w:p>
            <w:pPr>
              <w:pStyle w:val="TableParagraph"/>
              <w:spacing w:line="180" w:lineRule="exact"/>
              <w:ind w:right="18"/>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57" w:hRule="exact"/>
        </w:trPr>
        <w:tc>
          <w:tcPr>
            <w:tcW w:w="2991"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447" w:type="dxa"/>
            <w:tcBorders>
              <w:top w:val="single" w:sz="8" w:space="0" w:color="000000"/>
              <w:left w:val="nil" w:sz="6" w:space="0" w:color="auto"/>
              <w:bottom w:val="nil" w:sz="6" w:space="0" w:color="auto"/>
              <w:right w:val="nil" w:sz="6" w:space="0" w:color="auto"/>
            </w:tcBorders>
          </w:tcPr>
          <w:p>
            <w:pPr>
              <w:pStyle w:val="TableParagraph"/>
              <w:spacing w:line="240" w:lineRule="auto" w:before="139"/>
              <w:ind w:right="136"/>
              <w:jc w:val="right"/>
              <w:rPr>
                <w:rFonts w:ascii="Times New Roman" w:hAnsi="Times New Roman" w:cs="Times New Roman" w:eastAsia="Times New Roman" w:hint="default"/>
                <w:sz w:val="18"/>
                <w:szCs w:val="18"/>
              </w:rPr>
            </w:pPr>
            <w:r>
              <w:rPr>
                <w:rFonts w:ascii="Times New Roman"/>
                <w:spacing w:val="-1"/>
                <w:sz w:val="18"/>
              </w:rPr>
              <w:t>359,062,359.67</w:t>
            </w:r>
          </w:p>
        </w:tc>
        <w:tc>
          <w:tcPr>
            <w:tcW w:w="1521" w:type="dxa"/>
            <w:tcBorders>
              <w:top w:val="single" w:sz="8" w:space="0" w:color="000000"/>
              <w:left w:val="nil" w:sz="6" w:space="0" w:color="auto"/>
              <w:bottom w:val="nil" w:sz="6" w:space="0" w:color="auto"/>
              <w:right w:val="nil" w:sz="6" w:space="0" w:color="auto"/>
            </w:tcBorders>
          </w:tcPr>
          <w:p>
            <w:pPr>
              <w:pStyle w:val="TableParagraph"/>
              <w:spacing w:line="240" w:lineRule="auto" w:before="139"/>
              <w:ind w:right="120"/>
              <w:jc w:val="right"/>
              <w:rPr>
                <w:rFonts w:ascii="Times New Roman" w:hAnsi="Times New Roman" w:cs="Times New Roman" w:eastAsia="Times New Roman" w:hint="default"/>
                <w:sz w:val="18"/>
                <w:szCs w:val="18"/>
              </w:rPr>
            </w:pPr>
            <w:r>
              <w:rPr>
                <w:rFonts w:ascii="Times New Roman"/>
                <w:spacing w:val="-1"/>
                <w:sz w:val="18"/>
              </w:rPr>
              <w:t>156,693,408.69</w:t>
            </w:r>
          </w:p>
        </w:tc>
        <w:tc>
          <w:tcPr>
            <w:tcW w:w="1343" w:type="dxa"/>
            <w:tcBorders>
              <w:top w:val="single" w:sz="8" w:space="0" w:color="000000"/>
              <w:left w:val="nil" w:sz="6" w:space="0" w:color="auto"/>
              <w:bottom w:val="nil" w:sz="6" w:space="0" w:color="auto"/>
              <w:right w:val="nil" w:sz="6" w:space="0" w:color="auto"/>
            </w:tcBorders>
          </w:tcPr>
          <w:p>
            <w:pPr/>
          </w:p>
        </w:tc>
        <w:tc>
          <w:tcPr>
            <w:tcW w:w="1497" w:type="dxa"/>
            <w:tcBorders>
              <w:top w:val="single" w:sz="8" w:space="0" w:color="000000"/>
              <w:left w:val="nil" w:sz="6" w:space="0" w:color="auto"/>
              <w:bottom w:val="nil" w:sz="6" w:space="0" w:color="auto"/>
              <w:right w:val="nil" w:sz="6" w:space="0" w:color="auto"/>
            </w:tcBorders>
          </w:tcPr>
          <w:p>
            <w:pPr>
              <w:pStyle w:val="TableParagraph"/>
              <w:spacing w:line="240" w:lineRule="auto" w:before="139"/>
              <w:ind w:right="108"/>
              <w:jc w:val="right"/>
              <w:rPr>
                <w:rFonts w:ascii="Times New Roman" w:hAnsi="Times New Roman" w:cs="Times New Roman" w:eastAsia="Times New Roman" w:hint="default"/>
                <w:sz w:val="18"/>
                <w:szCs w:val="18"/>
              </w:rPr>
            </w:pPr>
            <w:r>
              <w:rPr>
                <w:rFonts w:ascii="Times New Roman"/>
                <w:spacing w:val="-1"/>
                <w:sz w:val="18"/>
              </w:rPr>
              <w:t>515,755,768.36</w:t>
            </w:r>
          </w:p>
        </w:tc>
      </w:tr>
      <w:tr>
        <w:trPr>
          <w:trHeight w:val="398"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36"/>
              <w:jc w:val="right"/>
              <w:rPr>
                <w:rFonts w:ascii="Times New Roman" w:hAnsi="Times New Roman" w:cs="Times New Roman" w:eastAsia="Times New Roman" w:hint="default"/>
                <w:sz w:val="18"/>
                <w:szCs w:val="18"/>
              </w:rPr>
            </w:pPr>
            <w:r>
              <w:rPr>
                <w:rFonts w:ascii="Times New Roman"/>
                <w:spacing w:val="-1"/>
                <w:sz w:val="18"/>
              </w:rPr>
              <w:t>359,062,359.67</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0"/>
              <w:jc w:val="right"/>
              <w:rPr>
                <w:rFonts w:ascii="Times New Roman" w:hAnsi="Times New Roman" w:cs="Times New Roman" w:eastAsia="Times New Roman" w:hint="default"/>
                <w:sz w:val="18"/>
                <w:szCs w:val="18"/>
              </w:rPr>
            </w:pPr>
            <w:r>
              <w:rPr>
                <w:rFonts w:ascii="Times New Roman"/>
                <w:spacing w:val="-1"/>
                <w:sz w:val="18"/>
              </w:rPr>
              <w:t>156,693,408.69</w:t>
            </w:r>
          </w:p>
        </w:tc>
        <w:tc>
          <w:tcPr>
            <w:tcW w:w="1343"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515,755,768.36</w:t>
            </w:r>
          </w:p>
        </w:tc>
      </w:tr>
      <w:tr>
        <w:trPr>
          <w:trHeight w:val="391"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447"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r>
      <w:tr>
        <w:trPr>
          <w:trHeight w:val="402"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二、对联营和合营企业的投资收益</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35"/>
              <w:jc w:val="right"/>
              <w:rPr>
                <w:rFonts w:ascii="Times New Roman" w:hAnsi="Times New Roman" w:cs="Times New Roman" w:eastAsia="Times New Roman" w:hint="default"/>
                <w:sz w:val="18"/>
                <w:szCs w:val="18"/>
              </w:rPr>
            </w:pPr>
            <w:r>
              <w:rPr>
                <w:rFonts w:ascii="Times New Roman"/>
                <w:spacing w:val="-1"/>
                <w:sz w:val="18"/>
              </w:rPr>
              <w:t>-24,756.64</w:t>
            </w:r>
          </w:p>
        </w:tc>
        <w:tc>
          <w:tcPr>
            <w:tcW w:w="1521"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pacing w:val="-1"/>
                <w:sz w:val="18"/>
              </w:rPr>
              <w:t>-24,756.64</w:t>
            </w:r>
          </w:p>
        </w:tc>
      </w:tr>
      <w:tr>
        <w:trPr>
          <w:trHeight w:val="397"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三、资产减值损失</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36"/>
              <w:jc w:val="right"/>
              <w:rPr>
                <w:rFonts w:ascii="Times New Roman" w:hAnsi="Times New Roman" w:cs="Times New Roman" w:eastAsia="Times New Roman" w:hint="default"/>
                <w:sz w:val="18"/>
                <w:szCs w:val="18"/>
              </w:rPr>
            </w:pPr>
            <w:r>
              <w:rPr>
                <w:rFonts w:ascii="Times New Roman"/>
                <w:spacing w:val="-1"/>
                <w:sz w:val="18"/>
              </w:rPr>
              <w:t>7,177,346.60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0"/>
              <w:jc w:val="right"/>
              <w:rPr>
                <w:rFonts w:ascii="Times New Roman" w:hAnsi="Times New Roman" w:cs="Times New Roman" w:eastAsia="Times New Roman" w:hint="default"/>
                <w:sz w:val="18"/>
                <w:szCs w:val="18"/>
              </w:rPr>
            </w:pPr>
            <w:r>
              <w:rPr>
                <w:rFonts w:ascii="Times New Roman"/>
                <w:spacing w:val="-1"/>
                <w:sz w:val="18"/>
              </w:rPr>
              <w:t>1,103,836.33</w:t>
            </w:r>
          </w:p>
        </w:tc>
        <w:tc>
          <w:tcPr>
            <w:tcW w:w="1343"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8,281,182.93</w:t>
            </w:r>
          </w:p>
        </w:tc>
      </w:tr>
      <w:tr>
        <w:trPr>
          <w:trHeight w:val="397"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四、折旧费和摊销费</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6"/>
              <w:jc w:val="right"/>
              <w:rPr>
                <w:rFonts w:ascii="Times New Roman" w:hAnsi="Times New Roman" w:cs="Times New Roman" w:eastAsia="Times New Roman" w:hint="default"/>
                <w:sz w:val="18"/>
                <w:szCs w:val="18"/>
              </w:rPr>
            </w:pPr>
            <w:r>
              <w:rPr>
                <w:rFonts w:ascii="Times New Roman"/>
                <w:spacing w:val="-1"/>
                <w:sz w:val="18"/>
              </w:rPr>
              <w:t>2,912,860.51</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0"/>
              <w:jc w:val="right"/>
              <w:rPr>
                <w:rFonts w:ascii="Times New Roman" w:hAnsi="Times New Roman" w:cs="Times New Roman" w:eastAsia="Times New Roman" w:hint="default"/>
                <w:sz w:val="18"/>
                <w:szCs w:val="18"/>
              </w:rPr>
            </w:pPr>
            <w:r>
              <w:rPr>
                <w:rFonts w:ascii="Times New Roman"/>
                <w:spacing w:val="-1"/>
                <w:sz w:val="18"/>
              </w:rPr>
              <w:t>2,831,886.48</w:t>
            </w:r>
          </w:p>
        </w:tc>
        <w:tc>
          <w:tcPr>
            <w:tcW w:w="1343"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8"/>
                <w:szCs w:val="18"/>
              </w:rPr>
            </w:pPr>
            <w:r>
              <w:rPr>
                <w:rFonts w:ascii="Times New Roman"/>
                <w:spacing w:val="-1"/>
                <w:sz w:val="18"/>
              </w:rPr>
              <w:t>5,744,746.99</w:t>
            </w:r>
          </w:p>
        </w:tc>
      </w:tr>
      <w:tr>
        <w:trPr>
          <w:trHeight w:val="397"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五、利润总额（亏损总额）</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36"/>
              <w:jc w:val="right"/>
              <w:rPr>
                <w:rFonts w:ascii="Times New Roman" w:hAnsi="Times New Roman" w:cs="Times New Roman" w:eastAsia="Times New Roman" w:hint="default"/>
                <w:sz w:val="18"/>
                <w:szCs w:val="18"/>
              </w:rPr>
            </w:pPr>
            <w:r>
              <w:rPr>
                <w:rFonts w:ascii="Times New Roman"/>
                <w:spacing w:val="-1"/>
                <w:sz w:val="18"/>
              </w:rPr>
              <w:t>33,335,927.23</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0"/>
              <w:jc w:val="right"/>
              <w:rPr>
                <w:rFonts w:ascii="Times New Roman" w:hAnsi="Times New Roman" w:cs="Times New Roman" w:eastAsia="Times New Roman" w:hint="default"/>
                <w:sz w:val="18"/>
                <w:szCs w:val="18"/>
              </w:rPr>
            </w:pPr>
            <w:r>
              <w:rPr>
                <w:rFonts w:ascii="Times New Roman"/>
                <w:spacing w:val="-1"/>
                <w:sz w:val="18"/>
              </w:rPr>
              <w:t>110,219,642.48</w:t>
            </w:r>
          </w:p>
        </w:tc>
        <w:tc>
          <w:tcPr>
            <w:tcW w:w="1343"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143,555,569.71</w:t>
            </w:r>
          </w:p>
        </w:tc>
      </w:tr>
      <w:tr>
        <w:trPr>
          <w:trHeight w:val="396"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六、所得税费用</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6"/>
              <w:jc w:val="right"/>
              <w:rPr>
                <w:rFonts w:ascii="Times New Roman" w:hAnsi="Times New Roman" w:cs="Times New Roman" w:eastAsia="Times New Roman" w:hint="default"/>
                <w:sz w:val="18"/>
                <w:szCs w:val="18"/>
              </w:rPr>
            </w:pPr>
            <w:r>
              <w:rPr>
                <w:rFonts w:ascii="Times New Roman"/>
                <w:spacing w:val="-1"/>
                <w:sz w:val="18"/>
              </w:rPr>
              <w:t>12,386,802.88</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0"/>
              <w:jc w:val="right"/>
              <w:rPr>
                <w:rFonts w:ascii="Times New Roman" w:hAnsi="Times New Roman" w:cs="Times New Roman" w:eastAsia="Times New Roman" w:hint="default"/>
                <w:sz w:val="18"/>
                <w:szCs w:val="18"/>
              </w:rPr>
            </w:pPr>
            <w:r>
              <w:rPr>
                <w:rFonts w:ascii="Times New Roman"/>
                <w:spacing w:val="-1"/>
                <w:sz w:val="18"/>
              </w:rPr>
              <w:t>12,129,888.73</w:t>
            </w:r>
          </w:p>
        </w:tc>
        <w:tc>
          <w:tcPr>
            <w:tcW w:w="1343"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8"/>
              <w:jc w:val="right"/>
              <w:rPr>
                <w:rFonts w:ascii="Times New Roman" w:hAnsi="Times New Roman" w:cs="Times New Roman" w:eastAsia="Times New Roman" w:hint="default"/>
                <w:sz w:val="18"/>
                <w:szCs w:val="18"/>
              </w:rPr>
            </w:pPr>
            <w:r>
              <w:rPr>
                <w:rFonts w:ascii="Times New Roman"/>
                <w:spacing w:val="-1"/>
                <w:sz w:val="18"/>
              </w:rPr>
              <w:t>24,516,691.61</w:t>
            </w:r>
          </w:p>
        </w:tc>
      </w:tr>
      <w:tr>
        <w:trPr>
          <w:trHeight w:val="397"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七、净利润（净亏损）</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6"/>
              <w:jc w:val="right"/>
              <w:rPr>
                <w:rFonts w:ascii="Times New Roman" w:hAnsi="Times New Roman" w:cs="Times New Roman" w:eastAsia="Times New Roman" w:hint="default"/>
                <w:sz w:val="18"/>
                <w:szCs w:val="18"/>
              </w:rPr>
            </w:pPr>
            <w:r>
              <w:rPr>
                <w:rFonts w:ascii="Times New Roman"/>
                <w:spacing w:val="-1"/>
                <w:sz w:val="18"/>
              </w:rPr>
              <w:t>20,949,124.35</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0"/>
              <w:jc w:val="right"/>
              <w:rPr>
                <w:rFonts w:ascii="Times New Roman" w:hAnsi="Times New Roman" w:cs="Times New Roman" w:eastAsia="Times New Roman" w:hint="default"/>
                <w:sz w:val="18"/>
                <w:szCs w:val="18"/>
              </w:rPr>
            </w:pPr>
            <w:r>
              <w:rPr>
                <w:rFonts w:ascii="Times New Roman"/>
                <w:spacing w:val="-1"/>
                <w:sz w:val="18"/>
              </w:rPr>
              <w:t>98,089,753.75</w:t>
            </w:r>
          </w:p>
        </w:tc>
        <w:tc>
          <w:tcPr>
            <w:tcW w:w="1343"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8"/>
              <w:jc w:val="right"/>
              <w:rPr>
                <w:rFonts w:ascii="Times New Roman" w:hAnsi="Times New Roman" w:cs="Times New Roman" w:eastAsia="Times New Roman" w:hint="default"/>
                <w:sz w:val="18"/>
                <w:szCs w:val="18"/>
              </w:rPr>
            </w:pPr>
            <w:r>
              <w:rPr>
                <w:rFonts w:ascii="Times New Roman"/>
                <w:spacing w:val="-1"/>
                <w:sz w:val="18"/>
              </w:rPr>
              <w:t>119,038,878.10</w:t>
            </w:r>
          </w:p>
        </w:tc>
      </w:tr>
      <w:tr>
        <w:trPr>
          <w:trHeight w:val="397"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八、资产总额</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36"/>
              <w:jc w:val="right"/>
              <w:rPr>
                <w:rFonts w:ascii="Times New Roman" w:hAnsi="Times New Roman" w:cs="Times New Roman" w:eastAsia="Times New Roman" w:hint="default"/>
                <w:sz w:val="18"/>
                <w:szCs w:val="18"/>
              </w:rPr>
            </w:pPr>
            <w:r>
              <w:rPr>
                <w:rFonts w:ascii="Times New Roman"/>
                <w:spacing w:val="-1"/>
                <w:sz w:val="18"/>
              </w:rPr>
              <w:t>694,654,626.23</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1"/>
              <w:jc w:val="right"/>
              <w:rPr>
                <w:rFonts w:ascii="Times New Roman" w:hAnsi="Times New Roman" w:cs="Times New Roman" w:eastAsia="Times New Roman" w:hint="default"/>
                <w:sz w:val="18"/>
                <w:szCs w:val="18"/>
              </w:rPr>
            </w:pPr>
            <w:r>
              <w:rPr>
                <w:rFonts w:ascii="Times New Roman"/>
                <w:spacing w:val="-1"/>
                <w:sz w:val="18"/>
              </w:rPr>
              <w:t>1,362,728,728.43</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-28,000,000.00</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2,029,383,354.66</w:t>
            </w:r>
          </w:p>
        </w:tc>
      </w:tr>
      <w:tr>
        <w:trPr>
          <w:trHeight w:val="293"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九、负债总额</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6"/>
              <w:jc w:val="right"/>
              <w:rPr>
                <w:rFonts w:ascii="Times New Roman" w:hAnsi="Times New Roman" w:cs="Times New Roman" w:eastAsia="Times New Roman" w:hint="default"/>
                <w:sz w:val="18"/>
                <w:szCs w:val="18"/>
              </w:rPr>
            </w:pPr>
            <w:r>
              <w:rPr>
                <w:rFonts w:ascii="Times New Roman"/>
                <w:spacing w:val="-1"/>
                <w:sz w:val="18"/>
              </w:rPr>
              <w:t>272,317,199.35</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0"/>
              <w:jc w:val="right"/>
              <w:rPr>
                <w:rFonts w:ascii="Times New Roman" w:hAnsi="Times New Roman" w:cs="Times New Roman" w:eastAsia="Times New Roman" w:hint="default"/>
                <w:sz w:val="18"/>
                <w:szCs w:val="18"/>
              </w:rPr>
            </w:pPr>
            <w:r>
              <w:rPr>
                <w:rFonts w:ascii="Times New Roman"/>
                <w:spacing w:val="-1"/>
                <w:sz w:val="18"/>
              </w:rPr>
              <w:t>10,638,974.68</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center"/>
              <w:rPr>
                <w:rFonts w:ascii="Times New Roman" w:hAnsi="Times New Roman" w:cs="Times New Roman" w:eastAsia="Times New Roman" w:hint="default"/>
                <w:sz w:val="18"/>
                <w:szCs w:val="18"/>
              </w:rPr>
            </w:pPr>
            <w:r>
              <w:rPr>
                <w:rFonts w:ascii="Times New Roman"/>
                <w:sz w:val="18"/>
              </w:rPr>
              <w:t>-28,000,000.00</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8"/>
              <w:jc w:val="right"/>
              <w:rPr>
                <w:rFonts w:ascii="Times New Roman" w:hAnsi="Times New Roman" w:cs="Times New Roman" w:eastAsia="Times New Roman" w:hint="default"/>
                <w:sz w:val="18"/>
                <w:szCs w:val="18"/>
              </w:rPr>
            </w:pPr>
            <w:r>
              <w:rPr>
                <w:rFonts w:ascii="Times New Roman"/>
                <w:spacing w:val="-1"/>
                <w:sz w:val="18"/>
              </w:rPr>
              <w:t>254,956,174.03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480" w:bottom="1160" w:left="1580" w:right="1300"/>
        </w:sectPr>
      </w:pPr>
    </w:p>
    <w:p>
      <w:pPr>
        <w:spacing w:line="240" w:lineRule="auto" w:before="9"/>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3070"/>
        <w:gridCol w:w="1367"/>
        <w:gridCol w:w="1696"/>
        <w:gridCol w:w="1193"/>
        <w:gridCol w:w="1471"/>
      </w:tblGrid>
      <w:tr>
        <w:trPr>
          <w:trHeight w:val="253" w:hRule="exact"/>
        </w:trPr>
        <w:tc>
          <w:tcPr>
            <w:tcW w:w="3070" w:type="dxa"/>
            <w:tcBorders>
              <w:top w:val="nil" w:sz="6" w:space="0" w:color="auto"/>
              <w:left w:val="nil" w:sz="6" w:space="0" w:color="auto"/>
              <w:bottom w:val="single" w:sz="8" w:space="0" w:color="000000"/>
              <w:right w:val="nil" w:sz="6" w:space="0" w:color="auto"/>
            </w:tcBorders>
          </w:tcPr>
          <w:p>
            <w:pPr>
              <w:pStyle w:val="TableParagraph"/>
              <w:spacing w:line="180" w:lineRule="exact"/>
              <w:ind w:right="11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67" w:type="dxa"/>
            <w:tcBorders>
              <w:top w:val="nil" w:sz="6" w:space="0" w:color="auto"/>
              <w:left w:val="nil" w:sz="6" w:space="0" w:color="auto"/>
              <w:bottom w:val="single" w:sz="8" w:space="0" w:color="000000"/>
              <w:right w:val="nil" w:sz="6" w:space="0" w:color="auto"/>
            </w:tcBorders>
          </w:tcPr>
          <w:p>
            <w:pPr>
              <w:pStyle w:val="TableParagraph"/>
              <w:spacing w:line="180" w:lineRule="exact"/>
              <w:ind w:left="249" w:right="0"/>
              <w:jc w:val="left"/>
              <w:rPr>
                <w:rFonts w:ascii="宋体" w:hAnsi="宋体" w:cs="宋体" w:eastAsia="宋体" w:hint="default"/>
                <w:sz w:val="18"/>
                <w:szCs w:val="18"/>
              </w:rPr>
            </w:pPr>
            <w:r>
              <w:rPr>
                <w:rFonts w:ascii="宋体" w:hAnsi="宋体" w:cs="宋体" w:eastAsia="宋体" w:hint="default"/>
                <w:b/>
                <w:bCs/>
                <w:sz w:val="18"/>
                <w:szCs w:val="18"/>
              </w:rPr>
              <w:t>出版发行</w:t>
            </w:r>
            <w:r>
              <w:rPr>
                <w:rFonts w:ascii="宋体" w:hAnsi="宋体" w:cs="宋体" w:eastAsia="宋体" w:hint="default"/>
                <w:sz w:val="18"/>
                <w:szCs w:val="18"/>
              </w:rPr>
            </w:r>
          </w:p>
        </w:tc>
        <w:tc>
          <w:tcPr>
            <w:tcW w:w="1696" w:type="dxa"/>
            <w:tcBorders>
              <w:top w:val="nil" w:sz="6" w:space="0" w:color="auto"/>
              <w:left w:val="nil" w:sz="6" w:space="0" w:color="auto"/>
              <w:bottom w:val="single" w:sz="8" w:space="0" w:color="000000"/>
              <w:right w:val="nil" w:sz="6" w:space="0" w:color="auto"/>
            </w:tcBorders>
          </w:tcPr>
          <w:p>
            <w:pPr>
              <w:pStyle w:val="TableParagraph"/>
              <w:spacing w:line="180" w:lineRule="exact"/>
              <w:ind w:left="378" w:right="0"/>
              <w:jc w:val="left"/>
              <w:rPr>
                <w:rFonts w:ascii="宋体" w:hAnsi="宋体" w:cs="宋体" w:eastAsia="宋体" w:hint="default"/>
                <w:sz w:val="18"/>
                <w:szCs w:val="18"/>
              </w:rPr>
            </w:pPr>
            <w:r>
              <w:rPr>
                <w:rFonts w:ascii="宋体" w:hAnsi="宋体" w:cs="宋体" w:eastAsia="宋体" w:hint="default"/>
                <w:b/>
                <w:bCs/>
                <w:sz w:val="18"/>
                <w:szCs w:val="18"/>
              </w:rPr>
              <w:t>网络游戏</w:t>
            </w:r>
            <w:r>
              <w:rPr>
                <w:rFonts w:ascii="宋体" w:hAnsi="宋体" w:cs="宋体" w:eastAsia="宋体" w:hint="default"/>
                <w:sz w:val="18"/>
                <w:szCs w:val="18"/>
              </w:rPr>
            </w:r>
          </w:p>
        </w:tc>
        <w:tc>
          <w:tcPr>
            <w:tcW w:w="1193" w:type="dxa"/>
            <w:tcBorders>
              <w:top w:val="nil" w:sz="6" w:space="0" w:color="auto"/>
              <w:left w:val="nil" w:sz="6" w:space="0" w:color="auto"/>
              <w:bottom w:val="single" w:sz="8" w:space="0" w:color="000000"/>
              <w:right w:val="nil" w:sz="6" w:space="0" w:color="auto"/>
            </w:tcBorders>
          </w:tcPr>
          <w:p>
            <w:pPr>
              <w:pStyle w:val="TableParagraph"/>
              <w:spacing w:line="180" w:lineRule="exact"/>
              <w:ind w:left="297" w:right="0"/>
              <w:jc w:val="left"/>
              <w:rPr>
                <w:rFonts w:ascii="宋体" w:hAnsi="宋体" w:cs="宋体" w:eastAsia="宋体" w:hint="default"/>
                <w:sz w:val="18"/>
                <w:szCs w:val="18"/>
              </w:rPr>
            </w:pPr>
            <w:r>
              <w:rPr>
                <w:rFonts w:ascii="宋体" w:hAnsi="宋体" w:cs="宋体" w:eastAsia="宋体" w:hint="default"/>
                <w:b/>
                <w:bCs/>
                <w:sz w:val="18"/>
                <w:szCs w:val="18"/>
              </w:rPr>
              <w:t>抵销</w:t>
            </w:r>
            <w:r>
              <w:rPr>
                <w:rFonts w:ascii="宋体" w:hAnsi="宋体" w:cs="宋体" w:eastAsia="宋体" w:hint="default"/>
                <w:sz w:val="18"/>
                <w:szCs w:val="18"/>
              </w:rPr>
            </w:r>
          </w:p>
        </w:tc>
        <w:tc>
          <w:tcPr>
            <w:tcW w:w="1471" w:type="dxa"/>
            <w:tcBorders>
              <w:top w:val="nil" w:sz="6" w:space="0" w:color="auto"/>
              <w:left w:val="nil" w:sz="6" w:space="0" w:color="auto"/>
              <w:bottom w:val="single" w:sz="8" w:space="0" w:color="000000"/>
              <w:right w:val="nil" w:sz="6" w:space="0" w:color="auto"/>
            </w:tcBorders>
          </w:tcPr>
          <w:p>
            <w:pPr>
              <w:pStyle w:val="TableParagraph"/>
              <w:spacing w:line="180" w:lineRule="exact"/>
              <w:ind w:right="43"/>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42" w:hRule="exact"/>
        </w:trPr>
        <w:tc>
          <w:tcPr>
            <w:tcW w:w="3070"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十、其他重要的非现金项目</w:t>
            </w:r>
          </w:p>
        </w:tc>
        <w:tc>
          <w:tcPr>
            <w:tcW w:w="1367" w:type="dxa"/>
            <w:tcBorders>
              <w:top w:val="single" w:sz="8" w:space="0" w:color="000000"/>
              <w:left w:val="nil" w:sz="6" w:space="0" w:color="auto"/>
              <w:bottom w:val="nil" w:sz="6" w:space="0" w:color="auto"/>
              <w:right w:val="nil" w:sz="6" w:space="0" w:color="auto"/>
            </w:tcBorders>
          </w:tcPr>
          <w:p>
            <w:pPr/>
          </w:p>
        </w:tc>
        <w:tc>
          <w:tcPr>
            <w:tcW w:w="1696" w:type="dxa"/>
            <w:tcBorders>
              <w:top w:val="single" w:sz="8" w:space="0" w:color="000000"/>
              <w:left w:val="nil" w:sz="6" w:space="0" w:color="auto"/>
              <w:bottom w:val="nil" w:sz="6" w:space="0" w:color="auto"/>
              <w:right w:val="nil" w:sz="6" w:space="0" w:color="auto"/>
            </w:tcBorders>
          </w:tcPr>
          <w:p>
            <w:pPr/>
          </w:p>
        </w:tc>
        <w:tc>
          <w:tcPr>
            <w:tcW w:w="1193" w:type="dxa"/>
            <w:tcBorders>
              <w:top w:val="single" w:sz="8" w:space="0" w:color="000000"/>
              <w:left w:val="nil" w:sz="6" w:space="0" w:color="auto"/>
              <w:bottom w:val="nil" w:sz="6" w:space="0" w:color="auto"/>
              <w:right w:val="nil" w:sz="6" w:space="0" w:color="auto"/>
            </w:tcBorders>
          </w:tcPr>
          <w:p>
            <w:pPr/>
          </w:p>
        </w:tc>
        <w:tc>
          <w:tcPr>
            <w:tcW w:w="1471" w:type="dxa"/>
            <w:tcBorders>
              <w:top w:val="single" w:sz="8" w:space="0" w:color="000000"/>
              <w:left w:val="nil" w:sz="6" w:space="0" w:color="auto"/>
              <w:bottom w:val="nil" w:sz="6" w:space="0" w:color="auto"/>
              <w:right w:val="nil" w:sz="6" w:space="0" w:color="auto"/>
            </w:tcBorders>
          </w:tcPr>
          <w:p>
            <w:pPr/>
          </w:p>
        </w:tc>
      </w:tr>
      <w:tr>
        <w:trPr>
          <w:trHeight w:val="730"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345" w:lineRule="auto" w:before="44"/>
              <w:ind w:left="108" w:right="2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．折旧费和摊销费以外的其他非现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金费用</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7,177,346.60</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pacing w:val="-1"/>
                <w:sz w:val="18"/>
              </w:rPr>
              <w:t>1,103,836.33</w:t>
            </w:r>
          </w:p>
        </w:tc>
        <w:tc>
          <w:tcPr>
            <w:tcW w:w="1193"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8,281,182.93</w:t>
            </w:r>
          </w:p>
        </w:tc>
      </w:tr>
      <w:tr>
        <w:trPr>
          <w:trHeight w:val="720"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345" w:lineRule="auto" w:before="34"/>
              <w:ind w:left="108" w:right="2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．对联营企业和合营企业的长期股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权投资</w:t>
            </w:r>
          </w:p>
        </w:tc>
        <w:tc>
          <w:tcPr>
            <w:tcW w:w="1367"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r>
      <w:tr>
        <w:trPr>
          <w:trHeight w:val="630"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8"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．长期股权投资以外的其他非流动</w:t>
            </w:r>
          </w:p>
          <w:p>
            <w:pPr>
              <w:pStyle w:val="TableParagraph"/>
              <w:spacing w:line="240" w:lineRule="auto" w:before="111"/>
              <w:ind w:left="108" w:right="0"/>
              <w:jc w:val="left"/>
              <w:rPr>
                <w:rFonts w:ascii="宋体" w:hAnsi="宋体" w:cs="宋体" w:eastAsia="宋体" w:hint="default"/>
                <w:sz w:val="18"/>
                <w:szCs w:val="18"/>
              </w:rPr>
            </w:pPr>
            <w:r>
              <w:rPr>
                <w:rFonts w:ascii="宋体" w:hAnsi="宋体" w:cs="宋体" w:eastAsia="宋体" w:hint="default"/>
                <w:sz w:val="18"/>
                <w:szCs w:val="18"/>
              </w:rPr>
              <w:t>资产增加额</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pacing w:val="-1"/>
                <w:sz w:val="18"/>
              </w:rPr>
              <w:t>-5,936,788.61</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96"/>
              <w:jc w:val="right"/>
              <w:rPr>
                <w:rFonts w:ascii="Times New Roman" w:hAnsi="Times New Roman" w:cs="Times New Roman" w:eastAsia="Times New Roman" w:hint="default"/>
                <w:sz w:val="18"/>
                <w:szCs w:val="18"/>
              </w:rPr>
            </w:pPr>
            <w:r>
              <w:rPr>
                <w:rFonts w:ascii="Times New Roman"/>
                <w:spacing w:val="-1"/>
                <w:sz w:val="18"/>
              </w:rPr>
              <w:t>1,131,728,662.46</w:t>
            </w:r>
          </w:p>
        </w:tc>
        <w:tc>
          <w:tcPr>
            <w:tcW w:w="1193"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1,125,791,873.85</w:t>
            </w:r>
          </w:p>
        </w:tc>
      </w:tr>
    </w:tbl>
    <w:p>
      <w:pPr>
        <w:spacing w:line="240" w:lineRule="auto" w:before="1"/>
        <w:rPr>
          <w:rFonts w:ascii="宋体" w:hAnsi="宋体" w:cs="宋体" w:eastAsia="宋体" w:hint="default"/>
          <w:sz w:val="26"/>
          <w:szCs w:val="26"/>
        </w:rPr>
      </w:pPr>
    </w:p>
    <w:p>
      <w:pPr>
        <w:pStyle w:val="Heading3"/>
        <w:spacing w:line="240" w:lineRule="auto" w:before="26"/>
        <w:ind w:left="220" w:right="0"/>
        <w:jc w:val="left"/>
        <w:rPr>
          <w:rFonts w:ascii="黑体" w:hAnsi="黑体" w:cs="黑体" w:eastAsia="黑体" w:hint="default"/>
          <w:b w:val="0"/>
          <w:bCs w:val="0"/>
        </w:rPr>
      </w:pPr>
      <w:r>
        <w:rPr>
          <w:rFonts w:ascii="黑体" w:hAnsi="黑体" w:cs="黑体" w:eastAsia="黑体" w:hint="default"/>
        </w:rPr>
        <w:t>十五、其他重要事项</w:t>
      </w:r>
      <w:r>
        <w:rPr>
          <w:rFonts w:ascii="黑体" w:hAnsi="黑体" w:cs="黑体" w:eastAsia="黑体" w:hint="default"/>
          <w:b w:val="0"/>
          <w:bCs w:val="0"/>
        </w:rPr>
      </w:r>
    </w:p>
    <w:p>
      <w:pPr>
        <w:spacing w:line="240" w:lineRule="auto" w:before="0"/>
        <w:rPr>
          <w:rFonts w:ascii="黑体" w:hAnsi="黑体" w:cs="黑体" w:eastAsia="黑体" w:hint="default"/>
          <w:b/>
          <w:bCs/>
          <w:sz w:val="30"/>
          <w:szCs w:val="30"/>
        </w:rPr>
      </w:pPr>
    </w:p>
    <w:p>
      <w:pPr>
        <w:pStyle w:val="Heading6"/>
        <w:spacing w:line="240" w:lineRule="auto"/>
        <w:ind w:left="640" w:right="0"/>
        <w:jc w:val="left"/>
      </w:pPr>
      <w:r>
        <w:rPr/>
        <w:t>截至资产负债表日，本公司无需披露的其他重要事项。</w:t>
      </w:r>
    </w:p>
    <w:p>
      <w:pPr>
        <w:spacing w:line="240" w:lineRule="auto" w:before="9"/>
        <w:rPr>
          <w:rFonts w:ascii="宋体" w:hAnsi="宋体" w:cs="宋体" w:eastAsia="宋体" w:hint="default"/>
          <w:sz w:val="27"/>
          <w:szCs w:val="27"/>
        </w:rPr>
      </w:pPr>
    </w:p>
    <w:p>
      <w:pPr>
        <w:pStyle w:val="Heading3"/>
        <w:spacing w:line="240" w:lineRule="auto"/>
        <w:ind w:left="220" w:right="0"/>
        <w:jc w:val="left"/>
        <w:rPr>
          <w:rFonts w:ascii="黑体" w:hAnsi="黑体" w:cs="黑体" w:eastAsia="黑体" w:hint="default"/>
          <w:b w:val="0"/>
          <w:bCs w:val="0"/>
        </w:rPr>
      </w:pPr>
      <w:r>
        <w:rPr>
          <w:rFonts w:ascii="黑体" w:hAnsi="黑体" w:cs="黑体" w:eastAsia="黑体" w:hint="default"/>
        </w:rPr>
        <w:t>十六、母公司财务报表项目注释</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240" w:lineRule="auto"/>
        <w:ind w:left="580"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应收账款</w:t>
      </w:r>
    </w:p>
    <w:p>
      <w:pPr>
        <w:spacing w:line="240" w:lineRule="auto" w:before="5"/>
        <w:rPr>
          <w:rFonts w:ascii="宋体" w:hAnsi="宋体" w:cs="宋体" w:eastAsia="宋体" w:hint="default"/>
          <w:sz w:val="20"/>
          <w:szCs w:val="20"/>
        </w:rPr>
      </w:pPr>
    </w:p>
    <w:p>
      <w:pPr>
        <w:pStyle w:val="BodyText"/>
        <w:spacing w:line="240" w:lineRule="auto"/>
        <w:ind w:left="580" w:right="0"/>
        <w:jc w:val="left"/>
      </w:pPr>
      <w:r>
        <w:rPr/>
        <w:t>（</w:t>
      </w:r>
      <w:r>
        <w:rPr>
          <w:rFonts w:ascii="Times New Roman" w:hAnsi="Times New Roman" w:cs="Times New Roman" w:eastAsia="Times New Roman" w:hint="default"/>
        </w:rPr>
        <w:t>1</w:t>
      </w:r>
      <w:r>
        <w:rPr/>
        <w:t>）分类列示</w:t>
      </w:r>
    </w:p>
    <w:p>
      <w:pPr>
        <w:spacing w:line="240" w:lineRule="auto" w:before="12"/>
        <w:rPr>
          <w:rFonts w:ascii="宋体" w:hAnsi="宋体" w:cs="宋体" w:eastAsia="宋体" w:hint="default"/>
          <w:sz w:val="17"/>
          <w:szCs w:val="17"/>
        </w:rPr>
      </w:pPr>
    </w:p>
    <w:p>
      <w:pPr>
        <w:tabs>
          <w:tab w:pos="6713" w:val="left" w:leader="none"/>
        </w:tabs>
        <w:spacing w:before="59"/>
        <w:ind w:left="3362" w:right="0" w:firstLine="0"/>
        <w:jc w:val="left"/>
        <w:rPr>
          <w:rFonts w:ascii="宋体" w:hAnsi="宋体" w:cs="宋体" w:eastAsia="宋体" w:hint="default"/>
          <w:sz w:val="13"/>
          <w:szCs w:val="13"/>
        </w:rPr>
      </w:pPr>
      <w:r>
        <w:rPr>
          <w:rFonts w:ascii="宋体" w:hAnsi="宋体" w:cs="宋体" w:eastAsia="宋体" w:hint="default"/>
          <w:b/>
          <w:bCs/>
          <w:sz w:val="13"/>
          <w:szCs w:val="13"/>
        </w:rPr>
        <w:t>期末余额</w:t>
        <w:tab/>
        <w:t>期初余额</w:t>
      </w:r>
      <w:r>
        <w:rPr>
          <w:rFonts w:ascii="宋体" w:hAnsi="宋体" w:cs="宋体" w:eastAsia="宋体" w:hint="default"/>
          <w:sz w:val="13"/>
          <w:szCs w:val="13"/>
        </w:rPr>
      </w:r>
    </w:p>
    <w:p>
      <w:pPr>
        <w:spacing w:line="240" w:lineRule="auto" w:before="13"/>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0" w:footer="979" w:top="1500" w:bottom="1160" w:left="1580" w:right="1300"/>
        </w:sectPr>
      </w:pPr>
    </w:p>
    <w:p>
      <w:pPr>
        <w:spacing w:line="240" w:lineRule="auto" w:before="5"/>
        <w:rPr>
          <w:rFonts w:ascii="宋体" w:hAnsi="宋体" w:cs="宋体" w:eastAsia="宋体" w:hint="default"/>
          <w:b/>
          <w:bCs/>
          <w:sz w:val="15"/>
          <w:szCs w:val="15"/>
        </w:rPr>
      </w:pPr>
    </w:p>
    <w:p>
      <w:pPr>
        <w:spacing w:before="0"/>
        <w:ind w:left="0" w:right="0" w:firstLine="0"/>
        <w:jc w:val="right"/>
        <w:rPr>
          <w:rFonts w:ascii="宋体" w:hAnsi="宋体" w:cs="宋体" w:eastAsia="宋体" w:hint="default"/>
          <w:sz w:val="13"/>
          <w:szCs w:val="13"/>
        </w:rPr>
      </w:pPr>
      <w:r>
        <w:rPr>
          <w:rFonts w:ascii="宋体" w:hAnsi="宋体" w:cs="宋体" w:eastAsia="宋体" w:hint="default"/>
          <w:b/>
          <w:bCs/>
          <w:w w:val="95"/>
          <w:sz w:val="13"/>
          <w:szCs w:val="13"/>
        </w:rPr>
        <w:t>占总额</w:t>
      </w:r>
      <w:r>
        <w:rPr>
          <w:rFonts w:ascii="宋体" w:hAnsi="宋体" w:cs="宋体" w:eastAsia="宋体" w:hint="default"/>
          <w:sz w:val="13"/>
          <w:szCs w:val="13"/>
        </w:rPr>
      </w:r>
    </w:p>
    <w:p>
      <w:pPr>
        <w:spacing w:line="240" w:lineRule="auto" w:before="11"/>
        <w:rPr>
          <w:rFonts w:ascii="宋体" w:hAnsi="宋体" w:cs="宋体" w:eastAsia="宋体" w:hint="default"/>
          <w:b/>
          <w:bCs/>
          <w:sz w:val="16"/>
          <w:szCs w:val="16"/>
        </w:rPr>
      </w:pPr>
      <w:r>
        <w:rPr/>
        <w:br w:type="column"/>
      </w:r>
      <w:r>
        <w:rPr>
          <w:rFonts w:ascii="宋体"/>
          <w:b/>
          <w:sz w:val="16"/>
        </w:rPr>
      </w:r>
    </w:p>
    <w:p>
      <w:pPr>
        <w:spacing w:before="0"/>
        <w:ind w:left="0" w:right="0" w:firstLine="0"/>
        <w:jc w:val="right"/>
        <w:rPr>
          <w:rFonts w:ascii="宋体" w:hAnsi="宋体" w:cs="宋体" w:eastAsia="宋体" w:hint="default"/>
          <w:sz w:val="13"/>
          <w:szCs w:val="13"/>
        </w:rPr>
      </w:pPr>
      <w:r>
        <w:rPr>
          <w:rFonts w:ascii="宋体" w:hAnsi="宋体" w:cs="宋体" w:eastAsia="宋体" w:hint="default"/>
          <w:b/>
          <w:bCs/>
          <w:sz w:val="13"/>
          <w:szCs w:val="13"/>
        </w:rPr>
        <w:t>坏账准备</w:t>
      </w:r>
      <w:r>
        <w:rPr>
          <w:rFonts w:ascii="宋体" w:hAnsi="宋体" w:cs="宋体" w:eastAsia="宋体" w:hint="default"/>
          <w:sz w:val="13"/>
          <w:szCs w:val="13"/>
        </w:rPr>
      </w:r>
    </w:p>
    <w:p>
      <w:pPr>
        <w:spacing w:line="240" w:lineRule="auto" w:before="5"/>
        <w:rPr>
          <w:rFonts w:ascii="宋体" w:hAnsi="宋体" w:cs="宋体" w:eastAsia="宋体" w:hint="default"/>
          <w:b/>
          <w:bCs/>
          <w:sz w:val="15"/>
          <w:szCs w:val="15"/>
        </w:rPr>
      </w:pPr>
      <w:r>
        <w:rPr/>
        <w:br w:type="column"/>
      </w:r>
      <w:r>
        <w:rPr>
          <w:rFonts w:ascii="宋体"/>
          <w:b/>
          <w:sz w:val="15"/>
        </w:rPr>
      </w:r>
    </w:p>
    <w:p>
      <w:pPr>
        <w:spacing w:before="0"/>
        <w:ind w:left="0" w:right="0" w:firstLine="0"/>
        <w:jc w:val="right"/>
        <w:rPr>
          <w:rFonts w:ascii="宋体" w:hAnsi="宋体" w:cs="宋体" w:eastAsia="宋体" w:hint="default"/>
          <w:sz w:val="13"/>
          <w:szCs w:val="13"/>
        </w:rPr>
      </w:pPr>
      <w:r>
        <w:rPr>
          <w:rFonts w:ascii="宋体" w:hAnsi="宋体" w:cs="宋体" w:eastAsia="宋体" w:hint="default"/>
          <w:b/>
          <w:bCs/>
          <w:w w:val="95"/>
          <w:sz w:val="13"/>
          <w:szCs w:val="13"/>
        </w:rPr>
        <w:t>占总额</w:t>
      </w:r>
      <w:r>
        <w:rPr>
          <w:rFonts w:ascii="宋体" w:hAnsi="宋体" w:cs="宋体" w:eastAsia="宋体" w:hint="default"/>
          <w:sz w:val="13"/>
          <w:szCs w:val="13"/>
        </w:rPr>
      </w:r>
    </w:p>
    <w:p>
      <w:pPr>
        <w:spacing w:before="59"/>
        <w:ind w:left="1230" w:right="0" w:firstLine="0"/>
        <w:jc w:val="left"/>
        <w:rPr>
          <w:rFonts w:ascii="宋体" w:hAnsi="宋体" w:cs="宋体" w:eastAsia="宋体" w:hint="default"/>
          <w:sz w:val="13"/>
          <w:szCs w:val="13"/>
        </w:rPr>
      </w:pPr>
      <w:r>
        <w:rPr/>
        <w:br w:type="column"/>
      </w:r>
      <w:r>
        <w:rPr>
          <w:rFonts w:ascii="宋体" w:hAnsi="宋体" w:cs="宋体" w:eastAsia="宋体" w:hint="default"/>
          <w:b/>
          <w:bCs/>
          <w:sz w:val="13"/>
          <w:szCs w:val="13"/>
        </w:rPr>
        <w:t>坏账准</w:t>
      </w:r>
      <w:r>
        <w:rPr>
          <w:rFonts w:ascii="宋体" w:hAnsi="宋体" w:cs="宋体" w:eastAsia="宋体" w:hint="default"/>
          <w:sz w:val="13"/>
          <w:szCs w:val="13"/>
        </w:rPr>
      </w:r>
    </w:p>
    <w:p>
      <w:pPr>
        <w:spacing w:after="0"/>
        <w:jc w:val="left"/>
        <w:rPr>
          <w:rFonts w:ascii="宋体" w:hAnsi="宋体" w:cs="宋体" w:eastAsia="宋体" w:hint="default"/>
          <w:sz w:val="13"/>
          <w:szCs w:val="13"/>
        </w:rPr>
        <w:sectPr>
          <w:type w:val="continuous"/>
          <w:pgSz w:w="11910" w:h="16840"/>
          <w:pgMar w:top="1580" w:bottom="1140" w:left="1580" w:right="1300"/>
          <w:cols w:num="4" w:equalWidth="0">
            <w:col w:w="3452" w:space="40"/>
            <w:col w:w="1662" w:space="40"/>
            <w:col w:w="1612" w:space="40"/>
            <w:col w:w="2184"/>
          </w:cols>
        </w:sectPr>
      </w:pPr>
    </w:p>
    <w:tbl>
      <w:tblPr>
        <w:tblW w:w="0" w:type="auto"/>
        <w:jc w:val="left"/>
        <w:tblInd w:w="112" w:type="dxa"/>
        <w:tblLayout w:type="fixed"/>
        <w:tblCellMar>
          <w:top w:w="0" w:type="dxa"/>
          <w:left w:w="0" w:type="dxa"/>
          <w:bottom w:w="0" w:type="dxa"/>
          <w:right w:w="0" w:type="dxa"/>
        </w:tblCellMar>
        <w:tblLook w:val="01E0"/>
      </w:tblPr>
      <w:tblGrid>
        <w:gridCol w:w="1672"/>
        <w:gridCol w:w="1123"/>
        <w:gridCol w:w="674"/>
        <w:gridCol w:w="901"/>
        <w:gridCol w:w="833"/>
        <w:gridCol w:w="996"/>
        <w:gridCol w:w="1775"/>
        <w:gridCol w:w="550"/>
        <w:gridCol w:w="274"/>
      </w:tblGrid>
      <w:tr>
        <w:trPr>
          <w:trHeight w:val="180" w:hRule="exact"/>
        </w:trPr>
        <w:tc>
          <w:tcPr>
            <w:tcW w:w="1672" w:type="dxa"/>
            <w:tcBorders>
              <w:top w:val="nil" w:sz="6" w:space="0" w:color="auto"/>
              <w:left w:val="nil" w:sz="6" w:space="0" w:color="auto"/>
              <w:bottom w:val="nil" w:sz="6" w:space="0" w:color="auto"/>
              <w:right w:val="nil" w:sz="6" w:space="0" w:color="auto"/>
            </w:tcBorders>
          </w:tcPr>
          <w:p>
            <w:pPr>
              <w:pStyle w:val="TableParagraph"/>
              <w:spacing w:line="130" w:lineRule="exact"/>
              <w:ind w:left="152" w:right="0"/>
              <w:jc w:val="center"/>
              <w:rPr>
                <w:rFonts w:ascii="宋体" w:hAnsi="宋体" w:cs="宋体" w:eastAsia="宋体" w:hint="default"/>
                <w:sz w:val="13"/>
                <w:szCs w:val="13"/>
              </w:rPr>
            </w:pPr>
            <w:r>
              <w:rPr>
                <w:rFonts w:ascii="宋体" w:hAnsi="宋体" w:cs="宋体" w:eastAsia="宋体" w:hint="default"/>
                <w:b/>
                <w:bCs/>
                <w:sz w:val="13"/>
                <w:szCs w:val="13"/>
              </w:rPr>
              <w:t>类别</w:t>
            </w:r>
            <w:r>
              <w:rPr>
                <w:rFonts w:ascii="宋体" w:hAnsi="宋体" w:cs="宋体" w:eastAsia="宋体" w:hint="default"/>
                <w:sz w:val="13"/>
                <w:szCs w:val="13"/>
              </w:rPr>
            </w:r>
          </w:p>
        </w:tc>
        <w:tc>
          <w:tcPr>
            <w:tcW w:w="1123"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Style w:val="TableParagraph"/>
              <w:spacing w:line="151" w:lineRule="exact"/>
              <w:ind w:left="-13" w:right="0"/>
              <w:jc w:val="left"/>
              <w:rPr>
                <w:rFonts w:ascii="宋体" w:hAnsi="宋体" w:cs="宋体" w:eastAsia="宋体" w:hint="default"/>
                <w:sz w:val="13"/>
                <w:szCs w:val="13"/>
              </w:rPr>
            </w:pPr>
            <w:r>
              <w:rPr>
                <w:rFonts w:ascii="宋体" w:hAnsi="宋体" w:cs="宋体" w:eastAsia="宋体" w:hint="default"/>
                <w:b/>
                <w:bCs/>
                <w:sz w:val="13"/>
                <w:szCs w:val="13"/>
              </w:rPr>
              <w:t>备计提</w:t>
            </w:r>
            <w:r>
              <w:rPr>
                <w:rFonts w:ascii="宋体" w:hAnsi="宋体" w:cs="宋体" w:eastAsia="宋体" w:hint="default"/>
                <w:sz w:val="13"/>
                <w:szCs w:val="13"/>
              </w:rPr>
            </w:r>
          </w:p>
        </w:tc>
        <w:tc>
          <w:tcPr>
            <w:tcW w:w="274" w:type="dxa"/>
            <w:tcBorders>
              <w:top w:val="nil" w:sz="6" w:space="0" w:color="auto"/>
              <w:left w:val="nil" w:sz="6" w:space="0" w:color="auto"/>
              <w:bottom w:val="nil" w:sz="6" w:space="0" w:color="auto"/>
              <w:right w:val="nil" w:sz="6" w:space="0" w:color="auto"/>
            </w:tcBorders>
          </w:tcPr>
          <w:p>
            <w:pPr/>
          </w:p>
        </w:tc>
      </w:tr>
      <w:tr>
        <w:trPr>
          <w:trHeight w:val="236" w:hRule="exact"/>
        </w:trPr>
        <w:tc>
          <w:tcPr>
            <w:tcW w:w="2795" w:type="dxa"/>
            <w:gridSpan w:val="2"/>
            <w:tcBorders>
              <w:top w:val="nil" w:sz="6" w:space="0" w:color="auto"/>
              <w:left w:val="nil" w:sz="6" w:space="0" w:color="auto"/>
              <w:bottom w:val="nil" w:sz="6" w:space="0" w:color="auto"/>
              <w:right w:val="nil" w:sz="6" w:space="0" w:color="auto"/>
            </w:tcBorders>
          </w:tcPr>
          <w:p>
            <w:pPr>
              <w:pStyle w:val="TableParagraph"/>
              <w:spacing w:line="130" w:lineRule="exact"/>
              <w:ind w:right="349"/>
              <w:jc w:val="right"/>
              <w:rPr>
                <w:rFonts w:ascii="宋体" w:hAnsi="宋体" w:cs="宋体" w:eastAsia="宋体" w:hint="default"/>
                <w:sz w:val="13"/>
                <w:szCs w:val="13"/>
              </w:rPr>
            </w:pPr>
            <w:r>
              <w:rPr>
                <w:rFonts w:ascii="宋体" w:hAnsi="宋体" w:cs="宋体" w:eastAsia="宋体" w:hint="default"/>
                <w:b/>
                <w:bCs/>
                <w:sz w:val="13"/>
                <w:szCs w:val="13"/>
              </w:rPr>
              <w:t>金额</w:t>
            </w:r>
            <w:r>
              <w:rPr>
                <w:rFonts w:ascii="宋体" w:hAnsi="宋体" w:cs="宋体" w:eastAsia="宋体" w:hint="default"/>
                <w:sz w:val="13"/>
                <w:szCs w:val="13"/>
              </w:rPr>
            </w:r>
          </w:p>
        </w:tc>
        <w:tc>
          <w:tcPr>
            <w:tcW w:w="674" w:type="dxa"/>
            <w:tcBorders>
              <w:top w:val="nil" w:sz="6" w:space="0" w:color="auto"/>
              <w:left w:val="nil" w:sz="6" w:space="0" w:color="auto"/>
              <w:bottom w:val="nil" w:sz="6" w:space="0" w:color="auto"/>
              <w:right w:val="nil" w:sz="6" w:space="0" w:color="auto"/>
            </w:tcBorders>
          </w:tcPr>
          <w:p>
            <w:pPr>
              <w:pStyle w:val="TableParagraph"/>
              <w:spacing w:line="151" w:lineRule="exact"/>
              <w:ind w:right="191"/>
              <w:jc w:val="right"/>
              <w:rPr>
                <w:rFonts w:ascii="宋体" w:hAnsi="宋体" w:cs="宋体" w:eastAsia="宋体" w:hint="default"/>
                <w:sz w:val="13"/>
                <w:szCs w:val="13"/>
              </w:rPr>
            </w:pPr>
            <w:r>
              <w:rPr>
                <w:rFonts w:ascii="宋体" w:hAnsi="宋体" w:cs="宋体" w:eastAsia="宋体" w:hint="default"/>
                <w:b/>
                <w:bCs/>
                <w:sz w:val="13"/>
                <w:szCs w:val="13"/>
              </w:rPr>
              <w:t>比例</w:t>
            </w:r>
            <w:r>
              <w:rPr>
                <w:rFonts w:ascii="宋体" w:hAnsi="宋体" w:cs="宋体" w:eastAsia="宋体" w:hint="default"/>
                <w:sz w:val="13"/>
                <w:szCs w:val="13"/>
              </w:rPr>
            </w:r>
          </w:p>
        </w:tc>
        <w:tc>
          <w:tcPr>
            <w:tcW w:w="901" w:type="dxa"/>
            <w:tcBorders>
              <w:top w:val="nil" w:sz="6" w:space="0" w:color="auto"/>
              <w:left w:val="nil" w:sz="6" w:space="0" w:color="auto"/>
              <w:bottom w:val="nil" w:sz="6" w:space="0" w:color="auto"/>
              <w:right w:val="nil" w:sz="6" w:space="0" w:color="auto"/>
            </w:tcBorders>
          </w:tcPr>
          <w:p>
            <w:pPr>
              <w:pStyle w:val="TableParagraph"/>
              <w:spacing w:line="130" w:lineRule="exact"/>
              <w:ind w:left="131" w:right="0"/>
              <w:jc w:val="left"/>
              <w:rPr>
                <w:rFonts w:ascii="宋体" w:hAnsi="宋体" w:cs="宋体" w:eastAsia="宋体" w:hint="default"/>
                <w:sz w:val="13"/>
                <w:szCs w:val="13"/>
              </w:rPr>
            </w:pPr>
            <w:r>
              <w:rPr>
                <w:rFonts w:ascii="宋体" w:hAnsi="宋体" w:cs="宋体" w:eastAsia="宋体" w:hint="default"/>
                <w:b/>
                <w:bCs/>
                <w:sz w:val="13"/>
                <w:szCs w:val="13"/>
              </w:rPr>
              <w:t>坏账准备</w:t>
            </w:r>
            <w:r>
              <w:rPr>
                <w:rFonts w:ascii="宋体" w:hAnsi="宋体" w:cs="宋体" w:eastAsia="宋体" w:hint="default"/>
                <w:sz w:val="13"/>
                <w:szCs w:val="13"/>
              </w:rPr>
            </w:r>
          </w:p>
        </w:tc>
        <w:tc>
          <w:tcPr>
            <w:tcW w:w="833" w:type="dxa"/>
            <w:tcBorders>
              <w:top w:val="nil" w:sz="6" w:space="0" w:color="auto"/>
              <w:left w:val="nil" w:sz="6" w:space="0" w:color="auto"/>
              <w:bottom w:val="nil" w:sz="6" w:space="0" w:color="auto"/>
              <w:right w:val="nil" w:sz="6" w:space="0" w:color="auto"/>
            </w:tcBorders>
          </w:tcPr>
          <w:p>
            <w:pPr>
              <w:pStyle w:val="TableParagraph"/>
              <w:spacing w:line="130" w:lineRule="exact"/>
              <w:ind w:right="13"/>
              <w:jc w:val="center"/>
              <w:rPr>
                <w:rFonts w:ascii="宋体" w:hAnsi="宋体" w:cs="宋体" w:eastAsia="宋体" w:hint="default"/>
                <w:sz w:val="13"/>
                <w:szCs w:val="13"/>
              </w:rPr>
            </w:pPr>
            <w:r>
              <w:rPr>
                <w:rFonts w:ascii="宋体" w:hAnsi="宋体" w:cs="宋体" w:eastAsia="宋体" w:hint="default"/>
                <w:b/>
                <w:bCs/>
                <w:sz w:val="13"/>
                <w:szCs w:val="13"/>
              </w:rPr>
              <w:t>计提比例</w:t>
            </w:r>
            <w:r>
              <w:rPr>
                <w:rFonts w:ascii="宋体" w:hAnsi="宋体" w:cs="宋体" w:eastAsia="宋体" w:hint="default"/>
                <w:sz w:val="13"/>
                <w:szCs w:val="13"/>
              </w:rPr>
            </w:r>
          </w:p>
        </w:tc>
        <w:tc>
          <w:tcPr>
            <w:tcW w:w="996" w:type="dxa"/>
            <w:tcBorders>
              <w:top w:val="nil" w:sz="6" w:space="0" w:color="auto"/>
              <w:left w:val="nil" w:sz="6" w:space="0" w:color="auto"/>
              <w:bottom w:val="nil" w:sz="6" w:space="0" w:color="auto"/>
              <w:right w:val="nil" w:sz="6" w:space="0" w:color="auto"/>
            </w:tcBorders>
          </w:tcPr>
          <w:p>
            <w:pPr>
              <w:pStyle w:val="TableParagraph"/>
              <w:spacing w:line="130" w:lineRule="exact"/>
              <w:ind w:right="22"/>
              <w:jc w:val="center"/>
              <w:rPr>
                <w:rFonts w:ascii="宋体" w:hAnsi="宋体" w:cs="宋体" w:eastAsia="宋体" w:hint="default"/>
                <w:sz w:val="13"/>
                <w:szCs w:val="13"/>
              </w:rPr>
            </w:pPr>
            <w:r>
              <w:rPr>
                <w:rFonts w:ascii="宋体" w:hAnsi="宋体" w:cs="宋体" w:eastAsia="宋体" w:hint="default"/>
                <w:b/>
                <w:bCs/>
                <w:sz w:val="13"/>
                <w:szCs w:val="13"/>
              </w:rPr>
              <w:t>金额</w:t>
            </w:r>
            <w:r>
              <w:rPr>
                <w:rFonts w:ascii="宋体" w:hAnsi="宋体" w:cs="宋体" w:eastAsia="宋体" w:hint="default"/>
                <w:sz w:val="13"/>
                <w:szCs w:val="13"/>
              </w:rPr>
            </w:r>
          </w:p>
        </w:tc>
        <w:tc>
          <w:tcPr>
            <w:tcW w:w="2325" w:type="dxa"/>
            <w:gridSpan w:val="2"/>
            <w:tcBorders>
              <w:top w:val="nil" w:sz="6" w:space="0" w:color="auto"/>
              <w:left w:val="nil" w:sz="6" w:space="0" w:color="auto"/>
              <w:bottom w:val="nil" w:sz="6" w:space="0" w:color="auto"/>
              <w:right w:val="nil" w:sz="6" w:space="0" w:color="auto"/>
            </w:tcBorders>
          </w:tcPr>
          <w:p>
            <w:pPr>
              <w:pStyle w:val="TableParagraph"/>
              <w:tabs>
                <w:tab w:pos="730" w:val="left" w:leader="none"/>
              </w:tabs>
              <w:spacing w:line="135" w:lineRule="exact"/>
              <w:ind w:left="166" w:right="0"/>
              <w:jc w:val="left"/>
              <w:rPr>
                <w:rFonts w:ascii="宋体" w:hAnsi="宋体" w:cs="宋体" w:eastAsia="宋体" w:hint="default"/>
                <w:sz w:val="13"/>
                <w:szCs w:val="13"/>
              </w:rPr>
            </w:pPr>
            <w:r>
              <w:rPr>
                <w:rFonts w:ascii="宋体" w:hAnsi="宋体" w:cs="宋体" w:eastAsia="宋体" w:hint="default"/>
                <w:b/>
                <w:bCs/>
                <w:position w:val="-1"/>
                <w:sz w:val="13"/>
                <w:szCs w:val="13"/>
              </w:rPr>
              <w:t>比例</w:t>
              <w:tab/>
            </w:r>
            <w:r>
              <w:rPr>
                <w:rFonts w:ascii="宋体" w:hAnsi="宋体" w:cs="宋体" w:eastAsia="宋体" w:hint="default"/>
                <w:b/>
                <w:bCs/>
                <w:sz w:val="13"/>
                <w:szCs w:val="13"/>
              </w:rPr>
              <w:t>坏账准备</w:t>
            </w:r>
            <w:r>
              <w:rPr>
                <w:rFonts w:ascii="宋体" w:hAnsi="宋体" w:cs="宋体" w:eastAsia="宋体" w:hint="default"/>
                <w:sz w:val="13"/>
                <w:szCs w:val="13"/>
              </w:rPr>
            </w:r>
          </w:p>
          <w:p>
            <w:pPr>
              <w:pStyle w:val="TableParagraph"/>
              <w:spacing w:line="141" w:lineRule="exact"/>
              <w:ind w:right="230"/>
              <w:jc w:val="right"/>
              <w:rPr>
                <w:rFonts w:ascii="宋体" w:hAnsi="宋体" w:cs="宋体" w:eastAsia="宋体" w:hint="default"/>
                <w:sz w:val="13"/>
                <w:szCs w:val="13"/>
              </w:rPr>
            </w:pPr>
            <w:r>
              <w:rPr>
                <w:rFonts w:ascii="宋体" w:hAnsi="宋体" w:cs="宋体" w:eastAsia="宋体" w:hint="default"/>
                <w:b/>
                <w:bCs/>
                <w:sz w:val="13"/>
                <w:szCs w:val="13"/>
              </w:rPr>
              <w:t>比例</w:t>
            </w:r>
            <w:r>
              <w:rPr>
                <w:rFonts w:ascii="宋体" w:hAnsi="宋体" w:cs="宋体" w:eastAsia="宋体" w:hint="default"/>
                <w:sz w:val="13"/>
                <w:szCs w:val="13"/>
              </w:rPr>
            </w:r>
          </w:p>
        </w:tc>
        <w:tc>
          <w:tcPr>
            <w:tcW w:w="274" w:type="dxa"/>
            <w:tcBorders>
              <w:top w:val="single" w:sz="6" w:space="0" w:color="auto"/>
              <w:left w:val="single" w:sz="6" w:space="0" w:color="auto"/>
              <w:bottom w:val="single" w:sz="6" w:space="0" w:color="auto"/>
              <w:right w:val="single" w:sz="6" w:space="0" w:color="auto"/>
            </w:tcBorders>
          </w:tcPr>
          <w:p>
            <w:pPr/>
          </w:p>
        </w:tc>
      </w:tr>
      <w:tr>
        <w:trPr>
          <w:trHeight w:val="463" w:hRule="exact"/>
        </w:trPr>
        <w:tc>
          <w:tcPr>
            <w:tcW w:w="2795" w:type="dxa"/>
            <w:gridSpan w:val="2"/>
            <w:tcBorders>
              <w:top w:val="nil" w:sz="6" w:space="0" w:color="auto"/>
              <w:left w:val="nil" w:sz="6" w:space="0" w:color="auto"/>
              <w:bottom w:val="single" w:sz="4" w:space="0" w:color="000000"/>
              <w:right w:val="nil" w:sz="6" w:space="0" w:color="auto"/>
            </w:tcBorders>
          </w:tcPr>
          <w:p>
            <w:pPr/>
          </w:p>
        </w:tc>
        <w:tc>
          <w:tcPr>
            <w:tcW w:w="674"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31"/>
              <w:jc w:val="right"/>
              <w:rPr>
                <w:rFonts w:ascii="宋体" w:hAnsi="宋体" w:cs="宋体" w:eastAsia="宋体" w:hint="default"/>
                <w:sz w:val="13"/>
                <w:szCs w:val="13"/>
              </w:rPr>
            </w:pPr>
            <w:r>
              <w:rPr>
                <w:rFonts w:ascii="宋体" w:hAnsi="宋体" w:cs="宋体" w:eastAsia="宋体" w:hint="default"/>
                <w:b/>
                <w:bCs/>
                <w:spacing w:val="-1"/>
                <w:w w:val="95"/>
                <w:sz w:val="13"/>
                <w:szCs w:val="13"/>
              </w:rPr>
              <w:t>（</w:t>
            </w:r>
            <w:r>
              <w:rPr>
                <w:rFonts w:ascii="Times New Roman" w:hAnsi="Times New Roman" w:cs="Times New Roman" w:eastAsia="Times New Roman" w:hint="default"/>
                <w:b/>
                <w:bCs/>
                <w:spacing w:val="-1"/>
                <w:w w:val="95"/>
                <w:sz w:val="13"/>
                <w:szCs w:val="13"/>
              </w:rPr>
              <w:t>%</w:t>
            </w:r>
            <w:r>
              <w:rPr>
                <w:rFonts w:ascii="宋体" w:hAnsi="宋体" w:cs="宋体" w:eastAsia="宋体" w:hint="default"/>
                <w:b/>
                <w:bCs/>
                <w:spacing w:val="-1"/>
                <w:w w:val="95"/>
                <w:sz w:val="13"/>
                <w:szCs w:val="13"/>
              </w:rPr>
              <w:t>）</w:t>
            </w:r>
            <w:r>
              <w:rPr>
                <w:rFonts w:ascii="宋体" w:hAnsi="宋体" w:cs="宋体" w:eastAsia="宋体" w:hint="default"/>
                <w:spacing w:val="-1"/>
                <w:sz w:val="13"/>
                <w:szCs w:val="13"/>
              </w:rPr>
            </w:r>
          </w:p>
        </w:tc>
        <w:tc>
          <w:tcPr>
            <w:tcW w:w="901" w:type="dxa"/>
            <w:tcBorders>
              <w:top w:val="nil" w:sz="6" w:space="0" w:color="auto"/>
              <w:left w:val="nil" w:sz="6" w:space="0" w:color="auto"/>
              <w:bottom w:val="single" w:sz="4" w:space="0" w:color="000000"/>
              <w:right w:val="nil" w:sz="6" w:space="0" w:color="auto"/>
            </w:tcBorders>
          </w:tcPr>
          <w:p>
            <w:pPr/>
          </w:p>
        </w:tc>
        <w:tc>
          <w:tcPr>
            <w:tcW w:w="8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7"/>
              <w:jc w:val="center"/>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996" w:type="dxa"/>
            <w:tcBorders>
              <w:top w:val="nil" w:sz="6" w:space="0" w:color="auto"/>
              <w:left w:val="nil" w:sz="6" w:space="0" w:color="auto"/>
              <w:bottom w:val="single" w:sz="4" w:space="0" w:color="000000"/>
              <w:right w:val="nil" w:sz="6" w:space="0" w:color="auto"/>
            </w:tcBorders>
          </w:tcPr>
          <w:p>
            <w:pPr/>
          </w:p>
        </w:tc>
        <w:tc>
          <w:tcPr>
            <w:tcW w:w="2325" w:type="dxa"/>
            <w:gridSpan w:val="2"/>
            <w:tcBorders>
              <w:top w:val="nil" w:sz="6" w:space="0" w:color="auto"/>
              <w:left w:val="nil" w:sz="6" w:space="0" w:color="auto"/>
              <w:bottom w:val="single" w:sz="4" w:space="0" w:color="000000"/>
              <w:right w:val="nil" w:sz="6" w:space="0" w:color="auto"/>
            </w:tcBorders>
          </w:tcPr>
          <w:p>
            <w:pPr>
              <w:pStyle w:val="TableParagraph"/>
              <w:spacing w:line="160" w:lineRule="exact" w:before="64"/>
              <w:ind w:left="101" w:right="0"/>
              <w:jc w:val="left"/>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p>
            <w:pPr>
              <w:pStyle w:val="TableParagraph"/>
              <w:spacing w:line="160" w:lineRule="exact"/>
              <w:ind w:right="170"/>
              <w:jc w:val="right"/>
              <w:rPr>
                <w:rFonts w:ascii="宋体" w:hAnsi="宋体" w:cs="宋体" w:eastAsia="宋体" w:hint="default"/>
                <w:sz w:val="13"/>
                <w:szCs w:val="13"/>
              </w:rPr>
            </w:pPr>
            <w:r>
              <w:rPr>
                <w:rFonts w:ascii="宋体" w:hAnsi="宋体" w:cs="宋体" w:eastAsia="宋体" w:hint="default"/>
                <w:b/>
                <w:bCs/>
                <w:spacing w:val="-1"/>
                <w:w w:val="95"/>
                <w:sz w:val="13"/>
                <w:szCs w:val="13"/>
              </w:rPr>
              <w:t>（</w:t>
            </w:r>
            <w:r>
              <w:rPr>
                <w:rFonts w:ascii="Times New Roman" w:hAnsi="Times New Roman" w:cs="Times New Roman" w:eastAsia="Times New Roman" w:hint="default"/>
                <w:b/>
                <w:bCs/>
                <w:spacing w:val="-1"/>
                <w:w w:val="95"/>
                <w:sz w:val="13"/>
                <w:szCs w:val="13"/>
              </w:rPr>
              <w:t>%</w:t>
            </w:r>
            <w:r>
              <w:rPr>
                <w:rFonts w:ascii="宋体" w:hAnsi="宋体" w:cs="宋体" w:eastAsia="宋体" w:hint="default"/>
                <w:b/>
                <w:bCs/>
                <w:spacing w:val="-1"/>
                <w:w w:val="95"/>
                <w:sz w:val="13"/>
                <w:szCs w:val="13"/>
              </w:rPr>
              <w:t>）</w:t>
            </w:r>
            <w:r>
              <w:rPr>
                <w:rFonts w:ascii="宋体" w:hAnsi="宋体" w:cs="宋体" w:eastAsia="宋体" w:hint="default"/>
                <w:spacing w:val="-1"/>
                <w:sz w:val="13"/>
                <w:szCs w:val="13"/>
              </w:rPr>
            </w:r>
          </w:p>
        </w:tc>
        <w:tc>
          <w:tcPr>
            <w:tcW w:w="274" w:type="dxa"/>
            <w:tcBorders>
              <w:top w:val="single" w:sz="6" w:space="0" w:color="auto"/>
              <w:left w:val="single" w:sz="6" w:space="0" w:color="auto"/>
              <w:bottom w:val="single" w:sz="6" w:space="0" w:color="auto"/>
              <w:right w:val="single" w:sz="6" w:space="0" w:color="auto"/>
            </w:tcBorders>
          </w:tcPr>
          <w:p>
            <w:pPr/>
          </w:p>
        </w:tc>
      </w:tr>
      <w:tr>
        <w:trPr>
          <w:trHeight w:val="2103" w:hRule="exact"/>
        </w:trPr>
        <w:tc>
          <w:tcPr>
            <w:tcW w:w="2795" w:type="dxa"/>
            <w:gridSpan w:val="2"/>
            <w:tcBorders>
              <w:top w:val="single" w:sz="4" w:space="0" w:color="000000"/>
              <w:left w:val="nil" w:sz="6" w:space="0" w:color="auto"/>
              <w:bottom w:val="nil" w:sz="6" w:space="0" w:color="auto"/>
              <w:right w:val="nil" w:sz="6" w:space="0" w:color="auto"/>
            </w:tcBorders>
          </w:tcPr>
          <w:p>
            <w:pPr>
              <w:pStyle w:val="TableParagraph"/>
              <w:spacing w:line="453" w:lineRule="auto" w:before="105"/>
              <w:ind w:left="108" w:right="1127"/>
              <w:jc w:val="left"/>
              <w:rPr>
                <w:rFonts w:ascii="宋体" w:hAnsi="宋体" w:cs="宋体" w:eastAsia="宋体" w:hint="default"/>
                <w:sz w:val="13"/>
                <w:szCs w:val="13"/>
              </w:rPr>
            </w:pPr>
            <w:r>
              <w:rPr>
                <w:rFonts w:ascii="宋体" w:hAnsi="宋体" w:cs="宋体" w:eastAsia="宋体" w:hint="default"/>
                <w:w w:val="95"/>
                <w:sz w:val="13"/>
                <w:szCs w:val="13"/>
              </w:rPr>
              <w:t>单项金额重大并单项计提坏</w:t>
            </w:r>
            <w:r>
              <w:rPr>
                <w:rFonts w:ascii="宋体" w:hAnsi="宋体" w:cs="宋体" w:eastAsia="宋体" w:hint="default"/>
                <w:spacing w:val="13"/>
                <w:w w:val="95"/>
                <w:sz w:val="13"/>
                <w:szCs w:val="13"/>
              </w:rPr>
              <w:t> </w:t>
            </w:r>
            <w:r>
              <w:rPr>
                <w:rFonts w:ascii="宋体" w:hAnsi="宋体" w:cs="宋体" w:eastAsia="宋体" w:hint="default"/>
                <w:spacing w:val="13"/>
                <w:w w:val="95"/>
                <w:sz w:val="13"/>
                <w:szCs w:val="13"/>
              </w:rPr>
            </w:r>
            <w:r>
              <w:rPr>
                <w:rFonts w:ascii="宋体" w:hAnsi="宋体" w:cs="宋体" w:eastAsia="宋体" w:hint="default"/>
                <w:sz w:val="13"/>
                <w:szCs w:val="13"/>
              </w:rPr>
              <w:t>账准备的应收账款</w:t>
            </w:r>
          </w:p>
          <w:p>
            <w:pPr>
              <w:pStyle w:val="TableParagraph"/>
              <w:spacing w:line="451" w:lineRule="auto" w:before="74"/>
              <w:ind w:left="108" w:right="1127"/>
              <w:jc w:val="left"/>
              <w:rPr>
                <w:rFonts w:ascii="宋体" w:hAnsi="宋体" w:cs="宋体" w:eastAsia="宋体" w:hint="default"/>
                <w:sz w:val="13"/>
                <w:szCs w:val="13"/>
              </w:rPr>
            </w:pPr>
            <w:r>
              <w:rPr>
                <w:rFonts w:ascii="宋体" w:hAnsi="宋体" w:cs="宋体" w:eastAsia="宋体" w:hint="default"/>
                <w:w w:val="95"/>
                <w:sz w:val="13"/>
                <w:szCs w:val="13"/>
              </w:rPr>
              <w:t>按组合计提坏账准备的应收</w:t>
            </w:r>
            <w:r>
              <w:rPr>
                <w:rFonts w:ascii="宋体" w:hAnsi="宋体" w:cs="宋体" w:eastAsia="宋体" w:hint="default"/>
                <w:spacing w:val="13"/>
                <w:w w:val="95"/>
                <w:sz w:val="13"/>
                <w:szCs w:val="13"/>
              </w:rPr>
              <w:t> </w:t>
            </w:r>
            <w:r>
              <w:rPr>
                <w:rFonts w:ascii="宋体" w:hAnsi="宋体" w:cs="宋体" w:eastAsia="宋体" w:hint="default"/>
                <w:spacing w:val="13"/>
                <w:w w:val="95"/>
                <w:sz w:val="13"/>
                <w:szCs w:val="13"/>
              </w:rPr>
            </w:r>
            <w:r>
              <w:rPr>
                <w:rFonts w:ascii="宋体" w:hAnsi="宋体" w:cs="宋体" w:eastAsia="宋体" w:hint="default"/>
                <w:sz w:val="13"/>
                <w:szCs w:val="13"/>
              </w:rPr>
              <w:t>账款</w:t>
            </w:r>
          </w:p>
          <w:p>
            <w:pPr>
              <w:pStyle w:val="TableParagraph"/>
              <w:tabs>
                <w:tab w:pos="2006" w:val="left" w:leader="none"/>
              </w:tabs>
              <w:spacing w:line="240" w:lineRule="auto" w:before="75"/>
              <w:ind w:left="108"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组合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w:t>
              <w:tab/>
              <w:t>6,876,671.42</w:t>
            </w: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单项金额虽不重大但单项计</w:t>
            </w:r>
          </w:p>
        </w:tc>
        <w:tc>
          <w:tcPr>
            <w:tcW w:w="67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3"/>
              <w:ind w:right="144"/>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90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3"/>
              <w:ind w:left="194" w:right="0"/>
              <w:jc w:val="left"/>
              <w:rPr>
                <w:rFonts w:ascii="Times New Roman" w:hAnsi="Times New Roman" w:cs="Times New Roman" w:eastAsia="Times New Roman" w:hint="default"/>
                <w:sz w:val="13"/>
                <w:szCs w:val="13"/>
              </w:rPr>
            </w:pPr>
            <w:r>
              <w:rPr>
                <w:rFonts w:ascii="Times New Roman"/>
                <w:sz w:val="13"/>
              </w:rPr>
              <w:t>240,382.41</w:t>
            </w:r>
          </w:p>
        </w:tc>
        <w:tc>
          <w:tcPr>
            <w:tcW w:w="83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3"/>
              <w:ind w:right="14"/>
              <w:jc w:val="center"/>
              <w:rPr>
                <w:rFonts w:ascii="Times New Roman" w:hAnsi="Times New Roman" w:cs="Times New Roman" w:eastAsia="Times New Roman" w:hint="default"/>
                <w:sz w:val="13"/>
                <w:szCs w:val="13"/>
              </w:rPr>
            </w:pPr>
            <w:r>
              <w:rPr>
                <w:rFonts w:ascii="Times New Roman"/>
                <w:sz w:val="13"/>
              </w:rPr>
              <w:t>3.50</w:t>
            </w:r>
          </w:p>
        </w:tc>
        <w:tc>
          <w:tcPr>
            <w:tcW w:w="99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3"/>
              <w:ind w:left="181" w:right="0"/>
              <w:jc w:val="left"/>
              <w:rPr>
                <w:rFonts w:ascii="Times New Roman" w:hAnsi="Times New Roman" w:cs="Times New Roman" w:eastAsia="Times New Roman" w:hint="default"/>
                <w:sz w:val="13"/>
                <w:szCs w:val="13"/>
              </w:rPr>
            </w:pPr>
            <w:r>
              <w:rPr>
                <w:rFonts w:ascii="Times New Roman"/>
                <w:sz w:val="13"/>
              </w:rPr>
              <w:t>5,567,193.07</w:t>
            </w:r>
          </w:p>
        </w:tc>
        <w:tc>
          <w:tcPr>
            <w:tcW w:w="232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tabs>
                <w:tab w:pos="900" w:val="left" w:leader="none"/>
                <w:tab w:pos="1844" w:val="left" w:leader="none"/>
              </w:tabs>
              <w:spacing w:line="240" w:lineRule="auto" w:before="83"/>
              <w:ind w:left="118" w:right="0"/>
              <w:jc w:val="left"/>
              <w:rPr>
                <w:rFonts w:ascii="Times New Roman" w:hAnsi="Times New Roman" w:cs="Times New Roman" w:eastAsia="Times New Roman" w:hint="default"/>
                <w:sz w:val="13"/>
                <w:szCs w:val="13"/>
              </w:rPr>
            </w:pPr>
            <w:r>
              <w:rPr>
                <w:rFonts w:ascii="Times New Roman"/>
                <w:w w:val="95"/>
                <w:sz w:val="13"/>
              </w:rPr>
              <w:t>100.00</w:t>
              <w:tab/>
            </w:r>
            <w:r>
              <w:rPr>
                <w:rFonts w:ascii="Times New Roman"/>
                <w:sz w:val="13"/>
              </w:rPr>
              <w:t>308,967.65</w:t>
              <w:tab/>
              <w:t>5.55</w:t>
            </w:r>
          </w:p>
        </w:tc>
        <w:tc>
          <w:tcPr>
            <w:tcW w:w="274" w:type="dxa"/>
            <w:tcBorders>
              <w:top w:val="single" w:sz="6" w:space="0" w:color="auto"/>
              <w:left w:val="single" w:sz="6" w:space="0" w:color="auto"/>
              <w:bottom w:val="single" w:sz="6" w:space="0" w:color="auto"/>
              <w:right w:val="single" w:sz="6" w:space="0" w:color="auto"/>
            </w:tcBorders>
          </w:tcPr>
          <w:p>
            <w:pPr/>
          </w:p>
        </w:tc>
      </w:tr>
      <w:tr>
        <w:trPr>
          <w:trHeight w:val="585" w:hRule="exact"/>
        </w:trPr>
        <w:tc>
          <w:tcPr>
            <w:tcW w:w="27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3"/>
                <w:szCs w:val="13"/>
              </w:rPr>
            </w:pPr>
            <w:r>
              <w:rPr>
                <w:rFonts w:ascii="宋体" w:hAnsi="宋体" w:cs="宋体" w:eastAsia="宋体" w:hint="default"/>
                <w:sz w:val="13"/>
                <w:szCs w:val="13"/>
              </w:rPr>
              <w:t>提坏账准备的应收账款</w:t>
            </w:r>
          </w:p>
          <w:p>
            <w:pPr>
              <w:pStyle w:val="TableParagraph"/>
              <w:spacing w:line="240" w:lineRule="auto" w:before="7"/>
              <w:ind w:right="0"/>
              <w:jc w:val="left"/>
              <w:rPr>
                <w:rFonts w:ascii="宋体" w:hAnsi="宋体" w:cs="宋体" w:eastAsia="宋体" w:hint="default"/>
                <w:b/>
                <w:bCs/>
                <w:sz w:val="14"/>
                <w:szCs w:val="14"/>
              </w:rPr>
            </w:pPr>
          </w:p>
          <w:p>
            <w:pPr>
              <w:pStyle w:val="TableParagraph"/>
              <w:tabs>
                <w:tab w:pos="2006" w:val="left" w:leader="none"/>
              </w:tabs>
              <w:spacing w:line="240" w:lineRule="auto"/>
              <w:ind w:left="782" w:right="0"/>
              <w:jc w:val="left"/>
              <w:rPr>
                <w:rFonts w:ascii="Times New Roman" w:hAnsi="Times New Roman" w:cs="Times New Roman" w:eastAsia="Times New Roman" w:hint="default"/>
                <w:sz w:val="13"/>
                <w:szCs w:val="13"/>
              </w:rPr>
            </w:pPr>
            <w:r>
              <w:rPr>
                <w:rFonts w:ascii="宋体" w:hAnsi="宋体" w:cs="宋体" w:eastAsia="宋体" w:hint="default"/>
                <w:w w:val="95"/>
                <w:sz w:val="13"/>
                <w:szCs w:val="13"/>
              </w:rPr>
              <w:t>合计</w:t>
              <w:tab/>
            </w:r>
            <w:r>
              <w:rPr>
                <w:rFonts w:ascii="Times New Roman" w:hAnsi="Times New Roman" w:cs="Times New Roman" w:eastAsia="Times New Roman" w:hint="default"/>
                <w:w w:val="95"/>
                <w:sz w:val="13"/>
                <w:szCs w:val="13"/>
              </w:rPr>
            </w:r>
            <w:r>
              <w:rPr>
                <w:rFonts w:ascii="Times New Roman" w:hAnsi="Times New Roman" w:cs="Times New Roman" w:eastAsia="Times New Roman" w:hint="default"/>
                <w:sz w:val="13"/>
                <w:szCs w:val="13"/>
                <w:u w:val="thick" w:color="000000"/>
              </w:rPr>
              <w:t>6,876,671.42</w:t>
            </w:r>
            <w:r>
              <w:rPr>
                <w:rFonts w:ascii="Times New Roman" w:hAnsi="Times New Roman" w:cs="Times New Roman" w:eastAsia="Times New Roman" w:hint="default"/>
                <w:sz w:val="13"/>
                <w:szCs w:val="13"/>
              </w:rPr>
            </w: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6"/>
              <w:ind w:right="0"/>
              <w:jc w:val="left"/>
              <w:rPr>
                <w:rFonts w:ascii="宋体" w:hAnsi="宋体" w:cs="宋体" w:eastAsia="宋体" w:hint="default"/>
                <w:b/>
                <w:bCs/>
                <w:sz w:val="9"/>
                <w:szCs w:val="9"/>
              </w:rPr>
            </w:pPr>
          </w:p>
          <w:p>
            <w:pPr>
              <w:pStyle w:val="TableParagraph"/>
              <w:spacing w:line="240" w:lineRule="auto"/>
              <w:ind w:right="227"/>
              <w:jc w:val="right"/>
              <w:rPr>
                <w:rFonts w:ascii="Times New Roman" w:hAnsi="Times New Roman" w:cs="Times New Roman" w:eastAsia="Times New Roman" w:hint="default"/>
                <w:sz w:val="13"/>
                <w:szCs w:val="13"/>
              </w:rPr>
            </w:pPr>
            <w:r>
              <w:rPr>
                <w:rFonts w:ascii="Times New Roman"/>
                <w:w w:val="99"/>
                <w:sz w:val="13"/>
              </w:rPr>
            </w:r>
            <w:r>
              <w:rPr>
                <w:rFonts w:ascii="Times New Roman"/>
                <w:w w:val="95"/>
                <w:sz w:val="13"/>
                <w:u w:val="thick" w:color="000000"/>
              </w:rPr>
              <w:t>100</w:t>
            </w:r>
            <w:r>
              <w:rPr>
                <w:rFonts w:ascii="Times New Roman"/>
                <w:w w:val="95"/>
                <w:sz w:val="13"/>
              </w:rPr>
            </w:r>
            <w:r>
              <w:rPr>
                <w:rFonts w:ascii="Times New Roman"/>
                <w:sz w:val="13"/>
              </w:rPr>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6"/>
              <w:ind w:right="0"/>
              <w:jc w:val="left"/>
              <w:rPr>
                <w:rFonts w:ascii="宋体" w:hAnsi="宋体" w:cs="宋体" w:eastAsia="宋体" w:hint="default"/>
                <w:b/>
                <w:bCs/>
                <w:sz w:val="9"/>
                <w:szCs w:val="9"/>
              </w:rPr>
            </w:pPr>
          </w:p>
          <w:p>
            <w:pPr>
              <w:pStyle w:val="TableParagraph"/>
              <w:spacing w:line="240" w:lineRule="auto"/>
              <w:ind w:left="194"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240,382.41</w:t>
            </w:r>
            <w:r>
              <w:rPr>
                <w:rFonts w:ascii="Times New Roman"/>
                <w:sz w:val="13"/>
              </w:rPr>
            </w:r>
          </w:p>
        </w:tc>
        <w:tc>
          <w:tcPr>
            <w:tcW w:w="833"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6"/>
              <w:ind w:right="0"/>
              <w:jc w:val="left"/>
              <w:rPr>
                <w:rFonts w:ascii="宋体" w:hAnsi="宋体" w:cs="宋体" w:eastAsia="宋体" w:hint="default"/>
                <w:b/>
                <w:bCs/>
                <w:sz w:val="9"/>
                <w:szCs w:val="9"/>
              </w:rPr>
            </w:pPr>
          </w:p>
          <w:p>
            <w:pPr>
              <w:pStyle w:val="TableParagraph"/>
              <w:spacing w:line="240" w:lineRule="auto"/>
              <w:ind w:left="181"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5,567,193.07</w:t>
            </w:r>
            <w:r>
              <w:rPr>
                <w:rFonts w:ascii="Times New Roman"/>
                <w:sz w:val="13"/>
              </w:rPr>
            </w:r>
          </w:p>
        </w:tc>
        <w:tc>
          <w:tcPr>
            <w:tcW w:w="232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6"/>
              <w:ind w:right="0"/>
              <w:jc w:val="left"/>
              <w:rPr>
                <w:rFonts w:ascii="宋体" w:hAnsi="宋体" w:cs="宋体" w:eastAsia="宋体" w:hint="default"/>
                <w:b/>
                <w:bCs/>
                <w:sz w:val="9"/>
                <w:szCs w:val="9"/>
              </w:rPr>
            </w:pPr>
          </w:p>
          <w:p>
            <w:pPr>
              <w:pStyle w:val="TableParagraph"/>
              <w:tabs>
                <w:tab w:pos="900" w:val="left" w:leader="none"/>
              </w:tabs>
              <w:spacing w:line="240" w:lineRule="auto"/>
              <w:ind w:left="200" w:right="0"/>
              <w:jc w:val="left"/>
              <w:rPr>
                <w:rFonts w:ascii="Times New Roman" w:hAnsi="Times New Roman" w:cs="Times New Roman" w:eastAsia="Times New Roman" w:hint="default"/>
                <w:sz w:val="13"/>
                <w:szCs w:val="13"/>
              </w:rPr>
            </w:pPr>
            <w:r>
              <w:rPr>
                <w:rFonts w:ascii="Times New Roman"/>
                <w:w w:val="99"/>
                <w:sz w:val="13"/>
              </w:rPr>
            </w:r>
            <w:r>
              <w:rPr>
                <w:rFonts w:ascii="Times New Roman"/>
                <w:w w:val="95"/>
                <w:sz w:val="13"/>
                <w:u w:val="thick" w:color="000000"/>
              </w:rPr>
              <w:t>100</w:t>
            </w:r>
            <w:r>
              <w:rPr>
                <w:rFonts w:ascii="Times New Roman"/>
                <w:w w:val="95"/>
                <w:sz w:val="13"/>
              </w:rPr>
              <w:tab/>
            </w:r>
            <w:r>
              <w:rPr>
                <w:rFonts w:ascii="Times New Roman"/>
                <w:sz w:val="13"/>
                <w:u w:val="thick" w:color="000000"/>
              </w:rPr>
              <w:t>308,967.65</w:t>
            </w:r>
            <w:r>
              <w:rPr>
                <w:rFonts w:ascii="Times New Roman"/>
                <w:sz w:val="13"/>
              </w:rPr>
            </w:r>
          </w:p>
        </w:tc>
        <w:tc>
          <w:tcPr>
            <w:tcW w:w="274" w:type="dxa"/>
            <w:tcBorders>
              <w:top w:val="single" w:sz="6" w:space="0" w:color="auto"/>
              <w:left w:val="single" w:sz="6" w:space="0" w:color="auto"/>
              <w:bottom w:val="single" w:sz="6" w:space="0" w:color="auto"/>
              <w:right w:val="single" w:sz="6" w:space="0" w:color="auto"/>
            </w:tcBorders>
          </w:tcPr>
          <w:p>
            <w:pPr/>
          </w:p>
        </w:tc>
      </w:tr>
      <w:tr>
        <w:trPr>
          <w:trHeight w:val="864" w:hRule="exact"/>
        </w:trPr>
        <w:tc>
          <w:tcPr>
            <w:tcW w:w="8524" w:type="dxa"/>
            <w:gridSpan w:val="8"/>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中，按账龄分析法计提坏账准备的应收账款</w:t>
            </w:r>
          </w:p>
        </w:tc>
        <w:tc>
          <w:tcPr>
            <w:tcW w:w="274" w:type="dxa"/>
            <w:tcBorders>
              <w:top w:val="single" w:sz="6" w:space="0" w:color="auto"/>
              <w:left w:val="single" w:sz="6" w:space="0" w:color="auto"/>
              <w:bottom w:val="single" w:sz="6" w:space="0" w:color="auto"/>
              <w:right w:val="single" w:sz="6" w:space="0" w:color="auto"/>
            </w:tcBorders>
          </w:tcPr>
          <w:p>
            <w:pPr/>
          </w:p>
        </w:tc>
      </w:tr>
      <w:tr>
        <w:trPr>
          <w:trHeight w:val="445" w:hRule="exact"/>
        </w:trPr>
        <w:tc>
          <w:tcPr>
            <w:tcW w:w="1672"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5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left="412" w:right="0"/>
              <w:jc w:val="left"/>
              <w:rPr>
                <w:rFonts w:ascii="宋体" w:hAnsi="宋体" w:cs="宋体" w:eastAsia="宋体" w:hint="default"/>
                <w:sz w:val="13"/>
                <w:szCs w:val="13"/>
              </w:rPr>
            </w:pPr>
            <w:r>
              <w:rPr>
                <w:rFonts w:ascii="宋体" w:hAnsi="宋体" w:cs="宋体" w:eastAsia="宋体" w:hint="default"/>
                <w:b/>
                <w:bCs/>
                <w:sz w:val="13"/>
                <w:szCs w:val="13"/>
              </w:rPr>
              <w:t>期末余额</w:t>
            </w:r>
            <w:r>
              <w:rPr>
                <w:rFonts w:ascii="宋体" w:hAnsi="宋体" w:cs="宋体" w:eastAsia="宋体" w:hint="default"/>
                <w:sz w:val="13"/>
                <w:szCs w:val="13"/>
              </w:rPr>
            </w:r>
          </w:p>
        </w:tc>
        <w:tc>
          <w:tcPr>
            <w:tcW w:w="833"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left="536" w:right="0"/>
              <w:jc w:val="left"/>
              <w:rPr>
                <w:rFonts w:ascii="宋体" w:hAnsi="宋体" w:cs="宋体" w:eastAsia="宋体" w:hint="default"/>
                <w:sz w:val="13"/>
                <w:szCs w:val="13"/>
              </w:rPr>
            </w:pPr>
            <w:r>
              <w:rPr>
                <w:rFonts w:ascii="宋体" w:hAnsi="宋体" w:cs="宋体" w:eastAsia="宋体" w:hint="default"/>
                <w:b/>
                <w:bCs/>
                <w:sz w:val="13"/>
                <w:szCs w:val="13"/>
              </w:rPr>
              <w:t>期初余额</w:t>
            </w:r>
            <w:r>
              <w:rPr>
                <w:rFonts w:ascii="宋体" w:hAnsi="宋体" w:cs="宋体" w:eastAsia="宋体" w:hint="default"/>
                <w:sz w:val="13"/>
                <w:szCs w:val="13"/>
              </w:rPr>
            </w:r>
          </w:p>
        </w:tc>
        <w:tc>
          <w:tcPr>
            <w:tcW w:w="823" w:type="dxa"/>
            <w:gridSpan w:val="2"/>
            <w:tcBorders>
              <w:top w:val="nil" w:sz="6" w:space="0" w:color="auto"/>
              <w:left w:val="nil" w:sz="6" w:space="0" w:color="auto"/>
              <w:bottom w:val="nil" w:sz="6" w:space="0" w:color="auto"/>
              <w:right w:val="nil" w:sz="6" w:space="0" w:color="auto"/>
            </w:tcBorders>
          </w:tcPr>
          <w:p>
            <w:pPr/>
          </w:p>
        </w:tc>
      </w:tr>
      <w:tr>
        <w:trPr>
          <w:trHeight w:val="316" w:hRule="exact"/>
        </w:trPr>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61" w:right="0"/>
              <w:jc w:val="center"/>
              <w:rPr>
                <w:rFonts w:ascii="宋体" w:hAnsi="宋体" w:cs="宋体" w:eastAsia="宋体" w:hint="default"/>
                <w:sz w:val="13"/>
                <w:szCs w:val="13"/>
              </w:rPr>
            </w:pPr>
            <w:r>
              <w:rPr>
                <w:rFonts w:ascii="宋体" w:hAnsi="宋体" w:cs="宋体" w:eastAsia="宋体" w:hint="default"/>
                <w:b/>
                <w:bCs/>
                <w:sz w:val="13"/>
                <w:szCs w:val="13"/>
              </w:rPr>
              <w:t>账龄</w:t>
            </w:r>
            <w:r>
              <w:rPr>
                <w:rFonts w:ascii="宋体" w:hAnsi="宋体" w:cs="宋体" w:eastAsia="宋体" w:hint="default"/>
                <w:sz w:val="13"/>
                <w:szCs w:val="13"/>
              </w:rPr>
            </w:r>
          </w:p>
        </w:tc>
        <w:tc>
          <w:tcPr>
            <w:tcW w:w="1123" w:type="dxa"/>
            <w:tcBorders>
              <w:top w:val="nil" w:sz="6" w:space="0" w:color="auto"/>
              <w:left w:val="nil" w:sz="6" w:space="0" w:color="auto"/>
              <w:bottom w:val="nil" w:sz="6" w:space="0" w:color="auto"/>
              <w:right w:val="nil" w:sz="6" w:space="0" w:color="auto"/>
            </w:tcBorders>
          </w:tcPr>
          <w:p>
            <w:pPr/>
          </w:p>
        </w:tc>
        <w:tc>
          <w:tcPr>
            <w:tcW w:w="15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tabs>
                <w:tab w:pos="736" w:val="left" w:leader="none"/>
              </w:tabs>
              <w:spacing w:line="240" w:lineRule="auto"/>
              <w:ind w:left="169" w:right="0"/>
              <w:jc w:val="left"/>
              <w:rPr>
                <w:rFonts w:ascii="宋体" w:hAnsi="宋体" w:cs="宋体" w:eastAsia="宋体" w:hint="default"/>
                <w:sz w:val="13"/>
                <w:szCs w:val="13"/>
              </w:rPr>
            </w:pPr>
            <w:r>
              <w:rPr>
                <w:rFonts w:ascii="宋体" w:hAnsi="宋体" w:cs="宋体" w:eastAsia="宋体" w:hint="default"/>
                <w:b/>
                <w:bCs/>
                <w:sz w:val="13"/>
                <w:szCs w:val="13"/>
              </w:rPr>
              <w:t>比例</w:t>
              <w:tab/>
              <w:t>坏账准备计</w:t>
            </w:r>
            <w:r>
              <w:rPr>
                <w:rFonts w:ascii="宋体" w:hAnsi="宋体" w:cs="宋体" w:eastAsia="宋体" w:hint="default"/>
                <w:sz w:val="13"/>
                <w:szCs w:val="13"/>
              </w:rPr>
            </w:r>
          </w:p>
        </w:tc>
        <w:tc>
          <w:tcPr>
            <w:tcW w:w="833"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9"/>
                <w:szCs w:val="9"/>
              </w:rPr>
            </w:pPr>
          </w:p>
          <w:p>
            <w:pPr>
              <w:pStyle w:val="TableParagraph"/>
              <w:spacing w:line="240" w:lineRule="auto"/>
              <w:ind w:left="941" w:right="0"/>
              <w:jc w:val="left"/>
              <w:rPr>
                <w:rFonts w:ascii="宋体" w:hAnsi="宋体" w:cs="宋体" w:eastAsia="宋体" w:hint="default"/>
                <w:sz w:val="13"/>
                <w:szCs w:val="13"/>
              </w:rPr>
            </w:pPr>
            <w:r>
              <w:rPr>
                <w:rFonts w:ascii="宋体" w:hAnsi="宋体" w:cs="宋体" w:eastAsia="宋体" w:hint="default"/>
                <w:b/>
                <w:bCs/>
                <w:sz w:val="13"/>
                <w:szCs w:val="13"/>
              </w:rPr>
              <w:t>坏账准备计</w:t>
            </w:r>
            <w:r>
              <w:rPr>
                <w:rFonts w:ascii="宋体" w:hAnsi="宋体" w:cs="宋体" w:eastAsia="宋体" w:hint="default"/>
                <w:sz w:val="13"/>
                <w:szCs w:val="13"/>
              </w:rPr>
            </w:r>
          </w:p>
        </w:tc>
        <w:tc>
          <w:tcPr>
            <w:tcW w:w="823" w:type="dxa"/>
            <w:gridSpan w:val="2"/>
            <w:tcBorders>
              <w:top w:val="nil" w:sz="6" w:space="0" w:color="auto"/>
              <w:left w:val="nil" w:sz="6" w:space="0" w:color="auto"/>
              <w:bottom w:val="nil" w:sz="6" w:space="0" w:color="auto"/>
              <w:right w:val="nil" w:sz="6" w:space="0" w:color="auto"/>
            </w:tcBorders>
          </w:tcPr>
          <w:p>
            <w:pPr/>
          </w:p>
        </w:tc>
      </w:tr>
      <w:tr>
        <w:trPr>
          <w:trHeight w:val="440" w:hRule="exact"/>
        </w:trPr>
        <w:tc>
          <w:tcPr>
            <w:tcW w:w="1672" w:type="dxa"/>
            <w:tcBorders>
              <w:top w:val="nil" w:sz="6" w:space="0" w:color="auto"/>
              <w:left w:val="nil" w:sz="6" w:space="0" w:color="auto"/>
              <w:bottom w:val="single" w:sz="8" w:space="0" w:color="000000"/>
              <w:right w:val="nil" w:sz="6" w:space="0" w:color="auto"/>
            </w:tcBorders>
          </w:tcPr>
          <w:p>
            <w:pPr/>
          </w:p>
        </w:tc>
        <w:tc>
          <w:tcPr>
            <w:tcW w:w="1123" w:type="dxa"/>
            <w:tcBorders>
              <w:top w:val="nil" w:sz="6" w:space="0" w:color="auto"/>
              <w:left w:val="nil" w:sz="6" w:space="0" w:color="auto"/>
              <w:bottom w:val="single" w:sz="8" w:space="0" w:color="000000"/>
              <w:right w:val="nil" w:sz="6" w:space="0" w:color="auto"/>
            </w:tcBorders>
          </w:tcPr>
          <w:p>
            <w:pPr>
              <w:pStyle w:val="TableParagraph"/>
              <w:spacing w:line="154" w:lineRule="exact"/>
              <w:ind w:left="35" w:right="0"/>
              <w:jc w:val="center"/>
              <w:rPr>
                <w:rFonts w:ascii="宋体" w:hAnsi="宋体" w:cs="宋体" w:eastAsia="宋体" w:hint="default"/>
                <w:sz w:val="13"/>
                <w:szCs w:val="13"/>
              </w:rPr>
            </w:pPr>
            <w:r>
              <w:rPr>
                <w:rFonts w:ascii="宋体" w:hAnsi="宋体" w:cs="宋体" w:eastAsia="宋体" w:hint="default"/>
                <w:b/>
                <w:bCs/>
                <w:sz w:val="13"/>
                <w:szCs w:val="13"/>
              </w:rPr>
              <w:t>账面金额</w:t>
            </w:r>
            <w:r>
              <w:rPr>
                <w:rFonts w:ascii="宋体" w:hAnsi="宋体" w:cs="宋体" w:eastAsia="宋体" w:hint="default"/>
                <w:sz w:val="13"/>
                <w:szCs w:val="13"/>
              </w:rPr>
            </w:r>
          </w:p>
        </w:tc>
        <w:tc>
          <w:tcPr>
            <w:tcW w:w="1575"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tabs>
                <w:tab w:pos="731" w:val="left" w:leader="none"/>
              </w:tabs>
              <w:spacing w:line="240" w:lineRule="auto"/>
              <w:ind w:left="104" w:right="0"/>
              <w:jc w:val="left"/>
              <w:rPr>
                <w:rFonts w:ascii="宋体" w:hAnsi="宋体" w:cs="宋体" w:eastAsia="宋体" w:hint="default"/>
                <w:sz w:val="13"/>
                <w:szCs w:val="13"/>
              </w:rPr>
            </w:pPr>
            <w:r>
              <w:rPr>
                <w:rFonts w:ascii="宋体" w:hAnsi="宋体" w:cs="宋体" w:eastAsia="宋体" w:hint="default"/>
                <w:b/>
                <w:bCs/>
                <w:spacing w:val="2"/>
                <w:w w:val="99"/>
                <w:sz w:val="13"/>
                <w:szCs w:val="13"/>
              </w:rPr>
              <w:t>（</w:t>
            </w:r>
            <w:r>
              <w:rPr>
                <w:rFonts w:ascii="Times New Roman" w:hAnsi="Times New Roman" w:cs="Times New Roman" w:eastAsia="Times New Roman" w:hint="default"/>
                <w:b/>
                <w:bCs/>
                <w:spacing w:val="-3"/>
                <w:w w:val="99"/>
                <w:sz w:val="13"/>
                <w:szCs w:val="13"/>
              </w:rPr>
              <w:t>%</w:t>
            </w:r>
            <w:r>
              <w:rPr>
                <w:rFonts w:ascii="宋体" w:hAnsi="宋体" w:cs="宋体" w:eastAsia="宋体" w:hint="default"/>
                <w:b/>
                <w:bCs/>
                <w:w w:val="99"/>
                <w:sz w:val="13"/>
                <w:szCs w:val="13"/>
              </w:rPr>
              <w:t>）</w:t>
            </w:r>
            <w:r>
              <w:rPr>
                <w:rFonts w:ascii="宋体" w:hAnsi="宋体" w:cs="宋体" w:eastAsia="宋体" w:hint="default"/>
                <w:b/>
                <w:bCs/>
                <w:sz w:val="13"/>
                <w:szCs w:val="13"/>
              </w:rPr>
              <w:tab/>
            </w:r>
            <w:r>
              <w:rPr>
                <w:rFonts w:ascii="宋体" w:hAnsi="宋体" w:cs="宋体" w:eastAsia="宋体" w:hint="default"/>
                <w:b/>
                <w:bCs/>
                <w:spacing w:val="2"/>
                <w:w w:val="99"/>
                <w:sz w:val="13"/>
                <w:szCs w:val="13"/>
              </w:rPr>
              <w:t>提</w:t>
            </w:r>
            <w:r>
              <w:rPr>
                <w:rFonts w:ascii="宋体" w:hAnsi="宋体" w:cs="宋体" w:eastAsia="宋体" w:hint="default"/>
                <w:b/>
                <w:bCs/>
                <w:w w:val="99"/>
                <w:sz w:val="13"/>
                <w:szCs w:val="13"/>
              </w:rPr>
              <w:t>比</w:t>
            </w:r>
            <w:r>
              <w:rPr>
                <w:rFonts w:ascii="宋体" w:hAnsi="宋体" w:cs="宋体" w:eastAsia="宋体" w:hint="default"/>
                <w:b/>
                <w:bCs/>
                <w:spacing w:val="-56"/>
                <w:w w:val="99"/>
                <w:sz w:val="13"/>
                <w:szCs w:val="13"/>
              </w:rPr>
              <w:t>例</w:t>
            </w:r>
            <w:r>
              <w:rPr>
                <w:rFonts w:ascii="宋体" w:hAnsi="宋体" w:cs="宋体" w:eastAsia="宋体" w:hint="default"/>
                <w:b/>
                <w:bCs/>
                <w:spacing w:val="2"/>
                <w:w w:val="99"/>
                <w:sz w:val="13"/>
                <w:szCs w:val="13"/>
              </w:rPr>
              <w:t>（</w:t>
            </w:r>
            <w:r>
              <w:rPr>
                <w:rFonts w:ascii="Times New Roman" w:hAnsi="Times New Roman" w:cs="Times New Roman" w:eastAsia="Times New Roman" w:hint="default"/>
                <w:b/>
                <w:bCs/>
                <w:spacing w:val="-3"/>
                <w:w w:val="99"/>
                <w:sz w:val="13"/>
                <w:szCs w:val="13"/>
              </w:rPr>
              <w:t>%</w:t>
            </w:r>
            <w:r>
              <w:rPr>
                <w:rFonts w:ascii="宋体" w:hAnsi="宋体" w:cs="宋体" w:eastAsia="宋体" w:hint="default"/>
                <w:b/>
                <w:bCs/>
                <w:w w:val="99"/>
                <w:sz w:val="13"/>
                <w:szCs w:val="13"/>
              </w:rPr>
              <w:t>）</w:t>
            </w:r>
            <w:r>
              <w:rPr>
                <w:rFonts w:ascii="宋体" w:hAnsi="宋体" w:cs="宋体" w:eastAsia="宋体" w:hint="default"/>
                <w:sz w:val="13"/>
                <w:szCs w:val="13"/>
              </w:rPr>
            </w:r>
          </w:p>
        </w:tc>
        <w:tc>
          <w:tcPr>
            <w:tcW w:w="833" w:type="dxa"/>
            <w:tcBorders>
              <w:top w:val="nil" w:sz="6" w:space="0" w:color="auto"/>
              <w:left w:val="nil" w:sz="6" w:space="0" w:color="auto"/>
              <w:bottom w:val="single" w:sz="8" w:space="0" w:color="000000"/>
              <w:right w:val="nil" w:sz="6" w:space="0" w:color="auto"/>
            </w:tcBorders>
          </w:tcPr>
          <w:p>
            <w:pPr>
              <w:pStyle w:val="TableParagraph"/>
              <w:spacing w:line="154" w:lineRule="exact"/>
              <w:ind w:right="70"/>
              <w:jc w:val="center"/>
              <w:rPr>
                <w:rFonts w:ascii="宋体" w:hAnsi="宋体" w:cs="宋体" w:eastAsia="宋体" w:hint="default"/>
                <w:sz w:val="13"/>
                <w:szCs w:val="13"/>
              </w:rPr>
            </w:pPr>
            <w:r>
              <w:rPr>
                <w:rFonts w:ascii="宋体" w:hAnsi="宋体" w:cs="宋体" w:eastAsia="宋体" w:hint="default"/>
                <w:b/>
                <w:bCs/>
                <w:sz w:val="13"/>
                <w:szCs w:val="13"/>
              </w:rPr>
              <w:t>坏账准备</w:t>
            </w:r>
            <w:r>
              <w:rPr>
                <w:rFonts w:ascii="宋体" w:hAnsi="宋体" w:cs="宋体" w:eastAsia="宋体" w:hint="default"/>
                <w:sz w:val="13"/>
                <w:szCs w:val="13"/>
              </w:rPr>
            </w:r>
          </w:p>
        </w:tc>
        <w:tc>
          <w:tcPr>
            <w:tcW w:w="996" w:type="dxa"/>
            <w:tcBorders>
              <w:top w:val="nil" w:sz="6" w:space="0" w:color="auto"/>
              <w:left w:val="nil" w:sz="6" w:space="0" w:color="auto"/>
              <w:bottom w:val="single" w:sz="8" w:space="0" w:color="000000"/>
              <w:right w:val="nil" w:sz="6" w:space="0" w:color="auto"/>
            </w:tcBorders>
          </w:tcPr>
          <w:p>
            <w:pPr>
              <w:pStyle w:val="TableParagraph"/>
              <w:spacing w:line="154" w:lineRule="exact"/>
              <w:ind w:left="238" w:right="0"/>
              <w:jc w:val="left"/>
              <w:rPr>
                <w:rFonts w:ascii="宋体" w:hAnsi="宋体" w:cs="宋体" w:eastAsia="宋体" w:hint="default"/>
                <w:sz w:val="13"/>
                <w:szCs w:val="13"/>
              </w:rPr>
            </w:pPr>
            <w:r>
              <w:rPr>
                <w:rFonts w:ascii="宋体" w:hAnsi="宋体" w:cs="宋体" w:eastAsia="宋体" w:hint="default"/>
                <w:b/>
                <w:bCs/>
                <w:sz w:val="13"/>
                <w:szCs w:val="13"/>
              </w:rPr>
              <w:t>账面金额</w:t>
            </w:r>
            <w:r>
              <w:rPr>
                <w:rFonts w:ascii="宋体" w:hAnsi="宋体" w:cs="宋体" w:eastAsia="宋体" w:hint="default"/>
                <w:sz w:val="13"/>
                <w:szCs w:val="13"/>
              </w:rPr>
            </w:r>
          </w:p>
        </w:tc>
        <w:tc>
          <w:tcPr>
            <w:tcW w:w="1775" w:type="dxa"/>
            <w:tcBorders>
              <w:top w:val="nil" w:sz="6" w:space="0" w:color="auto"/>
              <w:left w:val="nil" w:sz="6" w:space="0" w:color="auto"/>
              <w:bottom w:val="single" w:sz="8" w:space="0" w:color="000000"/>
              <w:right w:val="nil" w:sz="6" w:space="0" w:color="auto"/>
            </w:tcBorders>
          </w:tcPr>
          <w:p>
            <w:pPr>
              <w:pStyle w:val="TableParagraph"/>
              <w:spacing w:line="163" w:lineRule="exact"/>
              <w:ind w:left="116" w:right="0"/>
              <w:jc w:val="left"/>
              <w:rPr>
                <w:rFonts w:ascii="宋体" w:hAnsi="宋体" w:cs="宋体" w:eastAsia="宋体" w:hint="default"/>
                <w:sz w:val="13"/>
                <w:szCs w:val="13"/>
              </w:rPr>
            </w:pPr>
            <w:r>
              <w:rPr>
                <w:rFonts w:ascii="宋体" w:hAnsi="宋体" w:cs="宋体" w:eastAsia="宋体" w:hint="default"/>
                <w:b/>
                <w:bCs/>
                <w:sz w:val="13"/>
                <w:szCs w:val="13"/>
              </w:rPr>
              <w:t>比例（</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p>
            <w:pPr>
              <w:pStyle w:val="TableParagraph"/>
              <w:spacing w:line="240" w:lineRule="auto"/>
              <w:ind w:left="939" w:right="0"/>
              <w:jc w:val="left"/>
              <w:rPr>
                <w:rFonts w:ascii="宋体" w:hAnsi="宋体" w:cs="宋体" w:eastAsia="宋体" w:hint="default"/>
                <w:sz w:val="13"/>
                <w:szCs w:val="13"/>
              </w:rPr>
            </w:pPr>
            <w:r>
              <w:rPr>
                <w:rFonts w:ascii="宋体" w:hAnsi="宋体" w:cs="宋体" w:eastAsia="宋体" w:hint="default"/>
                <w:b/>
                <w:bCs/>
                <w:spacing w:val="2"/>
                <w:w w:val="99"/>
                <w:sz w:val="13"/>
                <w:szCs w:val="13"/>
              </w:rPr>
              <w:t>提</w:t>
            </w:r>
            <w:r>
              <w:rPr>
                <w:rFonts w:ascii="宋体" w:hAnsi="宋体" w:cs="宋体" w:eastAsia="宋体" w:hint="default"/>
                <w:b/>
                <w:bCs/>
                <w:w w:val="99"/>
                <w:sz w:val="13"/>
                <w:szCs w:val="13"/>
              </w:rPr>
              <w:t>比</w:t>
            </w:r>
            <w:r>
              <w:rPr>
                <w:rFonts w:ascii="宋体" w:hAnsi="宋体" w:cs="宋体" w:eastAsia="宋体" w:hint="default"/>
                <w:b/>
                <w:bCs/>
                <w:spacing w:val="-58"/>
                <w:w w:val="99"/>
                <w:sz w:val="13"/>
                <w:szCs w:val="13"/>
              </w:rPr>
              <w:t>例</w:t>
            </w:r>
            <w:r>
              <w:rPr>
                <w:rFonts w:ascii="宋体" w:hAnsi="宋体" w:cs="宋体" w:eastAsia="宋体" w:hint="default"/>
                <w:b/>
                <w:bCs/>
                <w:spacing w:val="3"/>
                <w:w w:val="99"/>
                <w:sz w:val="13"/>
                <w:szCs w:val="13"/>
              </w:rPr>
              <w:t>（</w:t>
            </w:r>
            <w:r>
              <w:rPr>
                <w:rFonts w:ascii="Times New Roman" w:hAnsi="Times New Roman" w:cs="Times New Roman" w:eastAsia="Times New Roman" w:hint="default"/>
                <w:b/>
                <w:bCs/>
                <w:spacing w:val="-3"/>
                <w:w w:val="99"/>
                <w:sz w:val="13"/>
                <w:szCs w:val="13"/>
              </w:rPr>
              <w:t>%</w:t>
            </w:r>
            <w:r>
              <w:rPr>
                <w:rFonts w:ascii="宋体" w:hAnsi="宋体" w:cs="宋体" w:eastAsia="宋体" w:hint="default"/>
                <w:b/>
                <w:bCs/>
                <w:w w:val="99"/>
                <w:sz w:val="13"/>
                <w:szCs w:val="13"/>
              </w:rPr>
              <w:t>）</w:t>
            </w:r>
            <w:r>
              <w:rPr>
                <w:rFonts w:ascii="宋体" w:hAnsi="宋体" w:cs="宋体" w:eastAsia="宋体" w:hint="default"/>
                <w:sz w:val="13"/>
                <w:szCs w:val="13"/>
              </w:rPr>
            </w:r>
          </w:p>
        </w:tc>
        <w:tc>
          <w:tcPr>
            <w:tcW w:w="823" w:type="dxa"/>
            <w:gridSpan w:val="2"/>
            <w:tcBorders>
              <w:top w:val="nil" w:sz="6" w:space="0" w:color="auto"/>
              <w:left w:val="nil" w:sz="6" w:space="0" w:color="auto"/>
              <w:bottom w:val="single" w:sz="8" w:space="0" w:color="000000"/>
              <w:right w:val="nil" w:sz="6" w:space="0" w:color="auto"/>
            </w:tcBorders>
          </w:tcPr>
          <w:p>
            <w:pPr>
              <w:pStyle w:val="TableParagraph"/>
              <w:spacing w:line="154" w:lineRule="exact"/>
              <w:ind w:left="112" w:right="0"/>
              <w:jc w:val="left"/>
              <w:rPr>
                <w:rFonts w:ascii="宋体" w:hAnsi="宋体" w:cs="宋体" w:eastAsia="宋体" w:hint="default"/>
                <w:sz w:val="13"/>
                <w:szCs w:val="13"/>
              </w:rPr>
            </w:pPr>
            <w:r>
              <w:rPr>
                <w:rFonts w:ascii="宋体" w:hAnsi="宋体" w:cs="宋体" w:eastAsia="宋体" w:hint="default"/>
                <w:b/>
                <w:bCs/>
                <w:sz w:val="13"/>
                <w:szCs w:val="13"/>
              </w:rPr>
              <w:t>坏账准备</w:t>
            </w:r>
            <w:r>
              <w:rPr>
                <w:rFonts w:ascii="宋体" w:hAnsi="宋体" w:cs="宋体" w:eastAsia="宋体" w:hint="default"/>
                <w:sz w:val="13"/>
                <w:szCs w:val="13"/>
              </w:rPr>
            </w:r>
          </w:p>
        </w:tc>
      </w:tr>
      <w:tr>
        <w:trPr>
          <w:trHeight w:val="450" w:hRule="exact"/>
        </w:trPr>
        <w:tc>
          <w:tcPr>
            <w:tcW w:w="1672"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left="32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年以内（含</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年）</w:t>
            </w:r>
          </w:p>
        </w:tc>
        <w:tc>
          <w:tcPr>
            <w:tcW w:w="1123"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74" w:right="0"/>
              <w:jc w:val="center"/>
              <w:rPr>
                <w:rFonts w:ascii="Times New Roman" w:hAnsi="Times New Roman" w:cs="Times New Roman" w:eastAsia="Times New Roman" w:hint="default"/>
                <w:sz w:val="15"/>
                <w:szCs w:val="15"/>
              </w:rPr>
            </w:pPr>
            <w:r>
              <w:rPr>
                <w:rFonts w:ascii="Times New Roman"/>
                <w:sz w:val="15"/>
              </w:rPr>
              <w:t>6,703,322.24</w:t>
            </w:r>
          </w:p>
        </w:tc>
        <w:tc>
          <w:tcPr>
            <w:tcW w:w="1575"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tabs>
                <w:tab w:pos="947" w:val="left" w:leader="none"/>
              </w:tabs>
              <w:spacing w:line="240" w:lineRule="auto"/>
              <w:ind w:left="131" w:right="0"/>
              <w:jc w:val="left"/>
              <w:rPr>
                <w:rFonts w:ascii="Times New Roman" w:hAnsi="Times New Roman" w:cs="Times New Roman" w:eastAsia="Times New Roman" w:hint="default"/>
                <w:sz w:val="13"/>
                <w:szCs w:val="13"/>
              </w:rPr>
            </w:pPr>
            <w:r>
              <w:rPr>
                <w:rFonts w:ascii="Times New Roman"/>
                <w:spacing w:val="-1"/>
                <w:sz w:val="15"/>
              </w:rPr>
              <w:t>97.48</w:t>
              <w:tab/>
            </w:r>
            <w:r>
              <w:rPr>
                <w:rFonts w:ascii="Times New Roman"/>
                <w:sz w:val="13"/>
              </w:rPr>
              <w:t>1.00</w:t>
            </w:r>
          </w:p>
        </w:tc>
        <w:tc>
          <w:tcPr>
            <w:tcW w:w="833"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9" w:right="0"/>
              <w:jc w:val="center"/>
              <w:rPr>
                <w:rFonts w:ascii="Times New Roman" w:hAnsi="Times New Roman" w:cs="Times New Roman" w:eastAsia="Times New Roman" w:hint="default"/>
                <w:sz w:val="15"/>
                <w:szCs w:val="15"/>
              </w:rPr>
            </w:pPr>
            <w:r>
              <w:rPr>
                <w:rFonts w:ascii="Times New Roman"/>
                <w:sz w:val="15"/>
              </w:rPr>
              <w:t>67,033.23</w:t>
            </w:r>
          </w:p>
        </w:tc>
        <w:tc>
          <w:tcPr>
            <w:tcW w:w="996"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06" w:right="0"/>
              <w:jc w:val="left"/>
              <w:rPr>
                <w:rFonts w:ascii="Times New Roman" w:hAnsi="Times New Roman" w:cs="Times New Roman" w:eastAsia="Times New Roman" w:hint="default"/>
                <w:sz w:val="15"/>
                <w:szCs w:val="15"/>
              </w:rPr>
            </w:pPr>
            <w:r>
              <w:rPr>
                <w:rFonts w:ascii="Times New Roman"/>
                <w:sz w:val="15"/>
              </w:rPr>
              <w:t>4,499,603.89</w:t>
            </w:r>
          </w:p>
        </w:tc>
        <w:tc>
          <w:tcPr>
            <w:tcW w:w="1775"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tabs>
                <w:tab w:pos="1155" w:val="left" w:leader="none"/>
              </w:tabs>
              <w:spacing w:line="240" w:lineRule="auto"/>
              <w:ind w:left="250" w:right="0"/>
              <w:jc w:val="left"/>
              <w:rPr>
                <w:rFonts w:ascii="Times New Roman" w:hAnsi="Times New Roman" w:cs="Times New Roman" w:eastAsia="Times New Roman" w:hint="default"/>
                <w:sz w:val="13"/>
                <w:szCs w:val="13"/>
              </w:rPr>
            </w:pPr>
            <w:r>
              <w:rPr>
                <w:rFonts w:ascii="Times New Roman"/>
                <w:spacing w:val="-1"/>
                <w:sz w:val="15"/>
              </w:rPr>
              <w:t>80.82</w:t>
              <w:tab/>
            </w:r>
            <w:r>
              <w:rPr>
                <w:rFonts w:ascii="Times New Roman"/>
                <w:sz w:val="13"/>
              </w:rPr>
              <w:t>1.00</w:t>
            </w:r>
          </w:p>
        </w:tc>
        <w:tc>
          <w:tcPr>
            <w:tcW w:w="823"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12" w:right="0"/>
              <w:jc w:val="left"/>
              <w:rPr>
                <w:rFonts w:ascii="Times New Roman" w:hAnsi="Times New Roman" w:cs="Times New Roman" w:eastAsia="Times New Roman" w:hint="default"/>
                <w:sz w:val="15"/>
                <w:szCs w:val="15"/>
              </w:rPr>
            </w:pPr>
            <w:r>
              <w:rPr>
                <w:rFonts w:ascii="Times New Roman"/>
                <w:sz w:val="15"/>
              </w:rPr>
              <w:t>44,996.04</w:t>
            </w:r>
          </w:p>
        </w:tc>
      </w:tr>
      <w:tr>
        <w:trPr>
          <w:trHeight w:val="376" w:hRule="exact"/>
        </w:trPr>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2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1-2 </w:t>
            </w:r>
            <w:r>
              <w:rPr>
                <w:rFonts w:ascii="宋体" w:hAnsi="宋体" w:cs="宋体" w:eastAsia="宋体" w:hint="default"/>
                <w:sz w:val="13"/>
                <w:szCs w:val="13"/>
              </w:rPr>
              <w:t>年（含</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2 </w:t>
            </w:r>
            <w:r>
              <w:rPr>
                <w:rFonts w:ascii="宋体" w:hAnsi="宋体" w:cs="宋体" w:eastAsia="宋体" w:hint="default"/>
                <w:sz w:val="13"/>
                <w:szCs w:val="13"/>
              </w:rPr>
              <w:t>年）</w:t>
            </w:r>
          </w:p>
        </w:tc>
        <w:tc>
          <w:tcPr>
            <w:tcW w:w="1123" w:type="dxa"/>
            <w:tcBorders>
              <w:top w:val="nil" w:sz="6" w:space="0" w:color="auto"/>
              <w:left w:val="nil" w:sz="6" w:space="0" w:color="auto"/>
              <w:bottom w:val="nil" w:sz="6" w:space="0" w:color="auto"/>
              <w:right w:val="nil" w:sz="6" w:space="0" w:color="auto"/>
            </w:tcBorders>
          </w:tcPr>
          <w:p>
            <w:pPr/>
          </w:p>
        </w:tc>
        <w:tc>
          <w:tcPr>
            <w:tcW w:w="1575" w:type="dxa"/>
            <w:gridSpan w:val="2"/>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19" w:right="0"/>
              <w:jc w:val="left"/>
              <w:rPr>
                <w:rFonts w:ascii="Times New Roman" w:hAnsi="Times New Roman" w:cs="Times New Roman" w:eastAsia="Times New Roman" w:hint="default"/>
                <w:sz w:val="15"/>
                <w:szCs w:val="15"/>
              </w:rPr>
            </w:pPr>
            <w:r>
              <w:rPr>
                <w:rFonts w:ascii="Times New Roman"/>
                <w:sz w:val="15"/>
              </w:rPr>
              <w:t>825,410.00</w:t>
            </w:r>
          </w:p>
        </w:tc>
        <w:tc>
          <w:tcPr>
            <w:tcW w:w="1775" w:type="dxa"/>
            <w:tcBorders>
              <w:top w:val="nil" w:sz="6" w:space="0" w:color="auto"/>
              <w:left w:val="nil" w:sz="6" w:space="0" w:color="auto"/>
              <w:bottom w:val="nil" w:sz="6" w:space="0" w:color="auto"/>
              <w:right w:val="nil" w:sz="6" w:space="0" w:color="auto"/>
            </w:tcBorders>
          </w:tcPr>
          <w:p>
            <w:pPr>
              <w:pStyle w:val="TableParagraph"/>
              <w:tabs>
                <w:tab w:pos="1155" w:val="left" w:leader="none"/>
              </w:tabs>
              <w:spacing w:line="240" w:lineRule="auto" w:before="106"/>
              <w:ind w:left="250" w:right="0"/>
              <w:jc w:val="left"/>
              <w:rPr>
                <w:rFonts w:ascii="Times New Roman" w:hAnsi="Times New Roman" w:cs="Times New Roman" w:eastAsia="Times New Roman" w:hint="default"/>
                <w:sz w:val="13"/>
                <w:szCs w:val="13"/>
              </w:rPr>
            </w:pPr>
            <w:r>
              <w:rPr>
                <w:rFonts w:ascii="Times New Roman"/>
                <w:spacing w:val="-1"/>
                <w:sz w:val="15"/>
              </w:rPr>
              <w:t>14.83</w:t>
              <w:tab/>
            </w:r>
            <w:r>
              <w:rPr>
                <w:rFonts w:ascii="Times New Roman"/>
                <w:sz w:val="13"/>
              </w:rPr>
              <w:t>5.00</w:t>
            </w:r>
          </w:p>
        </w:tc>
        <w:tc>
          <w:tcPr>
            <w:tcW w:w="8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6"/>
              <w:ind w:left="112" w:right="0"/>
              <w:jc w:val="left"/>
              <w:rPr>
                <w:rFonts w:ascii="Times New Roman" w:hAnsi="Times New Roman" w:cs="Times New Roman" w:eastAsia="Times New Roman" w:hint="default"/>
                <w:sz w:val="15"/>
                <w:szCs w:val="15"/>
              </w:rPr>
            </w:pPr>
            <w:r>
              <w:rPr>
                <w:rFonts w:ascii="Times New Roman"/>
                <w:sz w:val="15"/>
              </w:rPr>
              <w:t>41,270.50</w:t>
            </w:r>
          </w:p>
        </w:tc>
      </w:tr>
    </w:tbl>
    <w:p>
      <w:pPr>
        <w:spacing w:after="0" w:line="240" w:lineRule="auto"/>
        <w:jc w:val="left"/>
        <w:rPr>
          <w:rFonts w:ascii="Times New Roman" w:hAnsi="Times New Roman" w:cs="Times New Roman" w:eastAsia="Times New Roman" w:hint="default"/>
          <w:sz w:val="15"/>
          <w:szCs w:val="15"/>
        </w:rPr>
        <w:sectPr>
          <w:type w:val="continuous"/>
          <w:pgSz w:w="11910" w:h="16840"/>
          <w:pgMar w:top="1580" w:bottom="1140" w:left="1580" w:right="1300"/>
        </w:sectPr>
      </w:pPr>
    </w:p>
    <w:p>
      <w:pPr>
        <w:tabs>
          <w:tab w:pos="6987" w:val="left" w:leader="none"/>
        </w:tabs>
        <w:spacing w:before="35"/>
        <w:ind w:left="3459" w:right="0" w:firstLine="0"/>
        <w:jc w:val="left"/>
        <w:rPr>
          <w:rFonts w:ascii="宋体" w:hAnsi="宋体" w:cs="宋体" w:eastAsia="宋体" w:hint="default"/>
          <w:sz w:val="13"/>
          <w:szCs w:val="13"/>
        </w:rPr>
      </w:pPr>
      <w:r>
        <w:rPr/>
        <w:pict>
          <v:group style="position:absolute;margin-left:77.304024pt;margin-top:756.960022pt;width:440.6pt;height:1pt;mso-position-horizontal-relative:page;mso-position-vertical-relative:page;z-index:-1037440" coordorigin="1546,15139" coordsize="8812,20">
            <v:group style="position:absolute;left:1556;top:15149;width:1793;height:2" coordorigin="1556,15149" coordsize="1793,2">
              <v:shape style="position:absolute;left:1556;top:15149;width:1793;height:2" coordorigin="1556,15149" coordsize="1793,0" path="m1556,15149l3348,15149e" filled="false" stroked="true" strokeweight=".95996pt" strokecolor="#000000">
                <v:path arrowok="t"/>
              </v:shape>
            </v:group>
            <v:group style="position:absolute;left:3348;top:15144;width:990;height:2" coordorigin="3348,15144" coordsize="990,2">
              <v:shape style="position:absolute;left:3348;top:15144;width:990;height:2" coordorigin="3348,15144" coordsize="990,0" path="m3348,15144l4338,15144e" filled="false" stroked="true" strokeweight=".47998pt" strokecolor="#000000">
                <v:path arrowok="t"/>
              </v:shape>
            </v:group>
            <v:group style="position:absolute;left:4338;top:15144;width:10;height:2" coordorigin="4338,15144" coordsize="10,2">
              <v:shape style="position:absolute;left:4338;top:15144;width:10;height:2" coordorigin="4338,15144" coordsize="10,0" path="m4338,15144l4347,15144e" filled="false" stroked="true" strokeweight=".47998pt" strokecolor="#000000">
                <v:path arrowok="t"/>
              </v:shape>
            </v:group>
            <v:group style="position:absolute;left:4347;top:15144;width:660;height:2" coordorigin="4347,15144" coordsize="660,2">
              <v:shape style="position:absolute;left:4347;top:15144;width:660;height:2" coordorigin="4347,15144" coordsize="660,0" path="m4347,15144l5007,15144e" filled="false" stroked="true" strokeweight=".47998pt" strokecolor="#000000">
                <v:path arrowok="t"/>
              </v:shape>
            </v:group>
            <v:group style="position:absolute;left:5007;top:15144;width:10;height:2" coordorigin="5007,15144" coordsize="10,2">
              <v:shape style="position:absolute;left:5007;top:15144;width:10;height:2" coordorigin="5007,15144" coordsize="10,0" path="m5007,15144l5017,15144e" filled="false" stroked="true" strokeweight=".47998pt" strokecolor="#000000">
                <v:path arrowok="t"/>
              </v:shape>
            </v:group>
            <v:group style="position:absolute;left:5017;top:15144;width:958;height:2" coordorigin="5017,15144" coordsize="958,2">
              <v:shape style="position:absolute;left:5017;top:15144;width:958;height:2" coordorigin="5017,15144" coordsize="958,0" path="m5017,15144l5975,15144e" filled="false" stroked="true" strokeweight=".47998pt" strokecolor="#000000">
                <v:path arrowok="t"/>
              </v:shape>
            </v:group>
            <v:group style="position:absolute;left:5975;top:15144;width:10;height:2" coordorigin="5975,15144" coordsize="10,2">
              <v:shape style="position:absolute;left:5975;top:15144;width:10;height:2" coordorigin="5975,15144" coordsize="10,0" path="m5975,15144l5984,15144e" filled="false" stroked="true" strokeweight=".47998pt" strokecolor="#000000">
                <v:path arrowok="t"/>
              </v:shape>
            </v:group>
            <v:group style="position:absolute;left:5984;top:15144;width:776;height:2" coordorigin="5984,15144" coordsize="776,2">
              <v:shape style="position:absolute;left:5984;top:15144;width:776;height:2" coordorigin="5984,15144" coordsize="776,0" path="m5984,15144l6760,15144e" filled="false" stroked="true" strokeweight=".47998pt" strokecolor="#000000">
                <v:path arrowok="t"/>
              </v:shape>
            </v:group>
            <v:group style="position:absolute;left:6760;top:15144;width:10;height:2" coordorigin="6760,15144" coordsize="10,2">
              <v:shape style="position:absolute;left:6760;top:15144;width:10;height:2" coordorigin="6760,15144" coordsize="10,0" path="m6760,15144l6769,15144e" filled="false" stroked="true" strokeweight=".47998pt" strokecolor="#000000">
                <v:path arrowok="t"/>
              </v:shape>
            </v:group>
            <v:group style="position:absolute;left:6769;top:15144;width:1011;height:2" coordorigin="6769,15144" coordsize="1011,2">
              <v:shape style="position:absolute;left:6769;top:15144;width:1011;height:2" coordorigin="6769,15144" coordsize="1011,0" path="m6769,15144l7780,15144e" filled="false" stroked="true" strokeweight=".47998pt" strokecolor="#000000">
                <v:path arrowok="t"/>
              </v:shape>
            </v:group>
            <v:group style="position:absolute;left:7780;top:15144;width:10;height:2" coordorigin="7780,15144" coordsize="10,2">
              <v:shape style="position:absolute;left:7780;top:15144;width:10;height:2" coordorigin="7780,15144" coordsize="10,0" path="m7780,15144l7789,15144e" filled="false" stroked="true" strokeweight=".47998pt" strokecolor="#000000">
                <v:path arrowok="t"/>
              </v:shape>
            </v:group>
            <v:group style="position:absolute;left:7789;top:15144;width:680;height:2" coordorigin="7789,15144" coordsize="680,2">
              <v:shape style="position:absolute;left:7789;top:15144;width:680;height:2" coordorigin="7789,15144" coordsize="680,0" path="m7789,15144l8469,15144e" filled="false" stroked="true" strokeweight=".47998pt" strokecolor="#000000">
                <v:path arrowok="t"/>
              </v:shape>
            </v:group>
            <v:group style="position:absolute;left:8469;top:15144;width:10;height:2" coordorigin="8469,15144" coordsize="10,2">
              <v:shape style="position:absolute;left:8469;top:15144;width:10;height:2" coordorigin="8469,15144" coordsize="10,0" path="m8469,15144l8478,15144e" filled="false" stroked="true" strokeweight=".47998pt" strokecolor="#000000">
                <v:path arrowok="t"/>
              </v:shape>
            </v:group>
            <v:group style="position:absolute;left:8478;top:15144;width:1100;height:2" coordorigin="8478,15144" coordsize="1100,2">
              <v:shape style="position:absolute;left:8478;top:15144;width:1100;height:2" coordorigin="8478,15144" coordsize="1100,0" path="m8478,15144l9578,15144e" filled="false" stroked="true" strokeweight=".47998pt" strokecolor="#000000">
                <v:path arrowok="t"/>
              </v:shape>
            </v:group>
            <v:group style="position:absolute;left:9578;top:15144;width:10;height:2" coordorigin="9578,15144" coordsize="10,2">
              <v:shape style="position:absolute;left:9578;top:15144;width:10;height:2" coordorigin="9578,15144" coordsize="10,0" path="m9578,15144l9588,15144e" filled="false" stroked="true" strokeweight=".47998pt" strokecolor="#000000">
                <v:path arrowok="t"/>
              </v:shape>
            </v:group>
            <v:group style="position:absolute;left:9588;top:15144;width:766;height:2" coordorigin="9588,15144" coordsize="766,2">
              <v:shape style="position:absolute;left:9588;top:15144;width:766;height:2" coordorigin="9588,15144" coordsize="766,0" path="m9588,15144l10353,15144e" filled="false" stroked="true" strokeweight=".47998pt" strokecolor="#000000">
                <v:path arrowok="t"/>
              </v:shape>
            </v:group>
            <w10:wrap type="none"/>
          </v:group>
        </w:pict>
      </w:r>
      <w:r>
        <w:rPr>
          <w:rFonts w:ascii="宋体" w:hAnsi="宋体" w:cs="宋体" w:eastAsia="宋体" w:hint="default"/>
          <w:b/>
          <w:bCs/>
          <w:sz w:val="13"/>
          <w:szCs w:val="13"/>
        </w:rPr>
        <w:t>期末余额</w:t>
        <w:tab/>
        <w:t>期初余额</w:t>
      </w:r>
      <w:r>
        <w:rPr>
          <w:rFonts w:ascii="宋体" w:hAnsi="宋体" w:cs="宋体" w:eastAsia="宋体" w:hint="default"/>
          <w:sz w:val="13"/>
          <w:szCs w:val="13"/>
        </w:rPr>
      </w:r>
    </w:p>
    <w:p>
      <w:pPr>
        <w:spacing w:line="240" w:lineRule="auto" w:before="5"/>
        <w:rPr>
          <w:rFonts w:ascii="宋体" w:hAnsi="宋体" w:cs="宋体" w:eastAsia="宋体" w:hint="default"/>
          <w:b/>
          <w:bCs/>
          <w:sz w:val="12"/>
          <w:szCs w:val="12"/>
        </w:rPr>
      </w:pPr>
    </w:p>
    <w:tbl>
      <w:tblPr>
        <w:tblW w:w="0" w:type="auto"/>
        <w:jc w:val="left"/>
        <w:tblInd w:w="252" w:type="dxa"/>
        <w:tblLayout w:type="fixed"/>
        <w:tblCellMar>
          <w:top w:w="0" w:type="dxa"/>
          <w:left w:w="0" w:type="dxa"/>
          <w:bottom w:w="0" w:type="dxa"/>
          <w:right w:w="0" w:type="dxa"/>
        </w:tblCellMar>
        <w:tblLook w:val="01E0"/>
      </w:tblPr>
      <w:tblGrid>
        <w:gridCol w:w="1586"/>
        <w:gridCol w:w="1196"/>
        <w:gridCol w:w="625"/>
        <w:gridCol w:w="928"/>
        <w:gridCol w:w="868"/>
        <w:gridCol w:w="1003"/>
        <w:gridCol w:w="846"/>
        <w:gridCol w:w="885"/>
        <w:gridCol w:w="860"/>
      </w:tblGrid>
      <w:tr>
        <w:trPr>
          <w:trHeight w:val="467" w:hRule="exact"/>
        </w:trPr>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6" w:right="0"/>
              <w:jc w:val="center"/>
              <w:rPr>
                <w:rFonts w:ascii="宋体" w:hAnsi="宋体" w:cs="宋体" w:eastAsia="宋体" w:hint="default"/>
                <w:sz w:val="13"/>
                <w:szCs w:val="13"/>
              </w:rPr>
            </w:pPr>
            <w:r>
              <w:rPr>
                <w:rFonts w:ascii="宋体" w:hAnsi="宋体" w:cs="宋体" w:eastAsia="宋体" w:hint="default"/>
                <w:b/>
                <w:bCs/>
                <w:sz w:val="13"/>
                <w:szCs w:val="13"/>
              </w:rPr>
              <w:t>账龄</w:t>
            </w:r>
            <w:r>
              <w:rPr>
                <w:rFonts w:ascii="宋体" w:hAnsi="宋体" w:cs="宋体" w:eastAsia="宋体" w:hint="default"/>
                <w:sz w:val="13"/>
                <w:szCs w:val="13"/>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7"/>
              <w:ind w:right="0"/>
              <w:jc w:val="left"/>
              <w:rPr>
                <w:rFonts w:ascii="宋体" w:hAnsi="宋体" w:cs="宋体" w:eastAsia="宋体" w:hint="default"/>
                <w:b/>
                <w:bCs/>
                <w:sz w:val="8"/>
                <w:szCs w:val="8"/>
              </w:rPr>
            </w:pPr>
          </w:p>
          <w:p>
            <w:pPr>
              <w:pStyle w:val="TableParagraph"/>
              <w:spacing w:line="240" w:lineRule="auto"/>
              <w:ind w:left="403" w:right="0"/>
              <w:jc w:val="left"/>
              <w:rPr>
                <w:rFonts w:ascii="宋体" w:hAnsi="宋体" w:cs="宋体" w:eastAsia="宋体" w:hint="default"/>
                <w:sz w:val="13"/>
                <w:szCs w:val="13"/>
              </w:rPr>
            </w:pPr>
            <w:r>
              <w:rPr>
                <w:rFonts w:ascii="宋体" w:hAnsi="宋体" w:cs="宋体" w:eastAsia="宋体" w:hint="default"/>
                <w:b/>
                <w:bCs/>
                <w:sz w:val="13"/>
                <w:szCs w:val="13"/>
              </w:rPr>
              <w:t>账面金额</w:t>
            </w:r>
            <w:r>
              <w:rPr>
                <w:rFonts w:ascii="宋体" w:hAnsi="宋体" w:cs="宋体" w:eastAsia="宋体" w:hint="default"/>
                <w:sz w:val="13"/>
                <w:szCs w:val="13"/>
              </w:rPr>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 w:right="0"/>
              <w:jc w:val="center"/>
              <w:rPr>
                <w:rFonts w:ascii="宋体" w:hAnsi="宋体" w:cs="宋体" w:eastAsia="宋体" w:hint="default"/>
                <w:sz w:val="13"/>
                <w:szCs w:val="13"/>
              </w:rPr>
            </w:pPr>
            <w:r>
              <w:rPr>
                <w:rFonts w:ascii="宋体" w:hAnsi="宋体" w:cs="宋体" w:eastAsia="宋体" w:hint="default"/>
                <w:b/>
                <w:bCs/>
                <w:sz w:val="13"/>
                <w:szCs w:val="13"/>
              </w:rPr>
              <w:t>比例</w:t>
            </w:r>
            <w:r>
              <w:rPr>
                <w:rFonts w:ascii="宋体" w:hAnsi="宋体" w:cs="宋体" w:eastAsia="宋体" w:hint="default"/>
                <w:sz w:val="13"/>
                <w:szCs w:val="13"/>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5"/>
              <w:jc w:val="center"/>
              <w:rPr>
                <w:rFonts w:ascii="宋体" w:hAnsi="宋体" w:cs="宋体" w:eastAsia="宋体" w:hint="default"/>
                <w:sz w:val="13"/>
                <w:szCs w:val="13"/>
              </w:rPr>
            </w:pPr>
            <w:r>
              <w:rPr>
                <w:rFonts w:ascii="宋体" w:hAnsi="宋体" w:cs="宋体" w:eastAsia="宋体" w:hint="default"/>
                <w:b/>
                <w:bCs/>
                <w:sz w:val="13"/>
                <w:szCs w:val="13"/>
              </w:rPr>
              <w:t>坏账准备计</w:t>
            </w:r>
            <w:r>
              <w:rPr>
                <w:rFonts w:ascii="宋体" w:hAnsi="宋体" w:cs="宋体" w:eastAsia="宋体" w:hint="default"/>
                <w:sz w:val="13"/>
                <w:szCs w:val="13"/>
              </w:rPr>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7"/>
              <w:ind w:right="0"/>
              <w:jc w:val="left"/>
              <w:rPr>
                <w:rFonts w:ascii="宋体" w:hAnsi="宋体" w:cs="宋体" w:eastAsia="宋体" w:hint="default"/>
                <w:b/>
                <w:bCs/>
                <w:sz w:val="8"/>
                <w:szCs w:val="8"/>
              </w:rPr>
            </w:pPr>
          </w:p>
          <w:p>
            <w:pPr>
              <w:pStyle w:val="TableParagraph"/>
              <w:spacing w:line="240" w:lineRule="auto"/>
              <w:ind w:right="35"/>
              <w:jc w:val="center"/>
              <w:rPr>
                <w:rFonts w:ascii="宋体" w:hAnsi="宋体" w:cs="宋体" w:eastAsia="宋体" w:hint="default"/>
                <w:sz w:val="13"/>
                <w:szCs w:val="13"/>
              </w:rPr>
            </w:pPr>
            <w:r>
              <w:rPr>
                <w:rFonts w:ascii="宋体" w:hAnsi="宋体" w:cs="宋体" w:eastAsia="宋体" w:hint="default"/>
                <w:b/>
                <w:bCs/>
                <w:sz w:val="13"/>
                <w:szCs w:val="13"/>
              </w:rPr>
              <w:t>坏账准备</w:t>
            </w:r>
            <w:r>
              <w:rPr>
                <w:rFonts w:ascii="宋体" w:hAnsi="宋体" w:cs="宋体" w:eastAsia="宋体" w:hint="default"/>
                <w:sz w:val="13"/>
                <w:szCs w:val="13"/>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7"/>
              <w:ind w:right="0"/>
              <w:jc w:val="left"/>
              <w:rPr>
                <w:rFonts w:ascii="宋体" w:hAnsi="宋体" w:cs="宋体" w:eastAsia="宋体" w:hint="default"/>
                <w:b/>
                <w:bCs/>
                <w:sz w:val="8"/>
                <w:szCs w:val="8"/>
              </w:rPr>
            </w:pPr>
          </w:p>
          <w:p>
            <w:pPr>
              <w:pStyle w:val="TableParagraph"/>
              <w:spacing w:line="240" w:lineRule="auto"/>
              <w:ind w:left="238" w:right="0"/>
              <w:jc w:val="left"/>
              <w:rPr>
                <w:rFonts w:ascii="宋体" w:hAnsi="宋体" w:cs="宋体" w:eastAsia="宋体" w:hint="default"/>
                <w:sz w:val="13"/>
                <w:szCs w:val="13"/>
              </w:rPr>
            </w:pPr>
            <w:r>
              <w:rPr>
                <w:rFonts w:ascii="宋体" w:hAnsi="宋体" w:cs="宋体" w:eastAsia="宋体" w:hint="default"/>
                <w:b/>
                <w:bCs/>
                <w:sz w:val="13"/>
                <w:szCs w:val="13"/>
              </w:rPr>
              <w:t>账面金额</w:t>
            </w:r>
            <w:r>
              <w:rPr>
                <w:rFonts w:ascii="宋体" w:hAnsi="宋体" w:cs="宋体" w:eastAsia="宋体" w:hint="default"/>
                <w:sz w:val="13"/>
                <w:szCs w:val="13"/>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22" w:right="0"/>
              <w:jc w:val="center"/>
              <w:rPr>
                <w:rFonts w:ascii="宋体" w:hAnsi="宋体" w:cs="宋体" w:eastAsia="宋体" w:hint="default"/>
                <w:sz w:val="13"/>
                <w:szCs w:val="13"/>
              </w:rPr>
            </w:pPr>
            <w:r>
              <w:rPr>
                <w:rFonts w:ascii="宋体" w:hAnsi="宋体" w:cs="宋体" w:eastAsia="宋体" w:hint="default"/>
                <w:b/>
                <w:bCs/>
                <w:sz w:val="13"/>
                <w:szCs w:val="13"/>
              </w:rPr>
              <w:t>比例（</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2"/>
              <w:jc w:val="center"/>
              <w:rPr>
                <w:rFonts w:ascii="宋体" w:hAnsi="宋体" w:cs="宋体" w:eastAsia="宋体" w:hint="default"/>
                <w:sz w:val="13"/>
                <w:szCs w:val="13"/>
              </w:rPr>
            </w:pPr>
            <w:r>
              <w:rPr>
                <w:rFonts w:ascii="宋体" w:hAnsi="宋体" w:cs="宋体" w:eastAsia="宋体" w:hint="default"/>
                <w:b/>
                <w:bCs/>
                <w:sz w:val="13"/>
                <w:szCs w:val="13"/>
              </w:rPr>
              <w:t>坏账准备计</w:t>
            </w:r>
            <w:r>
              <w:rPr>
                <w:rFonts w:ascii="宋体" w:hAnsi="宋体" w:cs="宋体" w:eastAsia="宋体" w:hint="default"/>
                <w:sz w:val="13"/>
                <w:szCs w:val="13"/>
              </w:rPr>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7"/>
              <w:ind w:right="0"/>
              <w:jc w:val="left"/>
              <w:rPr>
                <w:rFonts w:ascii="宋体" w:hAnsi="宋体" w:cs="宋体" w:eastAsia="宋体" w:hint="default"/>
                <w:b/>
                <w:bCs/>
                <w:sz w:val="8"/>
                <w:szCs w:val="8"/>
              </w:rPr>
            </w:pPr>
          </w:p>
          <w:p>
            <w:pPr>
              <w:pStyle w:val="TableParagraph"/>
              <w:spacing w:line="240" w:lineRule="auto"/>
              <w:ind w:right="35"/>
              <w:jc w:val="center"/>
              <w:rPr>
                <w:rFonts w:ascii="宋体" w:hAnsi="宋体" w:cs="宋体" w:eastAsia="宋体" w:hint="default"/>
                <w:sz w:val="13"/>
                <w:szCs w:val="13"/>
              </w:rPr>
            </w:pPr>
            <w:r>
              <w:rPr>
                <w:rFonts w:ascii="宋体" w:hAnsi="宋体" w:cs="宋体" w:eastAsia="宋体" w:hint="default"/>
                <w:b/>
                <w:bCs/>
                <w:sz w:val="13"/>
                <w:szCs w:val="13"/>
              </w:rPr>
              <w:t>坏账准备</w:t>
            </w:r>
            <w:r>
              <w:rPr>
                <w:rFonts w:ascii="宋体" w:hAnsi="宋体" w:cs="宋体" w:eastAsia="宋体" w:hint="default"/>
                <w:sz w:val="13"/>
                <w:szCs w:val="13"/>
              </w:rPr>
            </w:r>
          </w:p>
        </w:tc>
      </w:tr>
      <w:tr>
        <w:trPr>
          <w:trHeight w:val="258" w:hRule="exact"/>
        </w:trPr>
        <w:tc>
          <w:tcPr>
            <w:tcW w:w="1586" w:type="dxa"/>
            <w:tcBorders>
              <w:top w:val="nil" w:sz="6" w:space="0" w:color="auto"/>
              <w:left w:val="nil" w:sz="6" w:space="0" w:color="auto"/>
              <w:bottom w:val="single" w:sz="8" w:space="0" w:color="000000"/>
              <w:right w:val="nil" w:sz="6" w:space="0" w:color="auto"/>
            </w:tcBorders>
          </w:tcPr>
          <w:p>
            <w:pPr/>
          </w:p>
        </w:tc>
        <w:tc>
          <w:tcPr>
            <w:tcW w:w="1196" w:type="dxa"/>
            <w:tcBorders>
              <w:top w:val="nil" w:sz="6" w:space="0" w:color="auto"/>
              <w:left w:val="nil" w:sz="6" w:space="0" w:color="auto"/>
              <w:bottom w:val="single" w:sz="8" w:space="0" w:color="000000"/>
              <w:right w:val="nil" w:sz="6" w:space="0" w:color="auto"/>
            </w:tcBorders>
          </w:tcPr>
          <w:p>
            <w:pPr/>
          </w:p>
        </w:tc>
        <w:tc>
          <w:tcPr>
            <w:tcW w:w="625" w:type="dxa"/>
            <w:tcBorders>
              <w:top w:val="nil" w:sz="6" w:space="0" w:color="auto"/>
              <w:left w:val="nil" w:sz="6" w:space="0" w:color="auto"/>
              <w:bottom w:val="single" w:sz="8" w:space="0" w:color="000000"/>
              <w:right w:val="nil" w:sz="6" w:space="0" w:color="auto"/>
            </w:tcBorders>
          </w:tcPr>
          <w:p>
            <w:pPr>
              <w:pStyle w:val="TableParagraph"/>
              <w:spacing w:line="161" w:lineRule="exact"/>
              <w:ind w:right="1"/>
              <w:jc w:val="center"/>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928" w:type="dxa"/>
            <w:tcBorders>
              <w:top w:val="nil" w:sz="6" w:space="0" w:color="auto"/>
              <w:left w:val="nil" w:sz="6" w:space="0" w:color="auto"/>
              <w:bottom w:val="single" w:sz="8" w:space="0" w:color="000000"/>
              <w:right w:val="nil" w:sz="6" w:space="0" w:color="auto"/>
            </w:tcBorders>
          </w:tcPr>
          <w:p>
            <w:pPr>
              <w:pStyle w:val="TableParagraph"/>
              <w:spacing w:line="161" w:lineRule="exact"/>
              <w:ind w:left="34" w:right="0"/>
              <w:jc w:val="center"/>
              <w:rPr>
                <w:rFonts w:ascii="宋体" w:hAnsi="宋体" w:cs="宋体" w:eastAsia="宋体" w:hint="default"/>
                <w:sz w:val="13"/>
                <w:szCs w:val="13"/>
              </w:rPr>
            </w:pPr>
            <w:r>
              <w:rPr>
                <w:rFonts w:ascii="宋体" w:hAnsi="宋体" w:cs="宋体" w:eastAsia="宋体" w:hint="default"/>
                <w:b/>
                <w:bCs/>
                <w:spacing w:val="2"/>
                <w:w w:val="99"/>
                <w:sz w:val="13"/>
                <w:szCs w:val="13"/>
              </w:rPr>
              <w:t>提</w:t>
            </w:r>
            <w:r>
              <w:rPr>
                <w:rFonts w:ascii="宋体" w:hAnsi="宋体" w:cs="宋体" w:eastAsia="宋体" w:hint="default"/>
                <w:b/>
                <w:bCs/>
                <w:w w:val="99"/>
                <w:sz w:val="13"/>
                <w:szCs w:val="13"/>
              </w:rPr>
              <w:t>比</w:t>
            </w:r>
            <w:r>
              <w:rPr>
                <w:rFonts w:ascii="宋体" w:hAnsi="宋体" w:cs="宋体" w:eastAsia="宋体" w:hint="default"/>
                <w:b/>
                <w:bCs/>
                <w:spacing w:val="-56"/>
                <w:w w:val="99"/>
                <w:sz w:val="13"/>
                <w:szCs w:val="13"/>
              </w:rPr>
              <w:t>例</w:t>
            </w:r>
            <w:r>
              <w:rPr>
                <w:rFonts w:ascii="宋体" w:hAnsi="宋体" w:cs="宋体" w:eastAsia="宋体" w:hint="default"/>
                <w:b/>
                <w:bCs/>
                <w:spacing w:val="2"/>
                <w:w w:val="99"/>
                <w:sz w:val="13"/>
                <w:szCs w:val="13"/>
              </w:rPr>
              <w:t>（</w:t>
            </w:r>
            <w:r>
              <w:rPr>
                <w:rFonts w:ascii="Times New Roman" w:hAnsi="Times New Roman" w:cs="Times New Roman" w:eastAsia="Times New Roman" w:hint="default"/>
                <w:b/>
                <w:bCs/>
                <w:spacing w:val="-3"/>
                <w:w w:val="99"/>
                <w:sz w:val="13"/>
                <w:szCs w:val="13"/>
              </w:rPr>
              <w:t>%</w:t>
            </w:r>
            <w:r>
              <w:rPr>
                <w:rFonts w:ascii="宋体" w:hAnsi="宋体" w:cs="宋体" w:eastAsia="宋体" w:hint="default"/>
                <w:b/>
                <w:bCs/>
                <w:w w:val="99"/>
                <w:sz w:val="13"/>
                <w:szCs w:val="13"/>
              </w:rPr>
              <w:t>）</w:t>
            </w:r>
            <w:r>
              <w:rPr>
                <w:rFonts w:ascii="宋体" w:hAnsi="宋体" w:cs="宋体" w:eastAsia="宋体" w:hint="default"/>
                <w:sz w:val="13"/>
                <w:szCs w:val="13"/>
              </w:rPr>
            </w:r>
          </w:p>
        </w:tc>
        <w:tc>
          <w:tcPr>
            <w:tcW w:w="868" w:type="dxa"/>
            <w:tcBorders>
              <w:top w:val="nil" w:sz="6" w:space="0" w:color="auto"/>
              <w:left w:val="nil" w:sz="6" w:space="0" w:color="auto"/>
              <w:bottom w:val="single" w:sz="8" w:space="0" w:color="000000"/>
              <w:right w:val="nil" w:sz="6" w:space="0" w:color="auto"/>
            </w:tcBorders>
          </w:tcPr>
          <w:p>
            <w:pPr/>
          </w:p>
        </w:tc>
        <w:tc>
          <w:tcPr>
            <w:tcW w:w="1003" w:type="dxa"/>
            <w:tcBorders>
              <w:top w:val="nil" w:sz="6" w:space="0" w:color="auto"/>
              <w:left w:val="nil" w:sz="6" w:space="0" w:color="auto"/>
              <w:bottom w:val="single" w:sz="8" w:space="0" w:color="000000"/>
              <w:right w:val="nil" w:sz="6" w:space="0" w:color="auto"/>
            </w:tcBorders>
          </w:tcPr>
          <w:p>
            <w:pPr/>
          </w:p>
        </w:tc>
        <w:tc>
          <w:tcPr>
            <w:tcW w:w="846" w:type="dxa"/>
            <w:tcBorders>
              <w:top w:val="nil" w:sz="6" w:space="0" w:color="auto"/>
              <w:left w:val="nil" w:sz="6" w:space="0" w:color="auto"/>
              <w:bottom w:val="single" w:sz="8" w:space="0" w:color="000000"/>
              <w:right w:val="nil" w:sz="6" w:space="0" w:color="auto"/>
            </w:tcBorders>
          </w:tcPr>
          <w:p>
            <w:pPr/>
          </w:p>
        </w:tc>
        <w:tc>
          <w:tcPr>
            <w:tcW w:w="885" w:type="dxa"/>
            <w:tcBorders>
              <w:top w:val="nil" w:sz="6" w:space="0" w:color="auto"/>
              <w:left w:val="nil" w:sz="6" w:space="0" w:color="auto"/>
              <w:bottom w:val="single" w:sz="8" w:space="0" w:color="000000"/>
              <w:right w:val="nil" w:sz="6" w:space="0" w:color="auto"/>
            </w:tcBorders>
          </w:tcPr>
          <w:p>
            <w:pPr>
              <w:pStyle w:val="TableParagraph"/>
              <w:spacing w:line="161" w:lineRule="exact"/>
              <w:ind w:left="10" w:right="0"/>
              <w:jc w:val="center"/>
              <w:rPr>
                <w:rFonts w:ascii="宋体" w:hAnsi="宋体" w:cs="宋体" w:eastAsia="宋体" w:hint="default"/>
                <w:sz w:val="13"/>
                <w:szCs w:val="13"/>
              </w:rPr>
            </w:pPr>
            <w:r>
              <w:rPr>
                <w:rFonts w:ascii="宋体" w:hAnsi="宋体" w:cs="宋体" w:eastAsia="宋体" w:hint="default"/>
                <w:b/>
                <w:bCs/>
                <w:spacing w:val="2"/>
                <w:w w:val="99"/>
                <w:sz w:val="13"/>
                <w:szCs w:val="13"/>
              </w:rPr>
              <w:t>提</w:t>
            </w:r>
            <w:r>
              <w:rPr>
                <w:rFonts w:ascii="宋体" w:hAnsi="宋体" w:cs="宋体" w:eastAsia="宋体" w:hint="default"/>
                <w:b/>
                <w:bCs/>
                <w:w w:val="99"/>
                <w:sz w:val="13"/>
                <w:szCs w:val="13"/>
              </w:rPr>
              <w:t>比</w:t>
            </w:r>
            <w:r>
              <w:rPr>
                <w:rFonts w:ascii="宋体" w:hAnsi="宋体" w:cs="宋体" w:eastAsia="宋体" w:hint="default"/>
                <w:b/>
                <w:bCs/>
                <w:spacing w:val="-58"/>
                <w:w w:val="99"/>
                <w:sz w:val="13"/>
                <w:szCs w:val="13"/>
              </w:rPr>
              <w:t>例</w:t>
            </w:r>
            <w:r>
              <w:rPr>
                <w:rFonts w:ascii="宋体" w:hAnsi="宋体" w:cs="宋体" w:eastAsia="宋体" w:hint="default"/>
                <w:b/>
                <w:bCs/>
                <w:spacing w:val="3"/>
                <w:w w:val="99"/>
                <w:sz w:val="13"/>
                <w:szCs w:val="13"/>
              </w:rPr>
              <w:t>（</w:t>
            </w:r>
            <w:r>
              <w:rPr>
                <w:rFonts w:ascii="Times New Roman" w:hAnsi="Times New Roman" w:cs="Times New Roman" w:eastAsia="Times New Roman" w:hint="default"/>
                <w:b/>
                <w:bCs/>
                <w:spacing w:val="-3"/>
                <w:w w:val="99"/>
                <w:sz w:val="13"/>
                <w:szCs w:val="13"/>
              </w:rPr>
              <w:t>%</w:t>
            </w:r>
            <w:r>
              <w:rPr>
                <w:rFonts w:ascii="宋体" w:hAnsi="宋体" w:cs="宋体" w:eastAsia="宋体" w:hint="default"/>
                <w:b/>
                <w:bCs/>
                <w:w w:val="99"/>
                <w:sz w:val="13"/>
                <w:szCs w:val="13"/>
              </w:rPr>
              <w:t>）</w:t>
            </w:r>
            <w:r>
              <w:rPr>
                <w:rFonts w:ascii="宋体" w:hAnsi="宋体" w:cs="宋体" w:eastAsia="宋体" w:hint="default"/>
                <w:sz w:val="13"/>
                <w:szCs w:val="13"/>
              </w:rPr>
            </w:r>
          </w:p>
        </w:tc>
        <w:tc>
          <w:tcPr>
            <w:tcW w:w="860" w:type="dxa"/>
            <w:tcBorders>
              <w:top w:val="nil" w:sz="6" w:space="0" w:color="auto"/>
              <w:left w:val="nil" w:sz="6" w:space="0" w:color="auto"/>
              <w:bottom w:val="single" w:sz="8" w:space="0" w:color="000000"/>
              <w:right w:val="nil" w:sz="6" w:space="0" w:color="auto"/>
            </w:tcBorders>
          </w:tcPr>
          <w:p>
            <w:pPr/>
          </w:p>
        </w:tc>
      </w:tr>
      <w:tr>
        <w:trPr>
          <w:trHeight w:val="450" w:hRule="exact"/>
        </w:trPr>
        <w:tc>
          <w:tcPr>
            <w:tcW w:w="1586"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left="32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2-3 </w:t>
            </w:r>
            <w:r>
              <w:rPr>
                <w:rFonts w:ascii="宋体" w:hAnsi="宋体" w:cs="宋体" w:eastAsia="宋体" w:hint="default"/>
                <w:sz w:val="13"/>
                <w:szCs w:val="13"/>
              </w:rPr>
              <w:t>年（含</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3 </w:t>
            </w:r>
            <w:r>
              <w:rPr>
                <w:rFonts w:ascii="宋体" w:hAnsi="宋体" w:cs="宋体" w:eastAsia="宋体" w:hint="default"/>
                <w:sz w:val="13"/>
                <w:szCs w:val="13"/>
              </w:rPr>
              <w:t>年）</w:t>
            </w:r>
          </w:p>
        </w:tc>
        <w:tc>
          <w:tcPr>
            <w:tcW w:w="1196" w:type="dxa"/>
            <w:tcBorders>
              <w:top w:val="single" w:sz="8" w:space="0" w:color="000000"/>
              <w:left w:val="nil" w:sz="6" w:space="0" w:color="auto"/>
              <w:bottom w:val="nil" w:sz="6" w:space="0" w:color="auto"/>
              <w:right w:val="nil" w:sz="6" w:space="0" w:color="auto"/>
            </w:tcBorders>
          </w:tcPr>
          <w:p>
            <w:pPr/>
          </w:p>
        </w:tc>
        <w:tc>
          <w:tcPr>
            <w:tcW w:w="625" w:type="dxa"/>
            <w:tcBorders>
              <w:top w:val="single" w:sz="8" w:space="0" w:color="000000"/>
              <w:left w:val="nil" w:sz="6" w:space="0" w:color="auto"/>
              <w:bottom w:val="nil" w:sz="6" w:space="0" w:color="auto"/>
              <w:right w:val="nil" w:sz="6" w:space="0" w:color="auto"/>
            </w:tcBorders>
          </w:tcPr>
          <w:p>
            <w:pPr/>
          </w:p>
        </w:tc>
        <w:tc>
          <w:tcPr>
            <w:tcW w:w="928" w:type="dxa"/>
            <w:tcBorders>
              <w:top w:val="single" w:sz="8" w:space="0" w:color="000000"/>
              <w:left w:val="nil" w:sz="6" w:space="0" w:color="auto"/>
              <w:bottom w:val="nil" w:sz="6" w:space="0" w:color="auto"/>
              <w:right w:val="nil" w:sz="6" w:space="0" w:color="auto"/>
            </w:tcBorders>
          </w:tcPr>
          <w:p>
            <w:pPr/>
          </w:p>
        </w:tc>
        <w:tc>
          <w:tcPr>
            <w:tcW w:w="868" w:type="dxa"/>
            <w:tcBorders>
              <w:top w:val="single" w:sz="8" w:space="0" w:color="000000"/>
              <w:left w:val="nil" w:sz="6" w:space="0" w:color="auto"/>
              <w:bottom w:val="nil" w:sz="6" w:space="0" w:color="auto"/>
              <w:right w:val="nil" w:sz="6" w:space="0" w:color="auto"/>
            </w:tcBorders>
          </w:tcPr>
          <w:p>
            <w:pPr/>
          </w:p>
        </w:tc>
        <w:tc>
          <w:tcPr>
            <w:tcW w:w="1003"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27,825.81</w:t>
            </w:r>
          </w:p>
        </w:tc>
        <w:tc>
          <w:tcPr>
            <w:tcW w:w="846"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20"/>
              <w:jc w:val="center"/>
              <w:rPr>
                <w:rFonts w:ascii="Times New Roman" w:hAnsi="Times New Roman" w:cs="Times New Roman" w:eastAsia="Times New Roman" w:hint="default"/>
                <w:sz w:val="15"/>
                <w:szCs w:val="15"/>
              </w:rPr>
            </w:pPr>
            <w:r>
              <w:rPr>
                <w:rFonts w:ascii="Times New Roman"/>
                <w:sz w:val="15"/>
              </w:rPr>
              <w:t>0.5</w:t>
            </w:r>
          </w:p>
        </w:tc>
        <w:tc>
          <w:tcPr>
            <w:tcW w:w="885"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51"/>
              <w:jc w:val="center"/>
              <w:rPr>
                <w:rFonts w:ascii="Times New Roman" w:hAnsi="Times New Roman" w:cs="Times New Roman" w:eastAsia="Times New Roman" w:hint="default"/>
                <w:sz w:val="13"/>
                <w:szCs w:val="13"/>
              </w:rPr>
            </w:pPr>
            <w:r>
              <w:rPr>
                <w:rFonts w:ascii="Times New Roman"/>
                <w:sz w:val="13"/>
              </w:rPr>
              <w:t>30.00</w:t>
            </w:r>
          </w:p>
        </w:tc>
        <w:tc>
          <w:tcPr>
            <w:tcW w:w="860"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14" w:right="0"/>
              <w:jc w:val="center"/>
              <w:rPr>
                <w:rFonts w:ascii="Times New Roman" w:hAnsi="Times New Roman" w:cs="Times New Roman" w:eastAsia="Times New Roman" w:hint="default"/>
                <w:sz w:val="15"/>
                <w:szCs w:val="15"/>
              </w:rPr>
            </w:pPr>
            <w:r>
              <w:rPr>
                <w:rFonts w:ascii="Times New Roman"/>
                <w:sz w:val="15"/>
              </w:rPr>
              <w:t>8,347.74</w:t>
            </w:r>
          </w:p>
        </w:tc>
      </w:tr>
      <w:tr>
        <w:trPr>
          <w:trHeight w:val="400" w:hRule="exact"/>
        </w:trPr>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2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年以上</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15"/>
              <w:jc w:val="right"/>
              <w:rPr>
                <w:rFonts w:ascii="Times New Roman" w:hAnsi="Times New Roman" w:cs="Times New Roman" w:eastAsia="Times New Roman" w:hint="default"/>
                <w:sz w:val="15"/>
                <w:szCs w:val="15"/>
              </w:rPr>
            </w:pPr>
            <w:r>
              <w:rPr>
                <w:rFonts w:ascii="Times New Roman"/>
                <w:spacing w:val="-1"/>
                <w:sz w:val="15"/>
              </w:rPr>
              <w:t>173,349.18</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 w:right="0"/>
              <w:jc w:val="center"/>
              <w:rPr>
                <w:rFonts w:ascii="Times New Roman" w:hAnsi="Times New Roman" w:cs="Times New Roman" w:eastAsia="Times New Roman" w:hint="default"/>
                <w:sz w:val="15"/>
                <w:szCs w:val="15"/>
              </w:rPr>
            </w:pPr>
            <w:r>
              <w:rPr>
                <w:rFonts w:ascii="Times New Roman"/>
                <w:sz w:val="15"/>
              </w:rPr>
              <w:t>2.52</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right="28"/>
              <w:jc w:val="center"/>
              <w:rPr>
                <w:rFonts w:ascii="Times New Roman" w:hAnsi="Times New Roman" w:cs="Times New Roman" w:eastAsia="Times New Roman" w:hint="default"/>
                <w:sz w:val="13"/>
                <w:szCs w:val="13"/>
              </w:rPr>
            </w:pPr>
            <w:r>
              <w:rPr>
                <w:rFonts w:ascii="Times New Roman"/>
                <w:sz w:val="13"/>
              </w:rPr>
              <w:t>100.00</w:t>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8"/>
              <w:jc w:val="center"/>
              <w:rPr>
                <w:rFonts w:ascii="Times New Roman" w:hAnsi="Times New Roman" w:cs="Times New Roman" w:eastAsia="Times New Roman" w:hint="default"/>
                <w:sz w:val="15"/>
                <w:szCs w:val="15"/>
              </w:rPr>
            </w:pPr>
            <w:r>
              <w:rPr>
                <w:rFonts w:ascii="Times New Roman"/>
                <w:sz w:val="15"/>
              </w:rPr>
              <w:t>173,349.18</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15"/>
                <w:szCs w:val="15"/>
              </w:rPr>
            </w:pPr>
            <w:r>
              <w:rPr>
                <w:rFonts w:ascii="Times New Roman"/>
                <w:spacing w:val="-1"/>
                <w:sz w:val="15"/>
              </w:rPr>
              <w:t>214,353.37</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7"/>
              <w:jc w:val="center"/>
              <w:rPr>
                <w:rFonts w:ascii="Times New Roman" w:hAnsi="Times New Roman" w:cs="Times New Roman" w:eastAsia="Times New Roman" w:hint="default"/>
                <w:sz w:val="15"/>
                <w:szCs w:val="15"/>
              </w:rPr>
            </w:pPr>
            <w:r>
              <w:rPr>
                <w:rFonts w:ascii="Times New Roman"/>
                <w:sz w:val="15"/>
              </w:rPr>
              <w:t>3.85</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right="49"/>
              <w:jc w:val="center"/>
              <w:rPr>
                <w:rFonts w:ascii="Times New Roman" w:hAnsi="Times New Roman" w:cs="Times New Roman" w:eastAsia="Times New Roman" w:hint="default"/>
                <w:sz w:val="13"/>
                <w:szCs w:val="13"/>
              </w:rPr>
            </w:pPr>
            <w:r>
              <w:rPr>
                <w:rFonts w:ascii="Times New Roman"/>
                <w:sz w:val="13"/>
              </w:rPr>
              <w:t>100.00</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2"/>
              <w:jc w:val="center"/>
              <w:rPr>
                <w:rFonts w:ascii="Times New Roman" w:hAnsi="Times New Roman" w:cs="Times New Roman" w:eastAsia="Times New Roman" w:hint="default"/>
                <w:sz w:val="15"/>
                <w:szCs w:val="15"/>
              </w:rPr>
            </w:pPr>
            <w:r>
              <w:rPr>
                <w:rFonts w:ascii="Times New Roman"/>
                <w:sz w:val="15"/>
              </w:rPr>
              <w:t>214,353.37</w:t>
            </w:r>
          </w:p>
        </w:tc>
      </w:tr>
      <w:tr>
        <w:trPr>
          <w:trHeight w:val="375" w:hRule="exact"/>
        </w:trPr>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46"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6,876,671.42</w:t>
            </w:r>
            <w:r>
              <w:rPr>
                <w:rFonts w:ascii="Times New Roman"/>
                <w:spacing w:val="-1"/>
                <w:sz w:val="15"/>
              </w:rPr>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928" w:type="dxa"/>
            <w:tcBorders>
              <w:top w:val="nil" w:sz="6" w:space="0" w:color="auto"/>
              <w:left w:val="nil" w:sz="6" w:space="0" w:color="auto"/>
              <w:bottom w:val="nil" w:sz="6" w:space="0" w:color="auto"/>
              <w:right w:val="nil" w:sz="6" w:space="0" w:color="auto"/>
            </w:tcBorders>
          </w:tcPr>
          <w:p>
            <w:pP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3"/>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240,382.41</w:t>
            </w:r>
            <w:r>
              <w:rPr>
                <w:rFonts w:ascii="Times New Roman"/>
                <w:sz w:val="15"/>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5,567,193.07</w:t>
            </w:r>
            <w:r>
              <w:rPr>
                <w:rFonts w:ascii="Times New Roman"/>
                <w:spacing w:val="-1"/>
                <w:sz w:val="15"/>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885" w:type="dxa"/>
            <w:tcBorders>
              <w:top w:val="nil" w:sz="6" w:space="0" w:color="auto"/>
              <w:left w:val="nil" w:sz="6" w:space="0" w:color="auto"/>
              <w:bottom w:val="nil" w:sz="6" w:space="0" w:color="auto"/>
              <w:right w:val="nil" w:sz="6" w:space="0" w:color="auto"/>
            </w:tcBorders>
          </w:tcPr>
          <w:p>
            <w:pP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2"/>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308,967.65</w:t>
            </w:r>
            <w:r>
              <w:rPr>
                <w:rFonts w:ascii="Times New Roman"/>
                <w:sz w:val="15"/>
              </w:rPr>
            </w:r>
          </w:p>
        </w:tc>
      </w:tr>
    </w:tbl>
    <w:p>
      <w:pPr>
        <w:spacing w:line="240" w:lineRule="auto" w:before="9"/>
        <w:rPr>
          <w:rFonts w:ascii="宋体" w:hAnsi="宋体" w:cs="宋体" w:eastAsia="宋体" w:hint="default"/>
          <w:b/>
          <w:bCs/>
          <w:sz w:val="22"/>
          <w:szCs w:val="22"/>
        </w:rPr>
      </w:pPr>
    </w:p>
    <w:p>
      <w:pPr>
        <w:pStyle w:val="BodyText"/>
        <w:spacing w:line="240" w:lineRule="auto" w:before="44"/>
        <w:ind w:left="720" w:right="0"/>
        <w:jc w:val="left"/>
      </w:pPr>
      <w:r>
        <w:rPr/>
        <w:t>（</w:t>
      </w:r>
      <w:r>
        <w:rPr>
          <w:rFonts w:ascii="Times New Roman" w:hAnsi="Times New Roman" w:cs="Times New Roman" w:eastAsia="Times New Roman" w:hint="default"/>
        </w:rPr>
        <w:t>3</w:t>
      </w:r>
      <w:r>
        <w:rPr/>
        <w:t>）本期计提、转回或收回情况</w:t>
      </w:r>
    </w:p>
    <w:p>
      <w:pPr>
        <w:spacing w:line="240" w:lineRule="auto" w:before="9"/>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647"/>
        <w:gridCol w:w="4150"/>
      </w:tblGrid>
      <w:tr>
        <w:trPr>
          <w:trHeight w:val="272" w:hRule="exact"/>
        </w:trPr>
        <w:tc>
          <w:tcPr>
            <w:tcW w:w="4647" w:type="dxa"/>
            <w:tcBorders>
              <w:top w:val="nil" w:sz="6" w:space="0" w:color="auto"/>
              <w:left w:val="nil" w:sz="6" w:space="0" w:color="auto"/>
              <w:bottom w:val="single" w:sz="4" w:space="0" w:color="000000"/>
              <w:right w:val="nil" w:sz="6" w:space="0" w:color="auto"/>
            </w:tcBorders>
          </w:tcPr>
          <w:p>
            <w:pPr>
              <w:pStyle w:val="TableParagraph"/>
              <w:spacing w:line="180" w:lineRule="exact"/>
              <w:ind w:left="39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50" w:type="dxa"/>
            <w:tcBorders>
              <w:top w:val="nil" w:sz="6" w:space="0" w:color="auto"/>
              <w:left w:val="nil" w:sz="6" w:space="0" w:color="auto"/>
              <w:bottom w:val="single" w:sz="4" w:space="0" w:color="000000"/>
              <w:right w:val="nil" w:sz="6" w:space="0" w:color="auto"/>
            </w:tcBorders>
          </w:tcPr>
          <w:p>
            <w:pPr>
              <w:pStyle w:val="TableParagraph"/>
              <w:spacing w:line="180" w:lineRule="exact"/>
              <w:ind w:left="391"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427" w:hRule="exact"/>
        </w:trPr>
        <w:tc>
          <w:tcPr>
            <w:tcW w:w="464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本期计提应收账款坏账准备</w:t>
            </w:r>
          </w:p>
        </w:tc>
        <w:tc>
          <w:tcPr>
            <w:tcW w:w="4150"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2129" w:right="0"/>
              <w:jc w:val="left"/>
              <w:rPr>
                <w:rFonts w:ascii="Times New Roman" w:hAnsi="Times New Roman" w:cs="Times New Roman" w:eastAsia="Times New Roman" w:hint="default"/>
                <w:sz w:val="20"/>
                <w:szCs w:val="20"/>
              </w:rPr>
            </w:pPr>
            <w:r>
              <w:rPr>
                <w:rFonts w:ascii="Times New Roman"/>
                <w:sz w:val="20"/>
              </w:rPr>
              <w:t>-68,585.24</w:t>
            </w:r>
          </w:p>
        </w:tc>
      </w:tr>
      <w:tr>
        <w:trPr>
          <w:trHeight w:val="289" w:hRule="exact"/>
        </w:trPr>
        <w:tc>
          <w:tcPr>
            <w:tcW w:w="464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本期收回或转回的应收账款坏账准备</w:t>
            </w:r>
          </w:p>
        </w:tc>
        <w:tc>
          <w:tcPr>
            <w:tcW w:w="41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5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720" w:right="0"/>
        <w:jc w:val="left"/>
      </w:pPr>
      <w:r>
        <w:rPr/>
        <w:t>（</w:t>
      </w:r>
      <w:r>
        <w:rPr>
          <w:rFonts w:ascii="Times New Roman" w:hAnsi="Times New Roman" w:cs="Times New Roman" w:eastAsia="Times New Roman" w:hint="default"/>
        </w:rPr>
        <w:t>4</w:t>
      </w:r>
      <w:r>
        <w:rPr/>
        <w:t>）本期无实际核销的应收账款。</w:t>
      </w:r>
    </w:p>
    <w:p>
      <w:pPr>
        <w:spacing w:line="240" w:lineRule="auto" w:before="8"/>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5</w:t>
      </w:r>
      <w:r>
        <w:rPr/>
        <w:t>）期末应收账款金额前五名情况</w:t>
      </w:r>
    </w:p>
    <w:p>
      <w:pPr>
        <w:spacing w:line="240" w:lineRule="auto" w:before="6"/>
        <w:rPr>
          <w:rFonts w:ascii="宋体" w:hAnsi="宋体" w:cs="宋体" w:eastAsia="宋体" w:hint="default"/>
          <w:sz w:val="24"/>
          <w:szCs w:val="24"/>
        </w:rPr>
      </w:pPr>
    </w:p>
    <w:tbl>
      <w:tblPr>
        <w:tblW w:w="0" w:type="auto"/>
        <w:jc w:val="left"/>
        <w:tblInd w:w="223" w:type="dxa"/>
        <w:tblLayout w:type="fixed"/>
        <w:tblCellMar>
          <w:top w:w="0" w:type="dxa"/>
          <w:left w:w="0" w:type="dxa"/>
          <w:bottom w:w="0" w:type="dxa"/>
          <w:right w:w="0" w:type="dxa"/>
        </w:tblCellMar>
        <w:tblLook w:val="01E0"/>
      </w:tblPr>
      <w:tblGrid>
        <w:gridCol w:w="2303"/>
        <w:gridCol w:w="1451"/>
        <w:gridCol w:w="1316"/>
        <w:gridCol w:w="981"/>
        <w:gridCol w:w="1522"/>
        <w:gridCol w:w="1010"/>
      </w:tblGrid>
      <w:tr>
        <w:trPr>
          <w:trHeight w:val="673" w:hRule="exact"/>
        </w:trPr>
        <w:tc>
          <w:tcPr>
            <w:tcW w:w="2303"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22"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51" w:type="dxa"/>
            <w:tcBorders>
              <w:top w:val="nil" w:sz="6" w:space="0" w:color="auto"/>
              <w:left w:val="nil" w:sz="6" w:space="0" w:color="auto"/>
              <w:bottom w:val="single" w:sz="6" w:space="0" w:color="000000"/>
              <w:right w:val="nil" w:sz="6" w:space="0" w:color="auto"/>
            </w:tcBorders>
          </w:tcPr>
          <w:p>
            <w:pPr>
              <w:pStyle w:val="TableParagraph"/>
              <w:spacing w:line="240" w:lineRule="auto" w:before="143"/>
              <w:ind w:left="143"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316" w:type="dxa"/>
            <w:tcBorders>
              <w:top w:val="nil" w:sz="6" w:space="0" w:color="auto"/>
              <w:left w:val="nil" w:sz="6" w:space="0" w:color="auto"/>
              <w:bottom w:val="single" w:sz="6" w:space="0" w:color="000000"/>
              <w:right w:val="nil" w:sz="6" w:space="0" w:color="auto"/>
            </w:tcBorders>
          </w:tcPr>
          <w:p>
            <w:pPr>
              <w:pStyle w:val="TableParagraph"/>
              <w:spacing w:line="240" w:lineRule="auto" w:before="143"/>
              <w:ind w:right="5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981" w:type="dxa"/>
            <w:tcBorders>
              <w:top w:val="nil" w:sz="6" w:space="0" w:color="auto"/>
              <w:left w:val="nil" w:sz="6" w:space="0" w:color="auto"/>
              <w:bottom w:val="single" w:sz="6" w:space="0" w:color="000000"/>
              <w:right w:val="nil" w:sz="6" w:space="0" w:color="auto"/>
            </w:tcBorders>
          </w:tcPr>
          <w:p>
            <w:pPr>
              <w:pStyle w:val="TableParagraph"/>
              <w:spacing w:line="240" w:lineRule="auto" w:before="143"/>
              <w:ind w:right="209"/>
              <w:jc w:val="right"/>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522" w:type="dxa"/>
            <w:tcBorders>
              <w:top w:val="nil" w:sz="6" w:space="0" w:color="auto"/>
              <w:left w:val="nil" w:sz="6" w:space="0" w:color="auto"/>
              <w:bottom w:val="single" w:sz="6" w:space="0" w:color="000000"/>
              <w:right w:val="nil" w:sz="6" w:space="0" w:color="auto"/>
            </w:tcBorders>
          </w:tcPr>
          <w:p>
            <w:pPr>
              <w:pStyle w:val="TableParagraph"/>
              <w:spacing w:line="180" w:lineRule="exact"/>
              <w:ind w:left="245" w:right="0" w:hanging="89"/>
              <w:jc w:val="left"/>
              <w:rPr>
                <w:rFonts w:ascii="宋体" w:hAnsi="宋体" w:cs="宋体" w:eastAsia="宋体" w:hint="default"/>
                <w:sz w:val="18"/>
                <w:szCs w:val="18"/>
              </w:rPr>
            </w:pPr>
            <w:r>
              <w:rPr>
                <w:rFonts w:ascii="宋体" w:hAnsi="宋体" w:cs="宋体" w:eastAsia="宋体" w:hint="default"/>
                <w:b/>
                <w:bCs/>
                <w:sz w:val="18"/>
                <w:szCs w:val="18"/>
              </w:rPr>
              <w:t>占应收账款总额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10" w:type="dxa"/>
            <w:tcBorders>
              <w:top w:val="nil" w:sz="6" w:space="0" w:color="auto"/>
              <w:left w:val="nil" w:sz="6" w:space="0" w:color="auto"/>
              <w:bottom w:val="single" w:sz="6" w:space="0" w:color="000000"/>
              <w:right w:val="nil" w:sz="6" w:space="0" w:color="auto"/>
            </w:tcBorders>
          </w:tcPr>
          <w:p>
            <w:pPr>
              <w:pStyle w:val="TableParagraph"/>
              <w:spacing w:line="180"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2" w:hRule="exact"/>
        </w:trPr>
        <w:tc>
          <w:tcPr>
            <w:tcW w:w="2303"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0"/>
              <w:jc w:val="left"/>
              <w:rPr>
                <w:rFonts w:ascii="宋体" w:hAnsi="宋体" w:cs="宋体" w:eastAsia="宋体" w:hint="default"/>
                <w:sz w:val="18"/>
                <w:szCs w:val="18"/>
              </w:rPr>
            </w:pPr>
            <w:r>
              <w:rPr>
                <w:rFonts w:ascii="宋体" w:hAnsi="宋体" w:cs="宋体" w:eastAsia="宋体" w:hint="default"/>
                <w:sz w:val="18"/>
                <w:szCs w:val="18"/>
              </w:rPr>
              <w:t>湖南省新闻出版广电局</w:t>
            </w:r>
          </w:p>
        </w:tc>
        <w:tc>
          <w:tcPr>
            <w:tcW w:w="1451" w:type="dxa"/>
            <w:tcBorders>
              <w:top w:val="single" w:sz="6" w:space="0" w:color="000000"/>
              <w:left w:val="nil" w:sz="6" w:space="0" w:color="auto"/>
              <w:bottom w:val="nil" w:sz="6" w:space="0" w:color="auto"/>
              <w:right w:val="nil" w:sz="6" w:space="0" w:color="auto"/>
            </w:tcBorders>
          </w:tcPr>
          <w:p>
            <w:pPr>
              <w:pStyle w:val="TableParagraph"/>
              <w:spacing w:line="240" w:lineRule="auto" w:before="35"/>
              <w:ind w:left="145"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316" w:type="dxa"/>
            <w:tcBorders>
              <w:top w:val="single" w:sz="6" w:space="0" w:color="000000"/>
              <w:left w:val="nil" w:sz="6" w:space="0" w:color="auto"/>
              <w:bottom w:val="nil" w:sz="6" w:space="0" w:color="auto"/>
              <w:right w:val="nil" w:sz="6" w:space="0" w:color="auto"/>
            </w:tcBorders>
          </w:tcPr>
          <w:p>
            <w:pPr>
              <w:pStyle w:val="TableParagraph"/>
              <w:spacing w:line="240" w:lineRule="auto" w:before="72"/>
              <w:ind w:right="144"/>
              <w:jc w:val="right"/>
              <w:rPr>
                <w:rFonts w:ascii="Times New Roman" w:hAnsi="Times New Roman" w:cs="Times New Roman" w:eastAsia="Times New Roman" w:hint="default"/>
                <w:sz w:val="18"/>
                <w:szCs w:val="18"/>
              </w:rPr>
            </w:pPr>
            <w:r>
              <w:rPr>
                <w:rFonts w:ascii="Times New Roman"/>
                <w:spacing w:val="-1"/>
                <w:sz w:val="18"/>
              </w:rPr>
              <w:t>4,511,200.00</w:t>
            </w:r>
          </w:p>
        </w:tc>
        <w:tc>
          <w:tcPr>
            <w:tcW w:w="981" w:type="dxa"/>
            <w:tcBorders>
              <w:top w:val="single" w:sz="6" w:space="0" w:color="000000"/>
              <w:left w:val="nil" w:sz="6" w:space="0" w:color="auto"/>
              <w:bottom w:val="nil" w:sz="6" w:space="0" w:color="auto"/>
              <w:right w:val="nil" w:sz="6" w:space="0" w:color="auto"/>
            </w:tcBorders>
          </w:tcPr>
          <w:p>
            <w:pPr>
              <w:pStyle w:val="TableParagraph"/>
              <w:spacing w:line="240" w:lineRule="auto" w:before="35"/>
              <w:ind w:right="15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2" w:type="dxa"/>
            <w:tcBorders>
              <w:top w:val="single" w:sz="6" w:space="0" w:color="000000"/>
              <w:left w:val="nil" w:sz="6" w:space="0" w:color="auto"/>
              <w:bottom w:val="nil" w:sz="6" w:space="0" w:color="auto"/>
              <w:right w:val="nil" w:sz="6" w:space="0" w:color="auto"/>
            </w:tcBorders>
          </w:tcPr>
          <w:p>
            <w:pPr>
              <w:pStyle w:val="TableParagraph"/>
              <w:spacing w:line="240" w:lineRule="auto" w:before="72"/>
              <w:ind w:right="526"/>
              <w:jc w:val="right"/>
              <w:rPr>
                <w:rFonts w:ascii="Times New Roman" w:hAnsi="Times New Roman" w:cs="Times New Roman" w:eastAsia="Times New Roman" w:hint="default"/>
                <w:sz w:val="18"/>
                <w:szCs w:val="18"/>
              </w:rPr>
            </w:pPr>
            <w:r>
              <w:rPr>
                <w:rFonts w:ascii="Times New Roman"/>
                <w:sz w:val="18"/>
              </w:rPr>
              <w:t>65.60</w:t>
            </w:r>
          </w:p>
        </w:tc>
        <w:tc>
          <w:tcPr>
            <w:tcW w:w="1010" w:type="dxa"/>
            <w:tcBorders>
              <w:top w:val="single" w:sz="6" w:space="0" w:color="000000"/>
              <w:left w:val="nil" w:sz="6" w:space="0" w:color="auto"/>
              <w:bottom w:val="nil" w:sz="6" w:space="0" w:color="auto"/>
              <w:right w:val="nil" w:sz="6" w:space="0" w:color="auto"/>
            </w:tcBorders>
          </w:tcPr>
          <w:p>
            <w:pPr>
              <w:pStyle w:val="TableParagraph"/>
              <w:spacing w:line="240" w:lineRule="auto" w:before="72"/>
              <w:ind w:right="79"/>
              <w:jc w:val="right"/>
              <w:rPr>
                <w:rFonts w:ascii="Times New Roman" w:hAnsi="Times New Roman" w:cs="Times New Roman" w:eastAsia="Times New Roman" w:hint="default"/>
                <w:sz w:val="18"/>
                <w:szCs w:val="18"/>
              </w:rPr>
            </w:pPr>
            <w:r>
              <w:rPr>
                <w:rFonts w:ascii="Times New Roman"/>
                <w:spacing w:val="-1"/>
                <w:sz w:val="18"/>
              </w:rPr>
              <w:t>45,112.00</w:t>
            </w:r>
          </w:p>
        </w:tc>
      </w:tr>
      <w:tr>
        <w:trPr>
          <w:trHeight w:val="756"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364" w:lineRule="auto" w:before="53"/>
              <w:ind w:right="141"/>
              <w:jc w:val="left"/>
              <w:rPr>
                <w:rFonts w:ascii="宋体" w:hAnsi="宋体" w:cs="宋体" w:eastAsia="宋体" w:hint="default"/>
                <w:sz w:val="18"/>
                <w:szCs w:val="18"/>
              </w:rPr>
            </w:pPr>
            <w:r>
              <w:rPr>
                <w:rFonts w:ascii="宋体" w:hAnsi="宋体" w:cs="宋体" w:eastAsia="宋体" w:hint="default"/>
                <w:sz w:val="18"/>
                <w:szCs w:val="18"/>
              </w:rPr>
              <w:t>湖南省新华书店有限责任公 司</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pacing w:val="-1"/>
                <w:sz w:val="18"/>
              </w:rPr>
              <w:t>1,016,495.46</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526"/>
              <w:jc w:val="right"/>
              <w:rPr>
                <w:rFonts w:ascii="Times New Roman" w:hAnsi="Times New Roman" w:cs="Times New Roman" w:eastAsia="Times New Roman" w:hint="default"/>
                <w:sz w:val="18"/>
                <w:szCs w:val="18"/>
              </w:rPr>
            </w:pPr>
            <w:r>
              <w:rPr>
                <w:rFonts w:ascii="Times New Roman"/>
                <w:sz w:val="18"/>
              </w:rPr>
              <w:t>14.78</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pacing w:val="-1"/>
                <w:sz w:val="18"/>
              </w:rPr>
              <w:t>10,164.95</w:t>
            </w:r>
          </w:p>
        </w:tc>
      </w:tr>
      <w:tr>
        <w:trPr>
          <w:trHeight w:val="402"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北京北方天舟文化有限公司</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44"/>
              <w:jc w:val="right"/>
              <w:rPr>
                <w:rFonts w:ascii="Times New Roman" w:hAnsi="Times New Roman" w:cs="Times New Roman" w:eastAsia="Times New Roman" w:hint="default"/>
                <w:sz w:val="18"/>
                <w:szCs w:val="18"/>
              </w:rPr>
            </w:pPr>
            <w:r>
              <w:rPr>
                <w:rFonts w:ascii="Times New Roman"/>
                <w:spacing w:val="-1"/>
                <w:sz w:val="18"/>
              </w:rPr>
              <w:t>559,626.09</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72"/>
              <w:jc w:val="right"/>
              <w:rPr>
                <w:rFonts w:ascii="Times New Roman" w:hAnsi="Times New Roman" w:cs="Times New Roman" w:eastAsia="Times New Roman" w:hint="default"/>
                <w:sz w:val="18"/>
                <w:szCs w:val="18"/>
              </w:rPr>
            </w:pPr>
            <w:r>
              <w:rPr>
                <w:rFonts w:ascii="Times New Roman"/>
                <w:spacing w:val="-1"/>
                <w:sz w:val="18"/>
              </w:rPr>
              <w:t>8.14</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w w:val="95"/>
                <w:sz w:val="18"/>
              </w:rPr>
              <w:t>5,596.26</w:t>
            </w:r>
          </w:p>
        </w:tc>
      </w:tr>
      <w:tr>
        <w:trPr>
          <w:trHeight w:val="401"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汝城县教育局</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5"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4"/>
              <w:jc w:val="right"/>
              <w:rPr>
                <w:rFonts w:ascii="Times New Roman" w:hAnsi="Times New Roman" w:cs="Times New Roman" w:eastAsia="Times New Roman" w:hint="default"/>
                <w:sz w:val="18"/>
                <w:szCs w:val="18"/>
              </w:rPr>
            </w:pPr>
            <w:r>
              <w:rPr>
                <w:rFonts w:ascii="Times New Roman"/>
                <w:spacing w:val="-1"/>
                <w:sz w:val="18"/>
              </w:rPr>
              <w:t>419,250.00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72"/>
              <w:jc w:val="right"/>
              <w:rPr>
                <w:rFonts w:ascii="Times New Roman" w:hAnsi="Times New Roman" w:cs="Times New Roman" w:eastAsia="Times New Roman" w:hint="default"/>
                <w:sz w:val="18"/>
                <w:szCs w:val="18"/>
              </w:rPr>
            </w:pPr>
            <w:r>
              <w:rPr>
                <w:rFonts w:ascii="Times New Roman"/>
                <w:spacing w:val="-1"/>
                <w:sz w:val="18"/>
              </w:rPr>
              <w:t>6.10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9"/>
              <w:jc w:val="right"/>
              <w:rPr>
                <w:rFonts w:ascii="Times New Roman" w:hAnsi="Times New Roman" w:cs="Times New Roman" w:eastAsia="Times New Roman" w:hint="default"/>
                <w:sz w:val="18"/>
                <w:szCs w:val="18"/>
              </w:rPr>
            </w:pPr>
            <w:r>
              <w:rPr>
                <w:rFonts w:ascii="Times New Roman"/>
                <w:w w:val="95"/>
                <w:sz w:val="18"/>
              </w:rPr>
              <w:t>4,192.50</w:t>
            </w:r>
          </w:p>
        </w:tc>
      </w:tr>
      <w:tr>
        <w:trPr>
          <w:trHeight w:val="402"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鹤城区教育局</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5"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4"/>
              <w:jc w:val="right"/>
              <w:rPr>
                <w:rFonts w:ascii="Times New Roman" w:hAnsi="Times New Roman" w:cs="Times New Roman" w:eastAsia="Times New Roman" w:hint="default"/>
                <w:sz w:val="18"/>
                <w:szCs w:val="18"/>
              </w:rPr>
            </w:pPr>
            <w:r>
              <w:rPr>
                <w:rFonts w:ascii="Times New Roman"/>
                <w:spacing w:val="-1"/>
                <w:sz w:val="18"/>
              </w:rPr>
              <w:t>145,523.37</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72"/>
              <w:jc w:val="right"/>
              <w:rPr>
                <w:rFonts w:ascii="Times New Roman" w:hAnsi="Times New Roman" w:cs="Times New Roman" w:eastAsia="Times New Roman" w:hint="default"/>
                <w:sz w:val="18"/>
                <w:szCs w:val="18"/>
              </w:rPr>
            </w:pPr>
            <w:r>
              <w:rPr>
                <w:rFonts w:ascii="Times New Roman"/>
                <w:spacing w:val="-1"/>
                <w:sz w:val="18"/>
              </w:rPr>
              <w:t>2.12</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9"/>
              <w:jc w:val="right"/>
              <w:rPr>
                <w:rFonts w:ascii="Times New Roman" w:hAnsi="Times New Roman" w:cs="Times New Roman" w:eastAsia="Times New Roman" w:hint="default"/>
                <w:sz w:val="18"/>
                <w:szCs w:val="18"/>
              </w:rPr>
            </w:pPr>
            <w:r>
              <w:rPr>
                <w:rFonts w:ascii="Times New Roman"/>
                <w:spacing w:val="-1"/>
                <w:sz w:val="18"/>
              </w:rPr>
              <w:t>145,523.37</w:t>
            </w:r>
          </w:p>
        </w:tc>
      </w:tr>
      <w:tr>
        <w:trPr>
          <w:trHeight w:val="327"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1"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6,652,094.92</w:t>
            </w:r>
            <w:r>
              <w:rPr>
                <w:rFonts w:ascii="Times New Roman"/>
                <w:spacing w:val="-1"/>
                <w:sz w:val="18"/>
              </w:rPr>
            </w:r>
          </w:p>
        </w:tc>
        <w:tc>
          <w:tcPr>
            <w:tcW w:w="981"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26"/>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96.73</w:t>
            </w:r>
            <w:r>
              <w:rPr>
                <w:rFonts w:ascii="Times New Roman"/>
                <w:sz w:val="18"/>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210,589.08</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720" w:right="0"/>
        <w:jc w:val="left"/>
      </w:pPr>
      <w:r>
        <w:rPr/>
        <w:t>（</w:t>
      </w:r>
      <w:r>
        <w:rPr>
          <w:rFonts w:ascii="Times New Roman" w:hAnsi="Times New Roman" w:cs="Times New Roman" w:eastAsia="Times New Roman" w:hint="default"/>
        </w:rPr>
        <w:t>6</w:t>
      </w:r>
      <w:r>
        <w:rPr/>
        <w:t>）本报告期无因金融资产转移而终止确认的应收账款。</w:t>
      </w:r>
    </w:p>
    <w:p>
      <w:pPr>
        <w:spacing w:line="240" w:lineRule="auto" w:before="8"/>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7</w:t>
      </w:r>
      <w:r>
        <w:rPr/>
        <w:t>）本报告期公司无因应收账款转移而继续涉入形成的资产、负债。</w:t>
      </w:r>
    </w:p>
    <w:p>
      <w:pPr>
        <w:spacing w:line="240" w:lineRule="auto" w:before="0"/>
        <w:rPr>
          <w:rFonts w:ascii="宋体" w:hAnsi="宋体" w:cs="宋体" w:eastAsia="宋体" w:hint="default"/>
          <w:sz w:val="18"/>
          <w:szCs w:val="18"/>
        </w:rPr>
      </w:pPr>
    </w:p>
    <w:p>
      <w:pPr>
        <w:pStyle w:val="BodyText"/>
        <w:spacing w:line="240" w:lineRule="auto" w:before="153"/>
        <w:ind w:left="720"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其他应收款</w:t>
      </w:r>
    </w:p>
    <w:p>
      <w:pPr>
        <w:spacing w:line="240" w:lineRule="auto" w:before="5"/>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1</w:t>
      </w:r>
      <w:r>
        <w:rPr/>
        <w:t>）分类列示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tbl>
      <w:tblPr>
        <w:tblW w:w="0" w:type="auto"/>
        <w:jc w:val="left"/>
        <w:tblInd w:w="681" w:type="dxa"/>
        <w:tblLayout w:type="fixed"/>
        <w:tblCellMar>
          <w:top w:w="0" w:type="dxa"/>
          <w:left w:w="0" w:type="dxa"/>
          <w:bottom w:w="0" w:type="dxa"/>
          <w:right w:w="0" w:type="dxa"/>
        </w:tblCellMar>
        <w:tblLook w:val="01E0"/>
      </w:tblPr>
      <w:tblGrid>
        <w:gridCol w:w="2105"/>
        <w:gridCol w:w="822"/>
        <w:gridCol w:w="880"/>
        <w:gridCol w:w="955"/>
        <w:gridCol w:w="783"/>
        <w:gridCol w:w="874"/>
        <w:gridCol w:w="953"/>
        <w:gridCol w:w="861"/>
      </w:tblGrid>
      <w:tr>
        <w:trPr>
          <w:trHeight w:val="256" w:hRule="exact"/>
        </w:trPr>
        <w:tc>
          <w:tcPr>
            <w:tcW w:w="3807" w:type="dxa"/>
            <w:gridSpan w:val="3"/>
            <w:tcBorders>
              <w:top w:val="nil" w:sz="6" w:space="0" w:color="auto"/>
              <w:left w:val="nil" w:sz="6" w:space="0" w:color="auto"/>
              <w:bottom w:val="nil" w:sz="6" w:space="0" w:color="auto"/>
              <w:right w:val="nil" w:sz="6" w:space="0" w:color="auto"/>
            </w:tcBorders>
          </w:tcPr>
          <w:p>
            <w:pPr>
              <w:pStyle w:val="TableParagraph"/>
              <w:spacing w:line="130" w:lineRule="exact"/>
              <w:ind w:right="611"/>
              <w:jc w:val="right"/>
              <w:rPr>
                <w:rFonts w:ascii="宋体" w:hAnsi="宋体" w:cs="宋体" w:eastAsia="宋体" w:hint="default"/>
                <w:sz w:val="13"/>
                <w:szCs w:val="13"/>
              </w:rPr>
            </w:pPr>
            <w:r>
              <w:rPr>
                <w:rFonts w:ascii="宋体" w:hAnsi="宋体" w:cs="宋体" w:eastAsia="宋体" w:hint="default"/>
                <w:b/>
                <w:bCs/>
                <w:sz w:val="13"/>
                <w:szCs w:val="13"/>
              </w:rPr>
              <w:t>期末余额</w:t>
            </w:r>
            <w:r>
              <w:rPr>
                <w:rFonts w:ascii="宋体" w:hAnsi="宋体" w:cs="宋体" w:eastAsia="宋体" w:hint="default"/>
                <w:sz w:val="13"/>
                <w:szCs w:val="13"/>
              </w:rPr>
            </w:r>
          </w:p>
        </w:tc>
        <w:tc>
          <w:tcPr>
            <w:tcW w:w="955"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
        </w:tc>
        <w:tc>
          <w:tcPr>
            <w:tcW w:w="1827" w:type="dxa"/>
            <w:gridSpan w:val="2"/>
            <w:tcBorders>
              <w:top w:val="nil" w:sz="6" w:space="0" w:color="auto"/>
              <w:left w:val="nil" w:sz="6" w:space="0" w:color="auto"/>
              <w:bottom w:val="nil" w:sz="6" w:space="0" w:color="auto"/>
              <w:right w:val="nil" w:sz="6" w:space="0" w:color="auto"/>
            </w:tcBorders>
          </w:tcPr>
          <w:p>
            <w:pPr>
              <w:pStyle w:val="TableParagraph"/>
              <w:spacing w:line="130" w:lineRule="exact"/>
              <w:ind w:right="46"/>
              <w:jc w:val="center"/>
              <w:rPr>
                <w:rFonts w:ascii="宋体" w:hAnsi="宋体" w:cs="宋体" w:eastAsia="宋体" w:hint="default"/>
                <w:sz w:val="13"/>
                <w:szCs w:val="13"/>
              </w:rPr>
            </w:pPr>
            <w:r>
              <w:rPr>
                <w:rFonts w:ascii="宋体" w:hAnsi="宋体" w:cs="宋体" w:eastAsia="宋体" w:hint="default"/>
                <w:b/>
                <w:bCs/>
                <w:sz w:val="13"/>
                <w:szCs w:val="13"/>
              </w:rPr>
              <w:t>期初余额</w:t>
            </w:r>
            <w:r>
              <w:rPr>
                <w:rFonts w:ascii="宋体" w:hAnsi="宋体" w:cs="宋体" w:eastAsia="宋体" w:hint="default"/>
                <w:sz w:val="13"/>
                <w:szCs w:val="13"/>
              </w:rPr>
            </w:r>
          </w:p>
        </w:tc>
        <w:tc>
          <w:tcPr>
            <w:tcW w:w="861" w:type="dxa"/>
            <w:tcBorders>
              <w:top w:val="nil" w:sz="6" w:space="0" w:color="auto"/>
              <w:left w:val="nil" w:sz="6" w:space="0" w:color="auto"/>
              <w:bottom w:val="nil" w:sz="6" w:space="0" w:color="auto"/>
              <w:right w:val="nil" w:sz="6" w:space="0" w:color="auto"/>
            </w:tcBorders>
          </w:tcPr>
          <w:p>
            <w:pPr/>
          </w:p>
        </w:tc>
      </w:tr>
      <w:tr>
        <w:trPr>
          <w:trHeight w:val="434"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3"/>
                <w:szCs w:val="13"/>
              </w:rPr>
            </w:pPr>
            <w:r>
              <w:rPr>
                <w:rFonts w:ascii="宋体" w:hAnsi="宋体" w:cs="宋体" w:eastAsia="宋体" w:hint="default"/>
                <w:b/>
                <w:bCs/>
                <w:sz w:val="13"/>
                <w:szCs w:val="13"/>
              </w:rPr>
              <w:t>类别</w:t>
            </w:r>
            <w:r>
              <w:rPr>
                <w:rFonts w:ascii="宋体" w:hAnsi="宋体" w:cs="宋体" w:eastAsia="宋体" w:hint="default"/>
                <w:sz w:val="13"/>
                <w:szCs w:val="13"/>
              </w:rPr>
            </w:r>
          </w:p>
        </w:tc>
        <w:tc>
          <w:tcPr>
            <w:tcW w:w="822" w:type="dxa"/>
            <w:vMerge w:val="restart"/>
            <w:tcBorders>
              <w:top w:val="nil" w:sz="6" w:space="0" w:color="auto"/>
              <w:left w:val="nil" w:sz="6" w:space="0" w:color="auto"/>
              <w:right w:val="nil" w:sz="6" w:space="0" w:color="auto"/>
            </w:tcBorders>
          </w:tcPr>
          <w:p>
            <w:pPr>
              <w:pStyle w:val="TableParagraph"/>
              <w:spacing w:line="508" w:lineRule="auto" w:before="85"/>
              <w:ind w:left="315" w:right="178" w:hanging="65"/>
              <w:jc w:val="left"/>
              <w:rPr>
                <w:rFonts w:ascii="宋体" w:hAnsi="宋体" w:cs="宋体" w:eastAsia="宋体" w:hint="default"/>
                <w:sz w:val="13"/>
                <w:szCs w:val="13"/>
              </w:rPr>
            </w:pPr>
            <w:r>
              <w:rPr>
                <w:rFonts w:ascii="宋体" w:hAnsi="宋体" w:cs="宋体" w:eastAsia="宋体" w:hint="default"/>
                <w:b/>
                <w:bCs/>
                <w:sz w:val="13"/>
                <w:szCs w:val="13"/>
              </w:rPr>
              <w:t>占总额</w:t>
            </w:r>
            <w:r>
              <w:rPr>
                <w:rFonts w:ascii="宋体" w:hAnsi="宋体" w:cs="宋体" w:eastAsia="宋体" w:hint="default"/>
                <w:b/>
                <w:bCs/>
                <w:w w:val="99"/>
                <w:sz w:val="13"/>
                <w:szCs w:val="13"/>
              </w:rPr>
              <w:t> </w:t>
            </w:r>
            <w:r>
              <w:rPr>
                <w:rFonts w:ascii="宋体" w:hAnsi="宋体" w:cs="宋体" w:eastAsia="宋体" w:hint="default"/>
                <w:b/>
                <w:bCs/>
                <w:sz w:val="13"/>
                <w:szCs w:val="13"/>
              </w:rPr>
              <w:t>比例</w:t>
            </w:r>
            <w:r>
              <w:rPr>
                <w:rFonts w:ascii="宋体" w:hAnsi="宋体" w:cs="宋体" w:eastAsia="宋体" w:hint="default"/>
                <w:sz w:val="13"/>
                <w:szCs w:val="13"/>
              </w:rPr>
            </w:r>
          </w:p>
          <w:p>
            <w:pPr>
              <w:pStyle w:val="TableParagraph"/>
              <w:spacing w:line="240" w:lineRule="auto" w:before="3"/>
              <w:ind w:left="251" w:right="0"/>
              <w:jc w:val="left"/>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880" w:type="dxa"/>
            <w:tcBorders>
              <w:top w:val="nil" w:sz="6" w:space="0" w:color="auto"/>
              <w:left w:val="nil" w:sz="6" w:space="0" w:color="auto"/>
              <w:bottom w:val="nil" w:sz="6" w:space="0" w:color="auto"/>
              <w:right w:val="nil" w:sz="6" w:space="0" w:color="auto"/>
            </w:tcBorders>
          </w:tcPr>
          <w:p>
            <w:pPr/>
          </w:p>
        </w:tc>
        <w:tc>
          <w:tcPr>
            <w:tcW w:w="955" w:type="dxa"/>
            <w:vMerge w:val="restart"/>
            <w:tcBorders>
              <w:top w:val="nil" w:sz="6" w:space="0" w:color="auto"/>
              <w:left w:val="nil" w:sz="6" w:space="0" w:color="auto"/>
              <w:right w:val="nil" w:sz="6" w:space="0" w:color="auto"/>
            </w:tcBorders>
          </w:tcPr>
          <w:p>
            <w:pPr>
              <w:pStyle w:val="TableParagraph"/>
              <w:spacing w:line="451" w:lineRule="auto" w:before="104"/>
              <w:ind w:left="176" w:right="253"/>
              <w:jc w:val="left"/>
              <w:rPr>
                <w:rFonts w:ascii="宋体" w:hAnsi="宋体" w:cs="宋体" w:eastAsia="宋体" w:hint="default"/>
                <w:sz w:val="13"/>
                <w:szCs w:val="13"/>
              </w:rPr>
            </w:pPr>
            <w:r>
              <w:rPr>
                <w:rFonts w:ascii="宋体" w:hAnsi="宋体" w:cs="宋体" w:eastAsia="宋体" w:hint="default"/>
                <w:b/>
                <w:bCs/>
                <w:sz w:val="13"/>
                <w:szCs w:val="13"/>
              </w:rPr>
              <w:t>坏账准备</w:t>
            </w:r>
            <w:r>
              <w:rPr>
                <w:rFonts w:ascii="宋体" w:hAnsi="宋体" w:cs="宋体" w:eastAsia="宋体" w:hint="default"/>
                <w:b/>
                <w:bCs/>
                <w:w w:val="99"/>
                <w:sz w:val="13"/>
                <w:szCs w:val="13"/>
              </w:rPr>
              <w:t> </w:t>
            </w:r>
            <w:r>
              <w:rPr>
                <w:rFonts w:ascii="宋体" w:hAnsi="宋体" w:cs="宋体" w:eastAsia="宋体" w:hint="default"/>
                <w:b/>
                <w:bCs/>
                <w:sz w:val="13"/>
                <w:szCs w:val="13"/>
              </w:rPr>
              <w:t>计提比例</w:t>
            </w:r>
            <w:r>
              <w:rPr>
                <w:rFonts w:ascii="宋体" w:hAnsi="宋体" w:cs="宋体" w:eastAsia="宋体" w:hint="default"/>
                <w:sz w:val="13"/>
                <w:szCs w:val="13"/>
              </w:rPr>
            </w:r>
          </w:p>
          <w:p>
            <w:pPr>
              <w:pStyle w:val="TableParagraph"/>
              <w:spacing w:line="240" w:lineRule="auto" w:before="37"/>
              <w:ind w:left="243" w:right="0"/>
              <w:jc w:val="left"/>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783" w:type="dxa"/>
            <w:tcBorders>
              <w:top w:val="nil" w:sz="6" w:space="0" w:color="auto"/>
              <w:left w:val="nil" w:sz="6" w:space="0" w:color="auto"/>
              <w:bottom w:val="nil" w:sz="6" w:space="0" w:color="auto"/>
              <w:right w:val="nil" w:sz="6" w:space="0" w:color="auto"/>
            </w:tcBorders>
          </w:tcPr>
          <w:p>
            <w:pPr/>
          </w:p>
        </w:tc>
        <w:tc>
          <w:tcPr>
            <w:tcW w:w="874" w:type="dxa"/>
            <w:vMerge w:val="restart"/>
            <w:tcBorders>
              <w:top w:val="nil" w:sz="6" w:space="0" w:color="auto"/>
              <w:left w:val="nil" w:sz="6" w:space="0" w:color="auto"/>
              <w:right w:val="nil" w:sz="6" w:space="0" w:color="auto"/>
            </w:tcBorders>
          </w:tcPr>
          <w:p>
            <w:pPr>
              <w:pStyle w:val="TableParagraph"/>
              <w:spacing w:line="508" w:lineRule="auto" w:before="85"/>
              <w:ind w:left="327" w:right="217" w:hanging="65"/>
              <w:jc w:val="left"/>
              <w:rPr>
                <w:rFonts w:ascii="宋体" w:hAnsi="宋体" w:cs="宋体" w:eastAsia="宋体" w:hint="default"/>
                <w:sz w:val="13"/>
                <w:szCs w:val="13"/>
              </w:rPr>
            </w:pPr>
            <w:r>
              <w:rPr>
                <w:rFonts w:ascii="宋体" w:hAnsi="宋体" w:cs="宋体" w:eastAsia="宋体" w:hint="default"/>
                <w:b/>
                <w:bCs/>
                <w:sz w:val="13"/>
                <w:szCs w:val="13"/>
              </w:rPr>
              <w:t>占总额</w:t>
            </w:r>
            <w:r>
              <w:rPr>
                <w:rFonts w:ascii="宋体" w:hAnsi="宋体" w:cs="宋体" w:eastAsia="宋体" w:hint="default"/>
                <w:b/>
                <w:bCs/>
                <w:w w:val="99"/>
                <w:sz w:val="13"/>
                <w:szCs w:val="13"/>
              </w:rPr>
              <w:t> </w:t>
            </w:r>
            <w:r>
              <w:rPr>
                <w:rFonts w:ascii="宋体" w:hAnsi="宋体" w:cs="宋体" w:eastAsia="宋体" w:hint="default"/>
                <w:b/>
                <w:bCs/>
                <w:sz w:val="13"/>
                <w:szCs w:val="13"/>
              </w:rPr>
              <w:t>比例</w:t>
            </w:r>
            <w:r>
              <w:rPr>
                <w:rFonts w:ascii="宋体" w:hAnsi="宋体" w:cs="宋体" w:eastAsia="宋体" w:hint="default"/>
                <w:sz w:val="13"/>
                <w:szCs w:val="13"/>
              </w:rPr>
            </w:r>
          </w:p>
          <w:p>
            <w:pPr>
              <w:pStyle w:val="TableParagraph"/>
              <w:spacing w:line="240" w:lineRule="auto" w:before="3"/>
              <w:ind w:left="262" w:right="0"/>
              <w:jc w:val="left"/>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953" w:type="dxa"/>
            <w:tcBorders>
              <w:top w:val="nil" w:sz="6" w:space="0" w:color="auto"/>
              <w:left w:val="nil" w:sz="6" w:space="0" w:color="auto"/>
              <w:bottom w:val="nil" w:sz="6" w:space="0" w:color="auto"/>
              <w:right w:val="nil" w:sz="6" w:space="0" w:color="auto"/>
            </w:tcBorders>
          </w:tcPr>
          <w:p>
            <w:pPr/>
          </w:p>
        </w:tc>
        <w:tc>
          <w:tcPr>
            <w:tcW w:w="861" w:type="dxa"/>
            <w:vMerge w:val="restart"/>
            <w:tcBorders>
              <w:top w:val="nil" w:sz="6" w:space="0" w:color="auto"/>
              <w:left w:val="nil" w:sz="6" w:space="0" w:color="auto"/>
              <w:right w:val="nil" w:sz="6" w:space="0" w:color="auto"/>
            </w:tcBorders>
          </w:tcPr>
          <w:p>
            <w:pPr>
              <w:pStyle w:val="TableParagraph"/>
              <w:spacing w:line="451" w:lineRule="auto" w:before="104"/>
              <w:ind w:left="210" w:right="125"/>
              <w:jc w:val="left"/>
              <w:rPr>
                <w:rFonts w:ascii="宋体" w:hAnsi="宋体" w:cs="宋体" w:eastAsia="宋体" w:hint="default"/>
                <w:sz w:val="13"/>
                <w:szCs w:val="13"/>
              </w:rPr>
            </w:pPr>
            <w:r>
              <w:rPr>
                <w:rFonts w:ascii="宋体" w:hAnsi="宋体" w:cs="宋体" w:eastAsia="宋体" w:hint="default"/>
                <w:b/>
                <w:bCs/>
                <w:sz w:val="13"/>
                <w:szCs w:val="13"/>
              </w:rPr>
              <w:t>坏账准备</w:t>
            </w:r>
            <w:r>
              <w:rPr>
                <w:rFonts w:ascii="宋体" w:hAnsi="宋体" w:cs="宋体" w:eastAsia="宋体" w:hint="default"/>
                <w:b/>
                <w:bCs/>
                <w:w w:val="99"/>
                <w:sz w:val="13"/>
                <w:szCs w:val="13"/>
              </w:rPr>
              <w:t> </w:t>
            </w:r>
            <w:r>
              <w:rPr>
                <w:rFonts w:ascii="宋体" w:hAnsi="宋体" w:cs="宋体" w:eastAsia="宋体" w:hint="default"/>
                <w:b/>
                <w:bCs/>
                <w:sz w:val="13"/>
                <w:szCs w:val="13"/>
              </w:rPr>
              <w:t>计提比例</w:t>
            </w:r>
            <w:r>
              <w:rPr>
                <w:rFonts w:ascii="宋体" w:hAnsi="宋体" w:cs="宋体" w:eastAsia="宋体" w:hint="default"/>
                <w:sz w:val="13"/>
                <w:szCs w:val="13"/>
              </w:rPr>
            </w:r>
          </w:p>
          <w:p>
            <w:pPr>
              <w:pStyle w:val="TableParagraph"/>
              <w:spacing w:line="240" w:lineRule="auto" w:before="37"/>
              <w:ind w:left="275" w:right="0"/>
              <w:jc w:val="left"/>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r>
      <w:tr>
        <w:trPr>
          <w:trHeight w:val="595"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160" w:lineRule="exact"/>
              <w:ind w:right="249"/>
              <w:jc w:val="right"/>
              <w:rPr>
                <w:rFonts w:ascii="宋体" w:hAnsi="宋体" w:cs="宋体" w:eastAsia="宋体" w:hint="default"/>
                <w:sz w:val="13"/>
                <w:szCs w:val="13"/>
              </w:rPr>
            </w:pPr>
            <w:r>
              <w:rPr>
                <w:rFonts w:ascii="宋体" w:hAnsi="宋体" w:cs="宋体" w:eastAsia="宋体" w:hint="default"/>
                <w:b/>
                <w:bCs/>
                <w:sz w:val="13"/>
                <w:szCs w:val="13"/>
              </w:rPr>
              <w:t>金额</w:t>
            </w:r>
            <w:r>
              <w:rPr>
                <w:rFonts w:ascii="宋体" w:hAnsi="宋体" w:cs="宋体" w:eastAsia="宋体" w:hint="default"/>
                <w:sz w:val="13"/>
                <w:szCs w:val="13"/>
              </w:rPr>
            </w:r>
          </w:p>
        </w:tc>
        <w:tc>
          <w:tcPr>
            <w:tcW w:w="822" w:type="dxa"/>
            <w:vMerge/>
            <w:tcBorders>
              <w:left w:val="nil" w:sz="6" w:space="0" w:color="auto"/>
              <w:bottom w:val="nil" w:sz="6" w:space="0" w:color="auto"/>
              <w:right w:val="nil" w:sz="6" w:space="0" w:color="auto"/>
            </w:tcBorders>
          </w:tcPr>
          <w:p>
            <w:pPr/>
          </w:p>
        </w:tc>
        <w:tc>
          <w:tcPr>
            <w:tcW w:w="880" w:type="dxa"/>
            <w:tcBorders>
              <w:top w:val="nil" w:sz="6" w:space="0" w:color="auto"/>
              <w:left w:val="nil" w:sz="6" w:space="0" w:color="auto"/>
              <w:bottom w:val="nil" w:sz="6" w:space="0" w:color="auto"/>
              <w:right w:val="nil" w:sz="6" w:space="0" w:color="auto"/>
            </w:tcBorders>
          </w:tcPr>
          <w:p>
            <w:pPr>
              <w:pStyle w:val="TableParagraph"/>
              <w:spacing w:line="160" w:lineRule="exact"/>
              <w:ind w:left="180" w:right="0"/>
              <w:jc w:val="left"/>
              <w:rPr>
                <w:rFonts w:ascii="宋体" w:hAnsi="宋体" w:cs="宋体" w:eastAsia="宋体" w:hint="default"/>
                <w:sz w:val="13"/>
                <w:szCs w:val="13"/>
              </w:rPr>
            </w:pPr>
            <w:r>
              <w:rPr>
                <w:rFonts w:ascii="宋体" w:hAnsi="宋体" w:cs="宋体" w:eastAsia="宋体" w:hint="default"/>
                <w:b/>
                <w:bCs/>
                <w:sz w:val="13"/>
                <w:szCs w:val="13"/>
              </w:rPr>
              <w:t>坏账准备</w:t>
            </w:r>
            <w:r>
              <w:rPr>
                <w:rFonts w:ascii="宋体" w:hAnsi="宋体" w:cs="宋体" w:eastAsia="宋体" w:hint="default"/>
                <w:sz w:val="13"/>
                <w:szCs w:val="13"/>
              </w:rPr>
            </w:r>
          </w:p>
        </w:tc>
        <w:tc>
          <w:tcPr>
            <w:tcW w:w="955" w:type="dxa"/>
            <w:vMerge/>
            <w:tcBorders>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160" w:lineRule="exact"/>
              <w:ind w:left="255" w:right="0"/>
              <w:jc w:val="left"/>
              <w:rPr>
                <w:rFonts w:ascii="宋体" w:hAnsi="宋体" w:cs="宋体" w:eastAsia="宋体" w:hint="default"/>
                <w:sz w:val="13"/>
                <w:szCs w:val="13"/>
              </w:rPr>
            </w:pPr>
            <w:r>
              <w:rPr>
                <w:rFonts w:ascii="宋体" w:hAnsi="宋体" w:cs="宋体" w:eastAsia="宋体" w:hint="default"/>
                <w:b/>
                <w:bCs/>
                <w:sz w:val="13"/>
                <w:szCs w:val="13"/>
              </w:rPr>
              <w:t>金额</w:t>
            </w:r>
            <w:r>
              <w:rPr>
                <w:rFonts w:ascii="宋体" w:hAnsi="宋体" w:cs="宋体" w:eastAsia="宋体" w:hint="default"/>
                <w:sz w:val="13"/>
                <w:szCs w:val="13"/>
              </w:rPr>
            </w:r>
          </w:p>
        </w:tc>
        <w:tc>
          <w:tcPr>
            <w:tcW w:w="874" w:type="dxa"/>
            <w:vMerge/>
            <w:tcBorders>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160" w:lineRule="exact"/>
              <w:ind w:left="219" w:right="0"/>
              <w:jc w:val="left"/>
              <w:rPr>
                <w:rFonts w:ascii="宋体" w:hAnsi="宋体" w:cs="宋体" w:eastAsia="宋体" w:hint="default"/>
                <w:sz w:val="13"/>
                <w:szCs w:val="13"/>
              </w:rPr>
            </w:pPr>
            <w:r>
              <w:rPr>
                <w:rFonts w:ascii="宋体" w:hAnsi="宋体" w:cs="宋体" w:eastAsia="宋体" w:hint="default"/>
                <w:b/>
                <w:bCs/>
                <w:sz w:val="13"/>
                <w:szCs w:val="13"/>
              </w:rPr>
              <w:t>坏账准备</w:t>
            </w:r>
            <w:r>
              <w:rPr>
                <w:rFonts w:ascii="宋体" w:hAnsi="宋体" w:cs="宋体" w:eastAsia="宋体" w:hint="default"/>
                <w:sz w:val="13"/>
                <w:szCs w:val="13"/>
              </w:rPr>
            </w:r>
          </w:p>
        </w:tc>
        <w:tc>
          <w:tcPr>
            <w:tcW w:w="861" w:type="dxa"/>
            <w:vMerge/>
            <w:tcBorders>
              <w:left w:val="nil" w:sz="6" w:space="0" w:color="auto"/>
              <w:bottom w:val="nil" w:sz="6" w:space="0" w:color="auto"/>
              <w:right w:val="nil" w:sz="6" w:space="0" w:color="auto"/>
            </w:tcBorders>
          </w:tcPr>
          <w:p>
            <w:pPr/>
          </w:p>
        </w:tc>
      </w:tr>
    </w:tbl>
    <w:p>
      <w:pPr>
        <w:spacing w:after="0"/>
        <w:sectPr>
          <w:pgSz w:w="11910" w:h="16840"/>
          <w:pgMar w:header="0" w:footer="979" w:top="1520" w:bottom="1160" w:left="1440" w:right="1300"/>
        </w:sectPr>
      </w:pPr>
    </w:p>
    <w:p>
      <w:pPr>
        <w:tabs>
          <w:tab w:pos="6853" w:val="left" w:leader="none"/>
        </w:tabs>
        <w:spacing w:before="47"/>
        <w:ind w:left="3351" w:right="0" w:firstLine="0"/>
        <w:jc w:val="left"/>
        <w:rPr>
          <w:rFonts w:ascii="宋体" w:hAnsi="宋体" w:cs="宋体" w:eastAsia="宋体" w:hint="default"/>
          <w:sz w:val="13"/>
          <w:szCs w:val="13"/>
        </w:rPr>
      </w:pPr>
      <w:r>
        <w:rPr>
          <w:rFonts w:ascii="宋体" w:hAnsi="宋体" w:cs="宋体" w:eastAsia="宋体" w:hint="default"/>
          <w:b/>
          <w:bCs/>
          <w:sz w:val="13"/>
          <w:szCs w:val="13"/>
        </w:rPr>
        <w:t>期末余额</w:t>
        <w:tab/>
        <w:t>期初余额</w:t>
      </w:r>
      <w:r>
        <w:rPr>
          <w:rFonts w:ascii="宋体" w:hAnsi="宋体" w:cs="宋体" w:eastAsia="宋体" w:hint="default"/>
          <w:sz w:val="13"/>
          <w:szCs w:val="13"/>
        </w:rPr>
      </w:r>
    </w:p>
    <w:p>
      <w:pPr>
        <w:spacing w:line="240" w:lineRule="auto" w:before="6"/>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0" w:footer="979" w:top="1480" w:bottom="1160" w:left="1440" w:right="1300"/>
        </w:sectPr>
      </w:pPr>
    </w:p>
    <w:p>
      <w:pPr>
        <w:spacing w:line="161" w:lineRule="exact" w:before="59"/>
        <w:ind w:left="0" w:right="0" w:firstLine="0"/>
        <w:jc w:val="right"/>
        <w:rPr>
          <w:rFonts w:ascii="宋体" w:hAnsi="宋体" w:cs="宋体" w:eastAsia="宋体" w:hint="default"/>
          <w:sz w:val="13"/>
          <w:szCs w:val="13"/>
        </w:rPr>
      </w:pPr>
      <w:r>
        <w:rPr>
          <w:rFonts w:ascii="宋体" w:hAnsi="宋体" w:cs="宋体" w:eastAsia="宋体" w:hint="default"/>
          <w:b/>
          <w:bCs/>
          <w:w w:val="95"/>
          <w:sz w:val="13"/>
          <w:szCs w:val="13"/>
        </w:rPr>
        <w:t>占总额</w:t>
      </w:r>
      <w:r>
        <w:rPr>
          <w:rFonts w:ascii="宋体" w:hAnsi="宋体" w:cs="宋体" w:eastAsia="宋体" w:hint="default"/>
          <w:sz w:val="13"/>
          <w:szCs w:val="13"/>
        </w:rPr>
      </w:r>
    </w:p>
    <w:p>
      <w:pPr>
        <w:spacing w:line="161" w:lineRule="exact" w:before="0"/>
        <w:ind w:left="881" w:right="0" w:firstLine="0"/>
        <w:jc w:val="left"/>
        <w:rPr>
          <w:rFonts w:ascii="宋体" w:hAnsi="宋体" w:cs="宋体" w:eastAsia="宋体" w:hint="default"/>
          <w:sz w:val="13"/>
          <w:szCs w:val="13"/>
        </w:rPr>
      </w:pPr>
      <w:r>
        <w:rPr>
          <w:rFonts w:ascii="宋体" w:hAnsi="宋体" w:cs="宋体" w:eastAsia="宋体" w:hint="default"/>
          <w:b/>
          <w:bCs/>
          <w:sz w:val="13"/>
          <w:szCs w:val="13"/>
        </w:rPr>
        <w:t>类别</w:t>
      </w:r>
      <w:r>
        <w:rPr>
          <w:rFonts w:ascii="宋体" w:hAnsi="宋体" w:cs="宋体" w:eastAsia="宋体" w:hint="default"/>
          <w:sz w:val="13"/>
          <w:szCs w:val="13"/>
        </w:rPr>
      </w:r>
    </w:p>
    <w:p>
      <w:pPr>
        <w:spacing w:before="81"/>
        <w:ind w:left="881" w:right="-19" w:firstLine="0"/>
        <w:jc w:val="left"/>
        <w:rPr>
          <w:rFonts w:ascii="宋体" w:hAnsi="宋体" w:cs="宋体" w:eastAsia="宋体" w:hint="default"/>
          <w:sz w:val="13"/>
          <w:szCs w:val="13"/>
        </w:rPr>
      </w:pPr>
      <w:r>
        <w:rPr/>
        <w:br w:type="column"/>
      </w:r>
      <w:r>
        <w:rPr>
          <w:rFonts w:ascii="宋体" w:hAnsi="宋体" w:cs="宋体" w:eastAsia="宋体" w:hint="default"/>
          <w:b/>
          <w:bCs/>
          <w:sz w:val="13"/>
          <w:szCs w:val="13"/>
        </w:rPr>
        <w:t>坏账准备</w:t>
      </w:r>
      <w:r>
        <w:rPr>
          <w:rFonts w:ascii="宋体" w:hAnsi="宋体" w:cs="宋体" w:eastAsia="宋体" w:hint="default"/>
          <w:sz w:val="13"/>
          <w:szCs w:val="13"/>
        </w:rPr>
      </w:r>
    </w:p>
    <w:p>
      <w:pPr>
        <w:spacing w:before="59"/>
        <w:ind w:left="0" w:right="0" w:firstLine="0"/>
        <w:jc w:val="right"/>
        <w:rPr>
          <w:rFonts w:ascii="宋体" w:hAnsi="宋体" w:cs="宋体" w:eastAsia="宋体" w:hint="default"/>
          <w:sz w:val="13"/>
          <w:szCs w:val="13"/>
        </w:rPr>
      </w:pPr>
      <w:r>
        <w:rPr>
          <w:w w:val="95"/>
        </w:rPr>
        <w:br w:type="column"/>
      </w:r>
      <w:r>
        <w:rPr>
          <w:rFonts w:ascii="宋体" w:hAnsi="宋体" w:cs="宋体" w:eastAsia="宋体" w:hint="default"/>
          <w:b/>
          <w:bCs/>
          <w:w w:val="95"/>
          <w:sz w:val="13"/>
          <w:szCs w:val="13"/>
        </w:rPr>
        <w:t>占总额</w:t>
      </w:r>
      <w:r>
        <w:rPr>
          <w:rFonts w:ascii="宋体" w:hAnsi="宋体" w:cs="宋体" w:eastAsia="宋体" w:hint="default"/>
          <w:sz w:val="13"/>
          <w:szCs w:val="13"/>
        </w:rPr>
      </w:r>
    </w:p>
    <w:p>
      <w:pPr>
        <w:spacing w:before="81"/>
        <w:ind w:left="881" w:right="0" w:firstLine="0"/>
        <w:jc w:val="left"/>
        <w:rPr>
          <w:rFonts w:ascii="宋体" w:hAnsi="宋体" w:cs="宋体" w:eastAsia="宋体" w:hint="default"/>
          <w:sz w:val="13"/>
          <w:szCs w:val="13"/>
        </w:rPr>
      </w:pPr>
      <w:r>
        <w:rPr/>
        <w:br w:type="column"/>
      </w:r>
      <w:r>
        <w:rPr>
          <w:rFonts w:ascii="宋体" w:hAnsi="宋体" w:cs="宋体" w:eastAsia="宋体" w:hint="default"/>
          <w:b/>
          <w:bCs/>
          <w:sz w:val="13"/>
          <w:szCs w:val="13"/>
        </w:rPr>
        <w:t>坏账准备</w:t>
      </w:r>
      <w:r>
        <w:rPr>
          <w:rFonts w:ascii="宋体" w:hAnsi="宋体" w:cs="宋体" w:eastAsia="宋体" w:hint="default"/>
          <w:sz w:val="13"/>
          <w:szCs w:val="13"/>
        </w:rPr>
      </w:r>
    </w:p>
    <w:p>
      <w:pPr>
        <w:spacing w:after="0"/>
        <w:jc w:val="left"/>
        <w:rPr>
          <w:rFonts w:ascii="宋体" w:hAnsi="宋体" w:cs="宋体" w:eastAsia="宋体" w:hint="default"/>
          <w:sz w:val="13"/>
          <w:szCs w:val="13"/>
        </w:rPr>
        <w:sectPr>
          <w:type w:val="continuous"/>
          <w:pgSz w:w="11910" w:h="16840"/>
          <w:pgMar w:top="1580" w:bottom="1140" w:left="1440" w:right="1300"/>
          <w:cols w:num="4" w:equalWidth="0">
            <w:col w:w="3429" w:space="354"/>
            <w:col w:w="1405" w:space="420"/>
            <w:col w:w="1273" w:space="501"/>
            <w:col w:w="1788"/>
          </w:cols>
        </w:sectPr>
      </w:pPr>
    </w:p>
    <w:p>
      <w:pPr>
        <w:spacing w:line="240" w:lineRule="auto" w:before="1"/>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2797"/>
        <w:gridCol w:w="673"/>
        <w:gridCol w:w="961"/>
        <w:gridCol w:w="790"/>
        <w:gridCol w:w="1025"/>
        <w:gridCol w:w="737"/>
        <w:gridCol w:w="1048"/>
        <w:gridCol w:w="767"/>
      </w:tblGrid>
      <w:tr>
        <w:trPr>
          <w:trHeight w:val="585" w:hRule="exact"/>
        </w:trPr>
        <w:tc>
          <w:tcPr>
            <w:tcW w:w="2797" w:type="dxa"/>
            <w:tcBorders>
              <w:top w:val="nil" w:sz="6" w:space="0" w:color="auto"/>
              <w:left w:val="nil" w:sz="6" w:space="0" w:color="auto"/>
              <w:bottom w:val="single" w:sz="8" w:space="0" w:color="000000"/>
              <w:right w:val="nil" w:sz="6" w:space="0" w:color="auto"/>
            </w:tcBorders>
          </w:tcPr>
          <w:p>
            <w:pPr>
              <w:pStyle w:val="TableParagraph"/>
              <w:spacing w:line="150" w:lineRule="exact"/>
              <w:ind w:right="376"/>
              <w:jc w:val="right"/>
              <w:rPr>
                <w:rFonts w:ascii="宋体" w:hAnsi="宋体" w:cs="宋体" w:eastAsia="宋体" w:hint="default"/>
                <w:sz w:val="13"/>
                <w:szCs w:val="13"/>
              </w:rPr>
            </w:pPr>
            <w:r>
              <w:rPr>
                <w:rFonts w:ascii="宋体" w:hAnsi="宋体" w:cs="宋体" w:eastAsia="宋体" w:hint="default"/>
                <w:b/>
                <w:bCs/>
                <w:sz w:val="13"/>
                <w:szCs w:val="13"/>
              </w:rPr>
              <w:t>金额</w:t>
            </w:r>
            <w:r>
              <w:rPr>
                <w:rFonts w:ascii="宋体" w:hAnsi="宋体" w:cs="宋体" w:eastAsia="宋体" w:hint="default"/>
                <w:sz w:val="13"/>
                <w:szCs w:val="13"/>
              </w:rPr>
            </w:r>
          </w:p>
        </w:tc>
        <w:tc>
          <w:tcPr>
            <w:tcW w:w="673" w:type="dxa"/>
            <w:tcBorders>
              <w:top w:val="nil" w:sz="6" w:space="0" w:color="auto"/>
              <w:left w:val="nil" w:sz="6" w:space="0" w:color="auto"/>
              <w:bottom w:val="single" w:sz="4" w:space="0" w:color="000000"/>
              <w:right w:val="nil" w:sz="6" w:space="0" w:color="auto"/>
            </w:tcBorders>
          </w:tcPr>
          <w:p>
            <w:pPr>
              <w:pStyle w:val="TableParagraph"/>
              <w:spacing w:line="169" w:lineRule="exact"/>
              <w:ind w:left="188" w:right="0"/>
              <w:jc w:val="left"/>
              <w:rPr>
                <w:rFonts w:ascii="宋体" w:hAnsi="宋体" w:cs="宋体" w:eastAsia="宋体" w:hint="default"/>
                <w:sz w:val="13"/>
                <w:szCs w:val="13"/>
              </w:rPr>
            </w:pPr>
            <w:r>
              <w:rPr>
                <w:rFonts w:ascii="宋体" w:hAnsi="宋体" w:cs="宋体" w:eastAsia="宋体" w:hint="default"/>
                <w:b/>
                <w:bCs/>
                <w:sz w:val="13"/>
                <w:szCs w:val="13"/>
              </w:rPr>
              <w:t>比例</w:t>
            </w:r>
            <w:r>
              <w:rPr>
                <w:rFonts w:ascii="宋体" w:hAnsi="宋体" w:cs="宋体" w:eastAsia="宋体" w:hint="default"/>
                <w:sz w:val="13"/>
                <w:szCs w:val="13"/>
              </w:rPr>
            </w:r>
          </w:p>
          <w:p>
            <w:pPr>
              <w:pStyle w:val="TableParagraph"/>
              <w:spacing w:line="240" w:lineRule="auto" w:before="8"/>
              <w:ind w:right="0"/>
              <w:jc w:val="left"/>
              <w:rPr>
                <w:rFonts w:ascii="宋体" w:hAnsi="宋体" w:cs="宋体" w:eastAsia="宋体" w:hint="default"/>
                <w:b/>
                <w:bCs/>
                <w:sz w:val="11"/>
                <w:szCs w:val="11"/>
              </w:rPr>
            </w:pPr>
          </w:p>
          <w:p>
            <w:pPr>
              <w:pStyle w:val="TableParagraph"/>
              <w:spacing w:line="240" w:lineRule="auto"/>
              <w:ind w:left="124" w:right="0"/>
              <w:jc w:val="left"/>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961" w:type="dxa"/>
            <w:tcBorders>
              <w:top w:val="nil" w:sz="6" w:space="0" w:color="auto"/>
              <w:left w:val="nil" w:sz="6" w:space="0" w:color="auto"/>
              <w:bottom w:val="single" w:sz="4" w:space="0" w:color="000000"/>
              <w:right w:val="nil" w:sz="6" w:space="0" w:color="auto"/>
            </w:tcBorders>
          </w:tcPr>
          <w:p>
            <w:pPr>
              <w:pStyle w:val="TableParagraph"/>
              <w:spacing w:line="150" w:lineRule="exact"/>
              <w:ind w:right="30"/>
              <w:jc w:val="center"/>
              <w:rPr>
                <w:rFonts w:ascii="宋体" w:hAnsi="宋体" w:cs="宋体" w:eastAsia="宋体" w:hint="default"/>
                <w:sz w:val="13"/>
                <w:szCs w:val="13"/>
              </w:rPr>
            </w:pPr>
            <w:r>
              <w:rPr>
                <w:rFonts w:ascii="宋体" w:hAnsi="宋体" w:cs="宋体" w:eastAsia="宋体" w:hint="default"/>
                <w:b/>
                <w:bCs/>
                <w:sz w:val="13"/>
                <w:szCs w:val="13"/>
              </w:rPr>
              <w:t>坏账准备</w:t>
            </w:r>
            <w:r>
              <w:rPr>
                <w:rFonts w:ascii="宋体" w:hAnsi="宋体" w:cs="宋体" w:eastAsia="宋体" w:hint="default"/>
                <w:sz w:val="13"/>
                <w:szCs w:val="13"/>
              </w:rPr>
            </w:r>
          </w:p>
        </w:tc>
        <w:tc>
          <w:tcPr>
            <w:tcW w:w="790" w:type="dxa"/>
            <w:tcBorders>
              <w:top w:val="nil" w:sz="6" w:space="0" w:color="auto"/>
              <w:left w:val="nil" w:sz="6" w:space="0" w:color="auto"/>
              <w:bottom w:val="single" w:sz="4" w:space="0" w:color="000000"/>
              <w:right w:val="nil" w:sz="6" w:space="0" w:color="auto"/>
            </w:tcBorders>
          </w:tcPr>
          <w:p>
            <w:pPr>
              <w:pStyle w:val="TableParagraph"/>
              <w:spacing w:line="150" w:lineRule="exact"/>
              <w:ind w:left="117" w:right="0"/>
              <w:jc w:val="left"/>
              <w:rPr>
                <w:rFonts w:ascii="宋体" w:hAnsi="宋体" w:cs="宋体" w:eastAsia="宋体" w:hint="default"/>
                <w:sz w:val="13"/>
                <w:szCs w:val="13"/>
              </w:rPr>
            </w:pPr>
            <w:r>
              <w:rPr>
                <w:rFonts w:ascii="宋体" w:hAnsi="宋体" w:cs="宋体" w:eastAsia="宋体" w:hint="default"/>
                <w:b/>
                <w:bCs/>
                <w:sz w:val="13"/>
                <w:szCs w:val="13"/>
              </w:rPr>
              <w:t>计提比例</w:t>
            </w:r>
            <w:r>
              <w:rPr>
                <w:rFonts w:ascii="宋体" w:hAnsi="宋体" w:cs="宋体" w:eastAsia="宋体" w:hint="default"/>
                <w:sz w:val="13"/>
                <w:szCs w:val="13"/>
              </w:rPr>
            </w:r>
          </w:p>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left="184" w:right="0"/>
              <w:jc w:val="left"/>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1025" w:type="dxa"/>
            <w:tcBorders>
              <w:top w:val="nil" w:sz="6" w:space="0" w:color="auto"/>
              <w:left w:val="nil" w:sz="6" w:space="0" w:color="auto"/>
              <w:bottom w:val="single" w:sz="4" w:space="0" w:color="000000"/>
              <w:right w:val="nil" w:sz="6" w:space="0" w:color="auto"/>
            </w:tcBorders>
          </w:tcPr>
          <w:p>
            <w:pPr>
              <w:pStyle w:val="TableParagraph"/>
              <w:spacing w:line="150" w:lineRule="exact"/>
              <w:ind w:right="33"/>
              <w:jc w:val="center"/>
              <w:rPr>
                <w:rFonts w:ascii="宋体" w:hAnsi="宋体" w:cs="宋体" w:eastAsia="宋体" w:hint="default"/>
                <w:sz w:val="13"/>
                <w:szCs w:val="13"/>
              </w:rPr>
            </w:pPr>
            <w:r>
              <w:rPr>
                <w:rFonts w:ascii="宋体" w:hAnsi="宋体" w:cs="宋体" w:eastAsia="宋体" w:hint="default"/>
                <w:b/>
                <w:bCs/>
                <w:sz w:val="13"/>
                <w:szCs w:val="13"/>
              </w:rPr>
              <w:t>金额</w:t>
            </w:r>
            <w:r>
              <w:rPr>
                <w:rFonts w:ascii="宋体" w:hAnsi="宋体" w:cs="宋体" w:eastAsia="宋体" w:hint="default"/>
                <w:sz w:val="13"/>
                <w:szCs w:val="13"/>
              </w:rPr>
            </w:r>
          </w:p>
        </w:tc>
        <w:tc>
          <w:tcPr>
            <w:tcW w:w="737" w:type="dxa"/>
            <w:tcBorders>
              <w:top w:val="nil" w:sz="6" w:space="0" w:color="auto"/>
              <w:left w:val="nil" w:sz="6" w:space="0" w:color="auto"/>
              <w:bottom w:val="single" w:sz="4" w:space="0" w:color="000000"/>
              <w:right w:val="nil" w:sz="6" w:space="0" w:color="auto"/>
            </w:tcBorders>
          </w:tcPr>
          <w:p>
            <w:pPr>
              <w:pStyle w:val="TableParagraph"/>
              <w:spacing w:line="169" w:lineRule="exact"/>
              <w:ind w:left="192" w:right="0"/>
              <w:jc w:val="left"/>
              <w:rPr>
                <w:rFonts w:ascii="宋体" w:hAnsi="宋体" w:cs="宋体" w:eastAsia="宋体" w:hint="default"/>
                <w:sz w:val="13"/>
                <w:szCs w:val="13"/>
              </w:rPr>
            </w:pPr>
            <w:r>
              <w:rPr>
                <w:rFonts w:ascii="宋体" w:hAnsi="宋体" w:cs="宋体" w:eastAsia="宋体" w:hint="default"/>
                <w:b/>
                <w:bCs/>
                <w:sz w:val="13"/>
                <w:szCs w:val="13"/>
              </w:rPr>
              <w:t>比例</w:t>
            </w:r>
            <w:r>
              <w:rPr>
                <w:rFonts w:ascii="宋体" w:hAnsi="宋体" w:cs="宋体" w:eastAsia="宋体" w:hint="default"/>
                <w:sz w:val="13"/>
                <w:szCs w:val="13"/>
              </w:rPr>
            </w:r>
          </w:p>
          <w:p>
            <w:pPr>
              <w:pStyle w:val="TableParagraph"/>
              <w:spacing w:line="240" w:lineRule="auto" w:before="8"/>
              <w:ind w:right="0"/>
              <w:jc w:val="left"/>
              <w:rPr>
                <w:rFonts w:ascii="宋体" w:hAnsi="宋体" w:cs="宋体" w:eastAsia="宋体" w:hint="default"/>
                <w:b/>
                <w:bCs/>
                <w:sz w:val="11"/>
                <w:szCs w:val="11"/>
              </w:rPr>
            </w:pPr>
          </w:p>
          <w:p>
            <w:pPr>
              <w:pStyle w:val="TableParagraph"/>
              <w:spacing w:line="240" w:lineRule="auto"/>
              <w:ind w:left="127" w:right="0"/>
              <w:jc w:val="left"/>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1048" w:type="dxa"/>
            <w:tcBorders>
              <w:top w:val="nil" w:sz="6" w:space="0" w:color="auto"/>
              <w:left w:val="nil" w:sz="6" w:space="0" w:color="auto"/>
              <w:bottom w:val="single" w:sz="4" w:space="0" w:color="000000"/>
              <w:right w:val="nil" w:sz="6" w:space="0" w:color="auto"/>
            </w:tcBorders>
          </w:tcPr>
          <w:p>
            <w:pPr>
              <w:pStyle w:val="TableParagraph"/>
              <w:spacing w:line="150" w:lineRule="exact"/>
              <w:ind w:left="220" w:right="0"/>
              <w:jc w:val="left"/>
              <w:rPr>
                <w:rFonts w:ascii="宋体" w:hAnsi="宋体" w:cs="宋体" w:eastAsia="宋体" w:hint="default"/>
                <w:sz w:val="13"/>
                <w:szCs w:val="13"/>
              </w:rPr>
            </w:pPr>
            <w:r>
              <w:rPr>
                <w:rFonts w:ascii="宋体" w:hAnsi="宋体" w:cs="宋体" w:eastAsia="宋体" w:hint="default"/>
                <w:b/>
                <w:bCs/>
                <w:sz w:val="13"/>
                <w:szCs w:val="13"/>
              </w:rPr>
              <w:t>坏账准备</w:t>
            </w:r>
            <w:r>
              <w:rPr>
                <w:rFonts w:ascii="宋体" w:hAnsi="宋体" w:cs="宋体" w:eastAsia="宋体" w:hint="default"/>
                <w:sz w:val="13"/>
                <w:szCs w:val="13"/>
              </w:rPr>
            </w:r>
          </w:p>
        </w:tc>
        <w:tc>
          <w:tcPr>
            <w:tcW w:w="767" w:type="dxa"/>
            <w:tcBorders>
              <w:top w:val="nil" w:sz="6" w:space="0" w:color="auto"/>
              <w:left w:val="nil" w:sz="6" w:space="0" w:color="auto"/>
              <w:bottom w:val="single" w:sz="4" w:space="0" w:color="000000"/>
              <w:right w:val="nil" w:sz="6" w:space="0" w:color="auto"/>
            </w:tcBorders>
          </w:tcPr>
          <w:p>
            <w:pPr>
              <w:pStyle w:val="TableParagraph"/>
              <w:spacing w:line="150" w:lineRule="exact"/>
              <w:ind w:left="116" w:right="0"/>
              <w:jc w:val="left"/>
              <w:rPr>
                <w:rFonts w:ascii="宋体" w:hAnsi="宋体" w:cs="宋体" w:eastAsia="宋体" w:hint="default"/>
                <w:sz w:val="13"/>
                <w:szCs w:val="13"/>
              </w:rPr>
            </w:pPr>
            <w:r>
              <w:rPr>
                <w:rFonts w:ascii="宋体" w:hAnsi="宋体" w:cs="宋体" w:eastAsia="宋体" w:hint="default"/>
                <w:b/>
                <w:bCs/>
                <w:sz w:val="13"/>
                <w:szCs w:val="13"/>
              </w:rPr>
              <w:t>计提比例</w:t>
            </w:r>
            <w:r>
              <w:rPr>
                <w:rFonts w:ascii="宋体" w:hAnsi="宋体" w:cs="宋体" w:eastAsia="宋体" w:hint="default"/>
                <w:sz w:val="13"/>
                <w:szCs w:val="13"/>
              </w:rPr>
            </w:r>
          </w:p>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left="181" w:right="0"/>
              <w:jc w:val="left"/>
              <w:rPr>
                <w:rFonts w:ascii="宋体" w:hAnsi="宋体" w:cs="宋体" w:eastAsia="宋体" w:hint="default"/>
                <w:sz w:val="13"/>
                <w:szCs w:val="13"/>
              </w:rPr>
            </w:pPr>
            <w:r>
              <w:rPr>
                <w:rFonts w:ascii="宋体" w:hAnsi="宋体" w:cs="宋体" w:eastAsia="宋体"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r>
      <w:tr>
        <w:trPr>
          <w:trHeight w:val="2108" w:hRule="exact"/>
        </w:trPr>
        <w:tc>
          <w:tcPr>
            <w:tcW w:w="2797" w:type="dxa"/>
            <w:tcBorders>
              <w:top w:val="single" w:sz="8" w:space="0" w:color="000000"/>
              <w:left w:val="nil" w:sz="6" w:space="0" w:color="auto"/>
              <w:bottom w:val="nil" w:sz="6" w:space="0" w:color="auto"/>
              <w:right w:val="nil" w:sz="6" w:space="0" w:color="auto"/>
            </w:tcBorders>
          </w:tcPr>
          <w:p>
            <w:pPr>
              <w:pStyle w:val="TableParagraph"/>
              <w:spacing w:line="451" w:lineRule="auto" w:before="105"/>
              <w:ind w:left="107" w:right="1129"/>
              <w:jc w:val="left"/>
              <w:rPr>
                <w:rFonts w:ascii="宋体" w:hAnsi="宋体" w:cs="宋体" w:eastAsia="宋体" w:hint="default"/>
                <w:sz w:val="13"/>
                <w:szCs w:val="13"/>
              </w:rPr>
            </w:pPr>
            <w:r>
              <w:rPr>
                <w:rFonts w:ascii="宋体" w:hAnsi="宋体" w:cs="宋体" w:eastAsia="宋体" w:hint="default"/>
                <w:w w:val="95"/>
                <w:sz w:val="13"/>
                <w:szCs w:val="13"/>
              </w:rPr>
              <w:t>单项金额重大并单项计提坏</w:t>
            </w:r>
            <w:r>
              <w:rPr>
                <w:rFonts w:ascii="宋体" w:hAnsi="宋体" w:cs="宋体" w:eastAsia="宋体" w:hint="default"/>
                <w:spacing w:val="13"/>
                <w:w w:val="95"/>
                <w:sz w:val="13"/>
                <w:szCs w:val="13"/>
              </w:rPr>
              <w:t> </w:t>
            </w:r>
            <w:r>
              <w:rPr>
                <w:rFonts w:ascii="宋体" w:hAnsi="宋体" w:cs="宋体" w:eastAsia="宋体" w:hint="default"/>
                <w:spacing w:val="13"/>
                <w:w w:val="95"/>
                <w:sz w:val="13"/>
                <w:szCs w:val="13"/>
              </w:rPr>
            </w:r>
            <w:r>
              <w:rPr>
                <w:rFonts w:ascii="宋体" w:hAnsi="宋体" w:cs="宋体" w:eastAsia="宋体" w:hint="default"/>
                <w:sz w:val="13"/>
                <w:szCs w:val="13"/>
              </w:rPr>
              <w:t>账准备的其他应收款</w:t>
            </w:r>
          </w:p>
          <w:p>
            <w:pPr>
              <w:pStyle w:val="TableParagraph"/>
              <w:spacing w:line="453" w:lineRule="auto" w:before="75"/>
              <w:ind w:left="107" w:right="1129"/>
              <w:jc w:val="left"/>
              <w:rPr>
                <w:rFonts w:ascii="宋体" w:hAnsi="宋体" w:cs="宋体" w:eastAsia="宋体" w:hint="default"/>
                <w:sz w:val="13"/>
                <w:szCs w:val="13"/>
              </w:rPr>
            </w:pPr>
            <w:r>
              <w:rPr>
                <w:rFonts w:ascii="宋体" w:hAnsi="宋体" w:cs="宋体" w:eastAsia="宋体" w:hint="default"/>
                <w:w w:val="95"/>
                <w:sz w:val="13"/>
                <w:szCs w:val="13"/>
              </w:rPr>
              <w:t>按组合计提坏账准备的其他</w:t>
            </w:r>
            <w:r>
              <w:rPr>
                <w:rFonts w:ascii="宋体" w:hAnsi="宋体" w:cs="宋体" w:eastAsia="宋体" w:hint="default"/>
                <w:spacing w:val="13"/>
                <w:w w:val="95"/>
                <w:sz w:val="13"/>
                <w:szCs w:val="13"/>
              </w:rPr>
              <w:t> </w:t>
            </w:r>
            <w:r>
              <w:rPr>
                <w:rFonts w:ascii="宋体" w:hAnsi="宋体" w:cs="宋体" w:eastAsia="宋体" w:hint="default"/>
                <w:spacing w:val="13"/>
                <w:w w:val="95"/>
                <w:sz w:val="13"/>
                <w:szCs w:val="13"/>
              </w:rPr>
            </w:r>
            <w:r>
              <w:rPr>
                <w:rFonts w:ascii="宋体" w:hAnsi="宋体" w:cs="宋体" w:eastAsia="宋体" w:hint="default"/>
                <w:sz w:val="13"/>
                <w:szCs w:val="13"/>
              </w:rPr>
              <w:t>应收款</w:t>
            </w:r>
          </w:p>
          <w:p>
            <w:pPr>
              <w:pStyle w:val="TableParagraph"/>
              <w:tabs>
                <w:tab w:pos="1924" w:val="left" w:leader="none"/>
              </w:tabs>
              <w:spacing w:line="240" w:lineRule="auto" w:before="74"/>
              <w:ind w:left="107"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组合</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w:t>
              <w:tab/>
              <w:t>27,880,092.42</w:t>
            </w: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07" w:right="0"/>
              <w:jc w:val="left"/>
              <w:rPr>
                <w:rFonts w:ascii="宋体" w:hAnsi="宋体" w:cs="宋体" w:eastAsia="宋体" w:hint="default"/>
                <w:sz w:val="13"/>
                <w:szCs w:val="13"/>
              </w:rPr>
            </w:pPr>
            <w:r>
              <w:rPr>
                <w:rFonts w:ascii="宋体" w:hAnsi="宋体" w:cs="宋体" w:eastAsia="宋体" w:hint="default"/>
                <w:sz w:val="13"/>
                <w:szCs w:val="13"/>
              </w:rPr>
              <w:t>单项金额虽不重大但单项计提</w:t>
            </w:r>
          </w:p>
        </w:tc>
        <w:tc>
          <w:tcPr>
            <w:tcW w:w="67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7"/>
              <w:ind w:right="31"/>
              <w:jc w:val="center"/>
              <w:rPr>
                <w:rFonts w:ascii="Times New Roman" w:hAnsi="Times New Roman" w:cs="Times New Roman" w:eastAsia="Times New Roman" w:hint="default"/>
                <w:sz w:val="13"/>
                <w:szCs w:val="13"/>
              </w:rPr>
            </w:pPr>
            <w:r>
              <w:rPr>
                <w:rFonts w:ascii="Times New Roman"/>
                <w:sz w:val="13"/>
              </w:rPr>
              <w:t>100.00</w:t>
            </w:r>
          </w:p>
        </w:tc>
        <w:tc>
          <w:tcPr>
            <w:tcW w:w="96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7"/>
              <w:ind w:left="41" w:right="0"/>
              <w:jc w:val="center"/>
              <w:rPr>
                <w:rFonts w:ascii="Times New Roman" w:hAnsi="Times New Roman" w:cs="Times New Roman" w:eastAsia="Times New Roman" w:hint="default"/>
                <w:sz w:val="13"/>
                <w:szCs w:val="13"/>
              </w:rPr>
            </w:pPr>
            <w:r>
              <w:rPr>
                <w:rFonts w:ascii="Times New Roman"/>
                <w:sz w:val="13"/>
              </w:rPr>
              <w:t>3,854,933.14</w:t>
            </w:r>
          </w:p>
        </w:tc>
        <w:tc>
          <w:tcPr>
            <w:tcW w:w="79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7"/>
              <w:ind w:left="232" w:right="0"/>
              <w:jc w:val="left"/>
              <w:rPr>
                <w:rFonts w:ascii="Times New Roman" w:hAnsi="Times New Roman" w:cs="Times New Roman" w:eastAsia="Times New Roman" w:hint="default"/>
                <w:sz w:val="13"/>
                <w:szCs w:val="13"/>
              </w:rPr>
            </w:pPr>
            <w:r>
              <w:rPr>
                <w:rFonts w:ascii="Times New Roman"/>
                <w:sz w:val="13"/>
              </w:rPr>
              <w:t>13.83</w:t>
            </w:r>
          </w:p>
        </w:tc>
        <w:tc>
          <w:tcPr>
            <w:tcW w:w="102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7"/>
              <w:ind w:left="21" w:right="0"/>
              <w:jc w:val="center"/>
              <w:rPr>
                <w:rFonts w:ascii="Times New Roman" w:hAnsi="Times New Roman" w:cs="Times New Roman" w:eastAsia="Times New Roman" w:hint="default"/>
                <w:sz w:val="13"/>
                <w:szCs w:val="13"/>
              </w:rPr>
            </w:pPr>
            <w:r>
              <w:rPr>
                <w:rFonts w:ascii="Times New Roman"/>
                <w:sz w:val="13"/>
              </w:rPr>
              <w:t>24,772,468.23</w:t>
            </w:r>
          </w:p>
        </w:tc>
        <w:tc>
          <w:tcPr>
            <w:tcW w:w="73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7"/>
              <w:ind w:right="89"/>
              <w:jc w:val="center"/>
              <w:rPr>
                <w:rFonts w:ascii="Times New Roman" w:hAnsi="Times New Roman" w:cs="Times New Roman" w:eastAsia="Times New Roman" w:hint="default"/>
                <w:sz w:val="13"/>
                <w:szCs w:val="13"/>
              </w:rPr>
            </w:pPr>
            <w:r>
              <w:rPr>
                <w:rFonts w:ascii="Times New Roman"/>
                <w:sz w:val="13"/>
              </w:rPr>
              <w:t>100.00</w:t>
            </w:r>
          </w:p>
        </w:tc>
        <w:tc>
          <w:tcPr>
            <w:tcW w:w="104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7"/>
              <w:ind w:left="247" w:right="0"/>
              <w:jc w:val="left"/>
              <w:rPr>
                <w:rFonts w:ascii="Times New Roman" w:hAnsi="Times New Roman" w:cs="Times New Roman" w:eastAsia="Times New Roman" w:hint="default"/>
                <w:sz w:val="13"/>
                <w:szCs w:val="13"/>
              </w:rPr>
            </w:pPr>
            <w:r>
              <w:rPr>
                <w:rFonts w:ascii="Times New Roman"/>
                <w:sz w:val="13"/>
              </w:rPr>
              <w:t>3,727,154.88</w:t>
            </w:r>
          </w:p>
        </w:tc>
        <w:tc>
          <w:tcPr>
            <w:tcW w:w="76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7"/>
              <w:ind w:left="232" w:right="0"/>
              <w:jc w:val="left"/>
              <w:rPr>
                <w:rFonts w:ascii="Times New Roman" w:hAnsi="Times New Roman" w:cs="Times New Roman" w:eastAsia="Times New Roman" w:hint="default"/>
                <w:sz w:val="13"/>
                <w:szCs w:val="13"/>
              </w:rPr>
            </w:pPr>
            <w:r>
              <w:rPr>
                <w:rFonts w:ascii="Times New Roman"/>
                <w:sz w:val="13"/>
              </w:rPr>
              <w:t>15.05</w:t>
            </w:r>
          </w:p>
        </w:tc>
      </w:tr>
      <w:tr>
        <w:trPr>
          <w:trHeight w:val="685" w:hRule="exact"/>
        </w:trPr>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3"/>
                <w:szCs w:val="13"/>
              </w:rPr>
            </w:pPr>
            <w:r>
              <w:rPr>
                <w:rFonts w:ascii="宋体" w:hAnsi="宋体" w:cs="宋体" w:eastAsia="宋体" w:hint="default"/>
                <w:sz w:val="13"/>
                <w:szCs w:val="13"/>
              </w:rPr>
              <w:t>坏账准备的其他应收款</w:t>
            </w:r>
          </w:p>
          <w:p>
            <w:pPr>
              <w:pStyle w:val="TableParagraph"/>
              <w:spacing w:line="240" w:lineRule="auto" w:before="7"/>
              <w:ind w:right="0"/>
              <w:jc w:val="left"/>
              <w:rPr>
                <w:rFonts w:ascii="宋体" w:hAnsi="宋体" w:cs="宋体" w:eastAsia="宋体" w:hint="default"/>
                <w:b/>
                <w:bCs/>
                <w:sz w:val="14"/>
                <w:szCs w:val="14"/>
              </w:rPr>
            </w:pPr>
          </w:p>
          <w:p>
            <w:pPr>
              <w:pStyle w:val="TableParagraph"/>
              <w:tabs>
                <w:tab w:pos="1924" w:val="left" w:leader="none"/>
              </w:tabs>
              <w:spacing w:line="240" w:lineRule="auto"/>
              <w:ind w:left="770" w:right="0"/>
              <w:jc w:val="left"/>
              <w:rPr>
                <w:rFonts w:ascii="Times New Roman" w:hAnsi="Times New Roman" w:cs="Times New Roman" w:eastAsia="Times New Roman" w:hint="default"/>
                <w:sz w:val="13"/>
                <w:szCs w:val="13"/>
              </w:rPr>
            </w:pPr>
            <w:r>
              <w:rPr>
                <w:rFonts w:ascii="宋体" w:hAnsi="宋体" w:cs="宋体" w:eastAsia="宋体" w:hint="default"/>
                <w:w w:val="95"/>
                <w:sz w:val="13"/>
                <w:szCs w:val="13"/>
              </w:rPr>
              <w:t>合计</w:t>
              <w:tab/>
            </w:r>
            <w:r>
              <w:rPr>
                <w:rFonts w:ascii="Times New Roman" w:hAnsi="Times New Roman" w:cs="Times New Roman" w:eastAsia="Times New Roman" w:hint="default"/>
                <w:w w:val="95"/>
                <w:sz w:val="13"/>
                <w:szCs w:val="13"/>
              </w:rPr>
            </w:r>
            <w:r>
              <w:rPr>
                <w:rFonts w:ascii="Times New Roman" w:hAnsi="Times New Roman" w:cs="Times New Roman" w:eastAsia="Times New Roman" w:hint="default"/>
                <w:sz w:val="13"/>
                <w:szCs w:val="13"/>
                <w:u w:val="thick" w:color="000000"/>
              </w:rPr>
              <w:t>27,880,092.42</w:t>
            </w:r>
            <w:r>
              <w:rPr>
                <w:rFonts w:ascii="Times New Roman" w:hAnsi="Times New Roman" w:cs="Times New Roman" w:eastAsia="Times New Roman" w:hint="default"/>
                <w:sz w:val="13"/>
                <w:szCs w:val="13"/>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6"/>
              <w:ind w:right="0"/>
              <w:jc w:val="left"/>
              <w:rPr>
                <w:rFonts w:ascii="宋体" w:hAnsi="宋体" w:cs="宋体" w:eastAsia="宋体" w:hint="default"/>
                <w:b/>
                <w:bCs/>
                <w:sz w:val="9"/>
                <w:szCs w:val="9"/>
              </w:rPr>
            </w:pPr>
          </w:p>
          <w:p>
            <w:pPr>
              <w:pStyle w:val="TableParagraph"/>
              <w:spacing w:line="240" w:lineRule="auto"/>
              <w:ind w:right="31"/>
              <w:jc w:val="center"/>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100</w:t>
            </w:r>
            <w:r>
              <w:rPr>
                <w:rFonts w:ascii="Times New Roman"/>
                <w:sz w:val="13"/>
              </w:rPr>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6"/>
              <w:ind w:right="0"/>
              <w:jc w:val="left"/>
              <w:rPr>
                <w:rFonts w:ascii="宋体" w:hAnsi="宋体" w:cs="宋体" w:eastAsia="宋体" w:hint="default"/>
                <w:b/>
                <w:bCs/>
                <w:sz w:val="9"/>
                <w:szCs w:val="9"/>
              </w:rPr>
            </w:pPr>
          </w:p>
          <w:p>
            <w:pPr>
              <w:pStyle w:val="TableParagraph"/>
              <w:spacing w:line="240" w:lineRule="auto"/>
              <w:ind w:left="41" w:right="0"/>
              <w:jc w:val="center"/>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3,854,933.14</w:t>
            </w:r>
            <w:r>
              <w:rPr>
                <w:rFonts w:ascii="Times New Roman"/>
                <w:sz w:val="13"/>
              </w:rPr>
            </w:r>
          </w:p>
        </w:tc>
        <w:tc>
          <w:tcPr>
            <w:tcW w:w="790"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6"/>
              <w:ind w:right="0"/>
              <w:jc w:val="left"/>
              <w:rPr>
                <w:rFonts w:ascii="宋体" w:hAnsi="宋体" w:cs="宋体" w:eastAsia="宋体" w:hint="default"/>
                <w:b/>
                <w:bCs/>
                <w:sz w:val="9"/>
                <w:szCs w:val="9"/>
              </w:rPr>
            </w:pPr>
          </w:p>
          <w:p>
            <w:pPr>
              <w:pStyle w:val="TableParagraph"/>
              <w:spacing w:line="240" w:lineRule="auto"/>
              <w:ind w:left="21" w:right="0"/>
              <w:jc w:val="center"/>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24,772,468.23</w:t>
            </w:r>
            <w:r>
              <w:rPr>
                <w:rFonts w:ascii="Times New Roman"/>
                <w:sz w:val="13"/>
              </w:rPr>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6"/>
              <w:ind w:right="0"/>
              <w:jc w:val="left"/>
              <w:rPr>
                <w:rFonts w:ascii="宋体" w:hAnsi="宋体" w:cs="宋体" w:eastAsia="宋体" w:hint="default"/>
                <w:b/>
                <w:bCs/>
                <w:sz w:val="9"/>
                <w:szCs w:val="9"/>
              </w:rPr>
            </w:pPr>
          </w:p>
          <w:p>
            <w:pPr>
              <w:pStyle w:val="TableParagraph"/>
              <w:spacing w:line="240" w:lineRule="auto"/>
              <w:ind w:right="88"/>
              <w:jc w:val="center"/>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100</w:t>
            </w:r>
            <w:r>
              <w:rPr>
                <w:rFonts w:ascii="Times New Roman"/>
                <w:sz w:val="13"/>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6"/>
              <w:ind w:right="0"/>
              <w:jc w:val="left"/>
              <w:rPr>
                <w:rFonts w:ascii="宋体" w:hAnsi="宋体" w:cs="宋体" w:eastAsia="宋体" w:hint="default"/>
                <w:b/>
                <w:bCs/>
                <w:sz w:val="9"/>
                <w:szCs w:val="9"/>
              </w:rPr>
            </w:pPr>
          </w:p>
          <w:p>
            <w:pPr>
              <w:pStyle w:val="TableParagraph"/>
              <w:spacing w:line="240" w:lineRule="auto"/>
              <w:ind w:left="247"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3,727,154.88</w:t>
            </w:r>
            <w:r>
              <w:rPr>
                <w:rFonts w:ascii="Times New Roman"/>
                <w:sz w:val="13"/>
              </w:rPr>
            </w:r>
          </w:p>
        </w:tc>
        <w:tc>
          <w:tcPr>
            <w:tcW w:w="767"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b/>
          <w:bCs/>
          <w:sz w:val="22"/>
          <w:szCs w:val="22"/>
        </w:rPr>
      </w:pPr>
    </w:p>
    <w:p>
      <w:pPr>
        <w:pStyle w:val="BodyText"/>
        <w:spacing w:line="240" w:lineRule="auto" w:before="44"/>
        <w:ind w:left="720" w:right="0"/>
        <w:jc w:val="left"/>
      </w:pPr>
      <w:r>
        <w:rPr/>
        <w:t>（</w:t>
      </w:r>
      <w:r>
        <w:rPr>
          <w:rFonts w:ascii="Times New Roman" w:hAnsi="Times New Roman" w:cs="Times New Roman" w:eastAsia="Times New Roman" w:hint="default"/>
        </w:rPr>
        <w:t>2</w:t>
      </w:r>
      <w:r>
        <w:rPr/>
        <w:t>）组合</w:t>
      </w:r>
      <w:r>
        <w:rPr>
          <w:rFonts w:ascii="Times New Roman" w:hAnsi="Times New Roman" w:cs="Times New Roman" w:eastAsia="Times New Roman" w:hint="default"/>
        </w:rPr>
        <w:t>1</w:t>
      </w:r>
      <w:r>
        <w:rPr/>
        <w:t>中，按账龄分析法计提坏账准备的其他应收款</w:t>
      </w:r>
    </w:p>
    <w:p>
      <w:pPr>
        <w:spacing w:line="240" w:lineRule="auto" w:before="9"/>
        <w:rPr>
          <w:rFonts w:ascii="宋体" w:hAnsi="宋体" w:cs="宋体" w:eastAsia="宋体" w:hint="default"/>
          <w:sz w:val="16"/>
          <w:szCs w:val="16"/>
        </w:rPr>
      </w:pPr>
    </w:p>
    <w:p>
      <w:pPr>
        <w:tabs>
          <w:tab w:pos="6862" w:val="left" w:leader="none"/>
        </w:tabs>
        <w:spacing w:before="54"/>
        <w:ind w:left="3116"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4"/>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type w:val="continuous"/>
          <w:pgSz w:w="11910" w:h="16840"/>
          <w:pgMar w:top="1580" w:bottom="1140" w:left="1440" w:right="1300"/>
        </w:sectPr>
      </w:pPr>
    </w:p>
    <w:p>
      <w:pPr>
        <w:spacing w:line="240" w:lineRule="auto" w:before="11"/>
        <w:rPr>
          <w:rFonts w:ascii="宋体" w:hAnsi="宋体" w:cs="宋体" w:eastAsia="宋体" w:hint="default"/>
          <w:b/>
          <w:bCs/>
          <w:sz w:val="14"/>
          <w:szCs w:val="14"/>
        </w:rPr>
      </w:pPr>
    </w:p>
    <w:p>
      <w:pPr>
        <w:spacing w:line="188" w:lineRule="exact" w:before="0"/>
        <w:ind w:left="754" w:right="0" w:firstLine="0"/>
        <w:jc w:val="left"/>
        <w:rPr>
          <w:rFonts w:ascii="宋体" w:hAnsi="宋体" w:cs="宋体" w:eastAsia="宋体" w:hint="default"/>
          <w:sz w:val="15"/>
          <w:szCs w:val="15"/>
        </w:rPr>
      </w:pPr>
      <w:r>
        <w:rPr>
          <w:rFonts w:ascii="宋体" w:hAnsi="宋体" w:cs="宋体" w:eastAsia="宋体" w:hint="default"/>
          <w:b/>
          <w:bCs/>
          <w:sz w:val="15"/>
          <w:szCs w:val="15"/>
        </w:rPr>
        <w:t>账龄</w:t>
      </w:r>
      <w:r>
        <w:rPr>
          <w:rFonts w:ascii="宋体" w:hAnsi="宋体" w:cs="宋体" w:eastAsia="宋体" w:hint="default"/>
          <w:sz w:val="15"/>
          <w:szCs w:val="15"/>
        </w:rPr>
      </w:r>
    </w:p>
    <w:p>
      <w:pPr>
        <w:spacing w:line="188"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p>
      <w:pPr>
        <w:spacing w:line="240" w:lineRule="auto" w:before="4"/>
        <w:rPr>
          <w:rFonts w:ascii="宋体" w:hAnsi="宋体" w:cs="宋体" w:eastAsia="宋体" w:hint="default"/>
          <w:b/>
          <w:bCs/>
          <w:sz w:val="16"/>
          <w:szCs w:val="16"/>
        </w:rPr>
      </w:pPr>
      <w:r>
        <w:rPr/>
        <w:br w:type="column"/>
      </w:r>
      <w:r>
        <w:rPr>
          <w:rFonts w:ascii="宋体"/>
          <w:b/>
          <w:sz w:val="16"/>
        </w:rPr>
      </w:r>
    </w:p>
    <w:p>
      <w:pPr>
        <w:spacing w:before="0"/>
        <w:ind w:left="387" w:right="-17" w:firstLine="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p>
      <w:pPr>
        <w:spacing w:before="125"/>
        <w:ind w:left="298" w:right="-17"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391" w:lineRule="auto" w:before="54"/>
        <w:ind w:left="250" w:right="-17" w:firstLine="14"/>
        <w:jc w:val="left"/>
        <w:rPr>
          <w:rFonts w:ascii="宋体" w:hAnsi="宋体" w:cs="宋体" w:eastAsia="宋体" w:hint="default"/>
          <w:sz w:val="15"/>
          <w:szCs w:val="15"/>
        </w:rPr>
      </w:pPr>
      <w:r>
        <w:rPr/>
        <w:br w:type="column"/>
      </w:r>
      <w:r>
        <w:rPr>
          <w:rFonts w:ascii="宋体" w:hAnsi="宋体" w:cs="宋体" w:eastAsia="宋体" w:hint="default"/>
          <w:b/>
          <w:bCs/>
          <w:sz w:val="15"/>
          <w:szCs w:val="15"/>
        </w:rPr>
        <w:t>坏账准备</w:t>
      </w:r>
      <w:r>
        <w:rPr>
          <w:rFonts w:ascii="宋体" w:hAnsi="宋体" w:cs="宋体" w:eastAsia="宋体" w:hint="default"/>
          <w:b/>
          <w:bCs/>
          <w:w w:val="100"/>
          <w:sz w:val="15"/>
          <w:szCs w:val="15"/>
        </w:rPr>
        <w:t> </w:t>
      </w:r>
      <w:r>
        <w:rPr>
          <w:rFonts w:ascii="宋体" w:hAnsi="宋体" w:cs="宋体" w:eastAsia="宋体" w:hint="default"/>
          <w:b/>
          <w:bCs/>
          <w:sz w:val="15"/>
          <w:szCs w:val="15"/>
        </w:rPr>
        <w:t>计提比例</w:t>
      </w:r>
      <w:r>
        <w:rPr>
          <w:rFonts w:ascii="宋体" w:hAnsi="宋体" w:cs="宋体" w:eastAsia="宋体" w:hint="default"/>
          <w:sz w:val="15"/>
          <w:szCs w:val="15"/>
        </w:rPr>
      </w:r>
    </w:p>
    <w:p>
      <w:pPr>
        <w:spacing w:before="28"/>
        <w:ind w:left="324" w:right="-17"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8"/>
        <w:rPr>
          <w:rFonts w:ascii="宋体" w:hAnsi="宋体" w:cs="宋体" w:eastAsia="宋体" w:hint="default"/>
          <w:b/>
          <w:bCs/>
          <w:sz w:val="14"/>
          <w:szCs w:val="14"/>
        </w:rPr>
      </w:pPr>
    </w:p>
    <w:p>
      <w:pPr>
        <w:tabs>
          <w:tab w:pos="1381" w:val="left" w:leader="none"/>
        </w:tabs>
        <w:spacing w:before="0"/>
        <w:ind w:left="339" w:right="-18" w:firstLine="0"/>
        <w:jc w:val="left"/>
        <w:rPr>
          <w:rFonts w:ascii="宋体" w:hAnsi="宋体" w:cs="宋体" w:eastAsia="宋体" w:hint="default"/>
          <w:sz w:val="15"/>
          <w:szCs w:val="15"/>
        </w:rPr>
      </w:pPr>
      <w:r>
        <w:rPr>
          <w:rFonts w:ascii="宋体" w:hAnsi="宋体" w:cs="宋体" w:eastAsia="宋体" w:hint="default"/>
          <w:b/>
          <w:bCs/>
          <w:sz w:val="15"/>
          <w:szCs w:val="15"/>
        </w:rPr>
        <w:t>坏账准备</w:t>
        <w:tab/>
        <w:t>账面余额</w:t>
      </w:r>
      <w:r>
        <w:rPr>
          <w:rFonts w:ascii="宋体" w:hAnsi="宋体" w:cs="宋体" w:eastAsia="宋体" w:hint="default"/>
          <w:sz w:val="15"/>
          <w:szCs w:val="15"/>
        </w:rPr>
      </w:r>
    </w:p>
    <w:p>
      <w:pPr>
        <w:spacing w:line="240" w:lineRule="auto" w:before="4"/>
        <w:rPr>
          <w:rFonts w:ascii="宋体" w:hAnsi="宋体" w:cs="宋体" w:eastAsia="宋体" w:hint="default"/>
          <w:b/>
          <w:bCs/>
          <w:sz w:val="16"/>
          <w:szCs w:val="16"/>
        </w:rPr>
      </w:pPr>
      <w:r>
        <w:rPr/>
        <w:br w:type="column"/>
      </w:r>
      <w:r>
        <w:rPr>
          <w:rFonts w:ascii="宋体"/>
          <w:b/>
          <w:sz w:val="16"/>
        </w:rPr>
      </w:r>
    </w:p>
    <w:p>
      <w:pPr>
        <w:spacing w:before="0"/>
        <w:ind w:left="403" w:right="-17" w:firstLine="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p>
      <w:pPr>
        <w:spacing w:before="125"/>
        <w:ind w:left="312" w:right="-17"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4"/>
        <w:rPr>
          <w:rFonts w:ascii="宋体" w:hAnsi="宋体" w:cs="宋体" w:eastAsia="宋体" w:hint="default"/>
          <w:b/>
          <w:bCs/>
          <w:sz w:val="16"/>
          <w:szCs w:val="16"/>
        </w:rPr>
      </w:pPr>
      <w:r>
        <w:rPr/>
        <w:br w:type="column"/>
      </w:r>
      <w:r>
        <w:rPr>
          <w:rFonts w:ascii="宋体"/>
          <w:b/>
          <w:sz w:val="16"/>
        </w:rPr>
      </w:r>
    </w:p>
    <w:p>
      <w:pPr>
        <w:spacing w:line="393" w:lineRule="auto" w:before="0"/>
        <w:ind w:left="183" w:right="-12" w:firstLine="28"/>
        <w:jc w:val="left"/>
        <w:rPr>
          <w:rFonts w:ascii="宋体" w:hAnsi="宋体" w:cs="宋体" w:eastAsia="宋体" w:hint="default"/>
          <w:sz w:val="15"/>
          <w:szCs w:val="15"/>
        </w:rPr>
      </w:pPr>
      <w:r>
        <w:rPr>
          <w:rFonts w:ascii="宋体" w:hAnsi="宋体" w:cs="宋体" w:eastAsia="宋体" w:hint="default"/>
          <w:b/>
          <w:bCs/>
          <w:sz w:val="15"/>
          <w:szCs w:val="15"/>
        </w:rPr>
        <w:t>坏账准备计</w:t>
      </w:r>
      <w:r>
        <w:rPr>
          <w:rFonts w:ascii="宋体" w:hAnsi="宋体" w:cs="宋体" w:eastAsia="宋体" w:hint="default"/>
          <w:b/>
          <w:bCs/>
          <w:w w:val="100"/>
          <w:sz w:val="15"/>
          <w:szCs w:val="15"/>
        </w:rPr>
        <w:t> </w:t>
      </w:r>
      <w:r>
        <w:rPr>
          <w:rFonts w:ascii="宋体" w:hAnsi="宋体" w:cs="宋体" w:eastAsia="宋体" w:hint="default"/>
          <w:b/>
          <w:bCs/>
          <w:spacing w:val="-9"/>
          <w:sz w:val="15"/>
          <w:szCs w:val="15"/>
        </w:rPr>
        <w:t>提比例（</w:t>
      </w:r>
      <w:r>
        <w:rPr>
          <w:rFonts w:ascii="Times New Roman" w:hAnsi="Times New Roman" w:cs="Times New Roman" w:eastAsia="Times New Roman" w:hint="default"/>
          <w:b/>
          <w:bCs/>
          <w:spacing w:val="-9"/>
          <w:sz w:val="15"/>
          <w:szCs w:val="15"/>
        </w:rPr>
        <w:t>%</w:t>
      </w:r>
      <w:r>
        <w:rPr>
          <w:rFonts w:ascii="宋体" w:hAnsi="宋体" w:cs="宋体" w:eastAsia="宋体" w:hint="default"/>
          <w:b/>
          <w:bCs/>
          <w:spacing w:val="-9"/>
          <w:sz w:val="15"/>
          <w:szCs w:val="15"/>
        </w:rPr>
        <w:t>）</w:t>
      </w:r>
      <w:r>
        <w:rPr>
          <w:rFonts w:ascii="宋体" w:hAnsi="宋体" w:cs="宋体" w:eastAsia="宋体" w:hint="default"/>
          <w:spacing w:val="-9"/>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8"/>
        <w:rPr>
          <w:rFonts w:ascii="宋体" w:hAnsi="宋体" w:cs="宋体" w:eastAsia="宋体" w:hint="default"/>
          <w:b/>
          <w:bCs/>
          <w:sz w:val="14"/>
          <w:szCs w:val="14"/>
        </w:rPr>
      </w:pPr>
    </w:p>
    <w:p>
      <w:pPr>
        <w:spacing w:before="0"/>
        <w:ind w:left="192" w:right="0" w:firstLine="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580" w:bottom="1140" w:left="1440" w:right="1300"/>
          <w:cols w:num="7" w:equalWidth="0">
            <w:col w:w="2396" w:space="40"/>
            <w:col w:w="753" w:space="40"/>
            <w:col w:w="870" w:space="40"/>
            <w:col w:w="1986" w:space="40"/>
            <w:col w:w="767" w:space="40"/>
            <w:col w:w="1041" w:space="40"/>
            <w:col w:w="1117"/>
          </w:cols>
        </w:sectPr>
      </w:pPr>
    </w:p>
    <w:p>
      <w:pPr>
        <w:spacing w:line="240" w:lineRule="auto" w:before="5"/>
        <w:rPr>
          <w:rFonts w:ascii="宋体" w:hAnsi="宋体" w:cs="宋体" w:eastAsia="宋体" w:hint="default"/>
          <w:b/>
          <w:bCs/>
          <w:sz w:val="5"/>
          <w:szCs w:val="5"/>
        </w:rPr>
      </w:pPr>
    </w:p>
    <w:p>
      <w:pPr>
        <w:spacing w:line="20" w:lineRule="exact"/>
        <w:ind w:left="247" w:right="0" w:firstLine="0"/>
        <w:rPr>
          <w:rFonts w:ascii="宋体" w:hAnsi="宋体" w:cs="宋体" w:eastAsia="宋体" w:hint="default"/>
          <w:sz w:val="2"/>
          <w:szCs w:val="2"/>
        </w:rPr>
      </w:pPr>
      <w:r>
        <w:rPr>
          <w:rFonts w:ascii="宋体" w:hAnsi="宋体" w:cs="宋体" w:eastAsia="宋体" w:hint="default"/>
          <w:sz w:val="2"/>
          <w:szCs w:val="2"/>
        </w:rPr>
        <w:pict>
          <v:group style="width:440.4pt;height:.5pt;mso-position-horizontal-relative:char;mso-position-vertical-relative:line" coordorigin="0,0" coordsize="8808,10">
            <v:group style="position:absolute;left:5;top:5;width:1304;height:2" coordorigin="5,5" coordsize="1304,2">
              <v:shape style="position:absolute;left:5;top:5;width:1304;height:2" coordorigin="5,5" coordsize="1304,0" path="m5,5l1308,5e" filled="false" stroked="true" strokeweight=".47998pt" strokecolor="#000000">
                <v:path arrowok="t"/>
              </v:shape>
            </v:group>
            <v:group style="position:absolute;left:1308;top:5;width:10;height:2" coordorigin="1308,5" coordsize="10,2">
              <v:shape style="position:absolute;left:1308;top:5;width:10;height:2" coordorigin="1308,5" coordsize="10,0" path="m1308,5l1318,5e" filled="false" stroked="true" strokeweight=".47998pt" strokecolor="#000000">
                <v:path arrowok="t"/>
              </v:shape>
            </v:group>
            <v:group style="position:absolute;left:1318;top:5;width:1069;height:2" coordorigin="1318,5" coordsize="1069,2">
              <v:shape style="position:absolute;left:1318;top:5;width:1069;height:2" coordorigin="1318,5" coordsize="1069,0" path="m1318,5l2386,5e" filled="false" stroked="true" strokeweight=".47998pt" strokecolor="#000000">
                <v:path arrowok="t"/>
              </v:shape>
            </v:group>
            <v:group style="position:absolute;left:2386;top:5;width:10;height:2" coordorigin="2386,5" coordsize="10,2">
              <v:shape style="position:absolute;left:2386;top:5;width:10;height:2" coordorigin="2386,5" coordsize="10,0" path="m2386,5l2396,5e" filled="false" stroked="true" strokeweight=".47998pt" strokecolor="#000000">
                <v:path arrowok="t"/>
              </v:shape>
            </v:group>
            <v:group style="position:absolute;left:2396;top:5;width:670;height:2" coordorigin="2396,5" coordsize="670,2">
              <v:shape style="position:absolute;left:2396;top:5;width:670;height:2" coordorigin="2396,5" coordsize="670,0" path="m2396,5l3065,5e" filled="false" stroked="true" strokeweight=".47998pt" strokecolor="#000000">
                <v:path arrowok="t"/>
              </v:shape>
            </v:group>
            <v:group style="position:absolute;left:3065;top:5;width:10;height:2" coordorigin="3065,5" coordsize="10,2">
              <v:shape style="position:absolute;left:3065;top:5;width:10;height:2" coordorigin="3065,5" coordsize="10,0" path="m3065,5l3075,5e" filled="false" stroked="true" strokeweight=".47998pt" strokecolor="#000000">
                <v:path arrowok="t"/>
              </v:shape>
            </v:group>
            <v:group style="position:absolute;left:3075;top:5;width:953;height:2" coordorigin="3075,5" coordsize="953,2">
              <v:shape style="position:absolute;left:3075;top:5;width:953;height:2" coordorigin="3075,5" coordsize="953,0" path="m3075,5l4028,5e" filled="false" stroked="true" strokeweight=".47998pt" strokecolor="#000000">
                <v:path arrowok="t"/>
              </v:shape>
            </v:group>
            <v:group style="position:absolute;left:4028;top:5;width:10;height:2" coordorigin="4028,5" coordsize="10,2">
              <v:shape style="position:absolute;left:4028;top:5;width:10;height:2" coordorigin="4028,5" coordsize="10,0" path="m4028,5l4037,5e" filled="false" stroked="true" strokeweight=".47998pt" strokecolor="#000000">
                <v:path arrowok="t"/>
              </v:shape>
            </v:group>
            <v:group style="position:absolute;left:4037;top:5;width:997;height:2" coordorigin="4037,5" coordsize="997,2">
              <v:shape style="position:absolute;left:4037;top:5;width:997;height:2" coordorigin="4037,5" coordsize="997,0" path="m4037,5l5034,5e" filled="false" stroked="true" strokeweight=".47998pt" strokecolor="#000000">
                <v:path arrowok="t"/>
              </v:shape>
            </v:group>
            <v:group style="position:absolute;left:5034;top:5;width:10;height:2" coordorigin="5034,5" coordsize="10,2">
              <v:shape style="position:absolute;left:5034;top:5;width:10;height:2" coordorigin="5034,5" coordsize="10,0" path="m5034,5l5043,5e" filled="false" stroked="true" strokeweight=".47998pt" strokecolor="#000000">
                <v:path arrowok="t"/>
              </v:shape>
            </v:group>
            <v:group style="position:absolute;left:5043;top:5;width:1071;height:2" coordorigin="5043,5" coordsize="1071,2">
              <v:shape style="position:absolute;left:5043;top:5;width:1071;height:2" coordorigin="5043,5" coordsize="1071,0" path="m5043,5l6114,5e" filled="false" stroked="true" strokeweight=".47998pt" strokecolor="#000000">
                <v:path arrowok="t"/>
              </v:shape>
            </v:group>
            <v:group style="position:absolute;left:6114;top:5;width:10;height:2" coordorigin="6114,5" coordsize="10,2">
              <v:shape style="position:absolute;left:6114;top:5;width:10;height:2" coordorigin="6114,5" coordsize="10,0" path="m6114,5l6123,5e" filled="false" stroked="true" strokeweight=".47998pt" strokecolor="#000000">
                <v:path arrowok="t"/>
              </v:shape>
            </v:group>
            <v:group style="position:absolute;left:6123;top:5;width:704;height:2" coordorigin="6123,5" coordsize="704,2">
              <v:shape style="position:absolute;left:6123;top:5;width:704;height:2" coordorigin="6123,5" coordsize="704,0" path="m6123,5l6827,5e" filled="false" stroked="true" strokeweight=".47998pt" strokecolor="#000000">
                <v:path arrowok="t"/>
              </v:shape>
            </v:group>
            <v:group style="position:absolute;left:6827;top:5;width:10;height:2" coordorigin="6827,5" coordsize="10,2">
              <v:shape style="position:absolute;left:6827;top:5;width:10;height:2" coordorigin="6827,5" coordsize="10,0" path="m6827,5l6836,5e" filled="false" stroked="true" strokeweight=".47998pt" strokecolor="#000000">
                <v:path arrowok="t"/>
              </v:shape>
            </v:group>
            <v:group style="position:absolute;left:6836;top:5;width:959;height:2" coordorigin="6836,5" coordsize="959,2">
              <v:shape style="position:absolute;left:6836;top:5;width:959;height:2" coordorigin="6836,5" coordsize="959,0" path="m6836,5l7794,5e" filled="false" stroked="true" strokeweight=".47998pt" strokecolor="#000000">
                <v:path arrowok="t"/>
              </v:shape>
            </v:group>
            <v:group style="position:absolute;left:7794;top:5;width:10;height:2" coordorigin="7794,5" coordsize="10,2">
              <v:shape style="position:absolute;left:7794;top:5;width:10;height:2" coordorigin="7794,5" coordsize="10,0" path="m7794,5l7804,5e" filled="false" stroked="true" strokeweight=".47998pt" strokecolor="#000000">
                <v:path arrowok="t"/>
              </v:shape>
            </v:group>
            <v:group style="position:absolute;left:7804;top:5;width:999;height:2" coordorigin="7804,5" coordsize="999,2">
              <v:shape style="position:absolute;left:7804;top:5;width:999;height:2" coordorigin="7804,5" coordsize="999,0" path="m7804,5l8802,5e" filled="false" stroked="true" strokeweight=".47998pt" strokecolor="#000000">
                <v:path arrowok="t"/>
              </v:shape>
            </v:group>
          </v:group>
        </w:pict>
      </w:r>
      <w:r>
        <w:rPr>
          <w:rFonts w:ascii="宋体" w:hAnsi="宋体" w:cs="宋体" w:eastAsia="宋体" w:hint="default"/>
          <w:sz w:val="2"/>
          <w:szCs w:val="2"/>
        </w:rPr>
      </w:r>
    </w:p>
    <w:p>
      <w:pPr>
        <w:tabs>
          <w:tab w:pos="2804" w:val="left" w:leader="none"/>
          <w:tab w:pos="3756" w:val="left" w:leader="none"/>
          <w:tab w:pos="4498" w:val="left" w:leader="none"/>
          <w:tab w:pos="5391" w:val="left" w:leader="none"/>
          <w:tab w:pos="6548" w:val="left" w:leader="none"/>
          <w:tab w:pos="7521" w:val="left" w:leader="none"/>
          <w:tab w:pos="8265" w:val="left" w:leader="none"/>
        </w:tabs>
        <w:spacing w:before="58"/>
        <w:ind w:left="288" w:right="0"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pacing w:val="-4"/>
          <w:sz w:val="15"/>
          <w:szCs w:val="15"/>
        </w:rPr>
        <w:t>年以内（含</w:t>
      </w:r>
      <w:r>
        <w:rPr>
          <w:rFonts w:ascii="宋体" w:hAnsi="宋体" w:cs="宋体" w:eastAsia="宋体" w:hint="default"/>
          <w:sz w:val="15"/>
          <w:szCs w:val="15"/>
        </w:rPr>
        <w:t> </w:t>
      </w:r>
      <w:r>
        <w:rPr>
          <w:rFonts w:ascii="Times New Roman" w:hAnsi="Times New Roman" w:cs="Times New Roman" w:eastAsia="Times New Roman" w:hint="default"/>
          <w:sz w:val="15"/>
          <w:szCs w:val="15"/>
        </w:rPr>
        <w:t>1 </w:t>
      </w:r>
      <w:r>
        <w:rPr>
          <w:rFonts w:ascii="宋体" w:hAnsi="宋体" w:cs="宋体" w:eastAsia="宋体" w:hint="default"/>
          <w:spacing w:val="-2"/>
          <w:sz w:val="15"/>
          <w:szCs w:val="15"/>
        </w:rPr>
        <w:t>年）</w:t>
      </w:r>
      <w:r>
        <w:rPr>
          <w:rFonts w:ascii="宋体" w:hAnsi="宋体" w:cs="宋体" w:eastAsia="宋体" w:hint="default"/>
          <w:spacing w:val="-25"/>
          <w:sz w:val="15"/>
          <w:szCs w:val="15"/>
        </w:rPr>
        <w:t> </w:t>
      </w:r>
      <w:r>
        <w:rPr>
          <w:rFonts w:ascii="Times New Roman" w:hAnsi="Times New Roman" w:cs="Times New Roman" w:eastAsia="Times New Roman" w:hint="default"/>
          <w:spacing w:val="-1"/>
          <w:position w:val="5"/>
          <w:sz w:val="15"/>
          <w:szCs w:val="15"/>
        </w:rPr>
        <w:t>22,412,319.85</w:t>
        <w:tab/>
        <w:t>80.39</w:t>
        <w:tab/>
      </w:r>
      <w:r>
        <w:rPr>
          <w:rFonts w:ascii="Times New Roman" w:hAnsi="Times New Roman" w:cs="Times New Roman" w:eastAsia="Times New Roman" w:hint="default"/>
          <w:position w:val="5"/>
          <w:sz w:val="15"/>
          <w:szCs w:val="15"/>
        </w:rPr>
        <w:t>1</w:t>
        <w:tab/>
      </w:r>
      <w:r>
        <w:rPr>
          <w:rFonts w:ascii="Times New Roman" w:hAnsi="Times New Roman" w:cs="Times New Roman" w:eastAsia="Times New Roman" w:hint="default"/>
          <w:spacing w:val="-1"/>
          <w:position w:val="5"/>
          <w:sz w:val="15"/>
          <w:szCs w:val="15"/>
        </w:rPr>
        <w:t>224,123.19</w:t>
        <w:tab/>
      </w:r>
      <w:r>
        <w:rPr>
          <w:rFonts w:ascii="Times New Roman" w:hAnsi="Times New Roman" w:cs="Times New Roman" w:eastAsia="Times New Roman" w:hint="default"/>
          <w:spacing w:val="-1"/>
          <w:sz w:val="15"/>
          <w:szCs w:val="15"/>
        </w:rPr>
        <w:t>20,848,403.87</w:t>
        <w:tab/>
        <w:t>84.16</w:t>
        <w:tab/>
      </w:r>
      <w:r>
        <w:rPr>
          <w:rFonts w:ascii="Times New Roman" w:hAnsi="Times New Roman" w:cs="Times New Roman" w:eastAsia="Times New Roman" w:hint="default"/>
          <w:sz w:val="15"/>
          <w:szCs w:val="15"/>
        </w:rPr>
        <w:t>1</w:t>
        <w:tab/>
      </w:r>
      <w:r>
        <w:rPr>
          <w:rFonts w:ascii="Times New Roman" w:hAnsi="Times New Roman" w:cs="Times New Roman" w:eastAsia="Times New Roman" w:hint="default"/>
          <w:spacing w:val="-1"/>
          <w:sz w:val="15"/>
          <w:szCs w:val="15"/>
        </w:rPr>
        <w:t>208,484.04</w:t>
      </w:r>
    </w:p>
    <w:p>
      <w:pPr>
        <w:spacing w:line="240" w:lineRule="auto" w:before="3"/>
        <w:rPr>
          <w:rFonts w:ascii="Times New Roman" w:hAnsi="Times New Roman" w:cs="Times New Roman" w:eastAsia="Times New Roman" w:hint="default"/>
          <w:sz w:val="5"/>
          <w:szCs w:val="5"/>
        </w:rPr>
      </w:pPr>
    </w:p>
    <w:tbl>
      <w:tblPr>
        <w:tblW w:w="0" w:type="auto"/>
        <w:jc w:val="left"/>
        <w:tblInd w:w="253" w:type="dxa"/>
        <w:tblLayout w:type="fixed"/>
        <w:tblCellMar>
          <w:top w:w="0" w:type="dxa"/>
          <w:left w:w="0" w:type="dxa"/>
          <w:bottom w:w="0" w:type="dxa"/>
          <w:right w:w="0" w:type="dxa"/>
        </w:tblCellMar>
        <w:tblLook w:val="01E0"/>
      </w:tblPr>
      <w:tblGrid>
        <w:gridCol w:w="1291"/>
        <w:gridCol w:w="1119"/>
        <w:gridCol w:w="748"/>
        <w:gridCol w:w="734"/>
        <w:gridCol w:w="1136"/>
        <w:gridCol w:w="1119"/>
        <w:gridCol w:w="766"/>
        <w:gridCol w:w="746"/>
        <w:gridCol w:w="1062"/>
      </w:tblGrid>
      <w:tr>
        <w:trPr>
          <w:trHeight w:val="378" w:hRule="exact"/>
        </w:trPr>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年（含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8"/>
              <w:jc w:val="right"/>
              <w:rPr>
                <w:rFonts w:ascii="Times New Roman" w:hAnsi="Times New Roman" w:cs="Times New Roman" w:eastAsia="Times New Roman" w:hint="default"/>
                <w:sz w:val="15"/>
                <w:szCs w:val="15"/>
              </w:rPr>
            </w:pPr>
            <w:r>
              <w:rPr>
                <w:rFonts w:ascii="Times New Roman"/>
                <w:spacing w:val="-1"/>
                <w:sz w:val="15"/>
              </w:rPr>
              <w:t>1,650,000.00</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78" w:right="0"/>
              <w:jc w:val="left"/>
              <w:rPr>
                <w:rFonts w:ascii="Times New Roman" w:hAnsi="Times New Roman" w:cs="Times New Roman" w:eastAsia="Times New Roman" w:hint="default"/>
                <w:sz w:val="15"/>
                <w:szCs w:val="15"/>
              </w:rPr>
            </w:pPr>
            <w:r>
              <w:rPr>
                <w:rFonts w:ascii="Times New Roman"/>
                <w:sz w:val="15"/>
              </w:rPr>
              <w:t>5.92</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45" w:right="0"/>
              <w:jc w:val="left"/>
              <w:rPr>
                <w:rFonts w:ascii="Times New Roman" w:hAnsi="Times New Roman" w:cs="Times New Roman" w:eastAsia="Times New Roman" w:hint="default"/>
                <w:sz w:val="15"/>
                <w:szCs w:val="15"/>
              </w:rPr>
            </w:pPr>
            <w:r>
              <w:rPr>
                <w:rFonts w:ascii="Times New Roman"/>
                <w:w w:val="100"/>
                <w:sz w:val="15"/>
              </w:rPr>
              <w:t>5</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5"/>
                <w:szCs w:val="15"/>
              </w:rPr>
            </w:pPr>
            <w:r>
              <w:rPr>
                <w:rFonts w:ascii="Times New Roman"/>
                <w:spacing w:val="-1"/>
                <w:sz w:val="15"/>
              </w:rPr>
              <w:t>82,500.00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145"/>
              <w:jc w:val="right"/>
              <w:rPr>
                <w:rFonts w:ascii="Times New Roman" w:hAnsi="Times New Roman" w:cs="Times New Roman" w:eastAsia="Times New Roman" w:hint="default"/>
                <w:sz w:val="15"/>
                <w:szCs w:val="15"/>
              </w:rPr>
            </w:pPr>
            <w:r>
              <w:rPr>
                <w:rFonts w:ascii="Times New Roman"/>
                <w:spacing w:val="-1"/>
                <w:sz w:val="15"/>
              </w:rPr>
              <w:t>386,946.60</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85" w:right="0"/>
              <w:jc w:val="left"/>
              <w:rPr>
                <w:rFonts w:ascii="Times New Roman" w:hAnsi="Times New Roman" w:cs="Times New Roman" w:eastAsia="Times New Roman" w:hint="default"/>
                <w:sz w:val="15"/>
                <w:szCs w:val="15"/>
              </w:rPr>
            </w:pPr>
            <w:r>
              <w:rPr>
                <w:rFonts w:ascii="Times New Roman"/>
                <w:sz w:val="15"/>
              </w:rPr>
              <w:t>1.56</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314"/>
              <w:jc w:val="right"/>
              <w:rPr>
                <w:rFonts w:ascii="Times New Roman" w:hAnsi="Times New Roman" w:cs="Times New Roman" w:eastAsia="Times New Roman" w:hint="default"/>
                <w:sz w:val="15"/>
                <w:szCs w:val="15"/>
              </w:rPr>
            </w:pPr>
            <w:r>
              <w:rPr>
                <w:rFonts w:ascii="Times New Roman"/>
                <w:w w:val="100"/>
                <w:sz w:val="15"/>
              </w:rPr>
              <w:t>5</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19,347.33</w:t>
            </w:r>
          </w:p>
        </w:tc>
      </w:tr>
      <w:tr>
        <w:trPr>
          <w:trHeight w:val="360" w:hRule="exact"/>
        </w:trPr>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 </w:t>
            </w:r>
            <w:r>
              <w:rPr>
                <w:rFonts w:ascii="宋体" w:hAnsi="宋体" w:cs="宋体" w:eastAsia="宋体" w:hint="default"/>
                <w:sz w:val="15"/>
                <w:szCs w:val="15"/>
              </w:rPr>
              <w:t>年（含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8"/>
              <w:jc w:val="right"/>
              <w:rPr>
                <w:rFonts w:ascii="Times New Roman" w:hAnsi="Times New Roman" w:cs="Times New Roman" w:eastAsia="Times New Roman" w:hint="default"/>
                <w:sz w:val="15"/>
                <w:szCs w:val="15"/>
              </w:rPr>
            </w:pPr>
            <w:r>
              <w:rPr>
                <w:rFonts w:ascii="Times New Roman"/>
                <w:spacing w:val="-1"/>
                <w:sz w:val="15"/>
              </w:rPr>
              <w:t>384,946.60</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78" w:right="0"/>
              <w:jc w:val="left"/>
              <w:rPr>
                <w:rFonts w:ascii="Times New Roman" w:hAnsi="Times New Roman" w:cs="Times New Roman" w:eastAsia="Times New Roman" w:hint="default"/>
                <w:sz w:val="15"/>
                <w:szCs w:val="15"/>
              </w:rPr>
            </w:pPr>
            <w:r>
              <w:rPr>
                <w:rFonts w:ascii="Times New Roman"/>
                <w:sz w:val="15"/>
              </w:rPr>
              <w:t>1.38</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06" w:right="0"/>
              <w:jc w:val="left"/>
              <w:rPr>
                <w:rFonts w:ascii="Times New Roman" w:hAnsi="Times New Roman" w:cs="Times New Roman" w:eastAsia="Times New Roman" w:hint="default"/>
                <w:sz w:val="15"/>
                <w:szCs w:val="15"/>
              </w:rPr>
            </w:pPr>
            <w:r>
              <w:rPr>
                <w:rFonts w:ascii="Times New Roman"/>
                <w:sz w:val="15"/>
              </w:rPr>
              <w:t>30</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5"/>
                <w:szCs w:val="15"/>
              </w:rPr>
            </w:pPr>
            <w:r>
              <w:rPr>
                <w:rFonts w:ascii="Times New Roman"/>
                <w:spacing w:val="-1"/>
                <w:sz w:val="15"/>
              </w:rPr>
              <w:t>115,483.98</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45"/>
              <w:jc w:val="right"/>
              <w:rPr>
                <w:rFonts w:ascii="Times New Roman" w:hAnsi="Times New Roman" w:cs="Times New Roman" w:eastAsia="Times New Roman" w:hint="default"/>
                <w:sz w:val="15"/>
                <w:szCs w:val="15"/>
              </w:rPr>
            </w:pPr>
            <w:r>
              <w:rPr>
                <w:rFonts w:ascii="Times New Roman"/>
                <w:spacing w:val="-1"/>
                <w:sz w:val="15"/>
              </w:rPr>
              <w:t>53,991.79</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85" w:right="0"/>
              <w:jc w:val="left"/>
              <w:rPr>
                <w:rFonts w:ascii="Times New Roman" w:hAnsi="Times New Roman" w:cs="Times New Roman" w:eastAsia="Times New Roman" w:hint="default"/>
                <w:sz w:val="15"/>
                <w:szCs w:val="15"/>
              </w:rPr>
            </w:pPr>
            <w:r>
              <w:rPr>
                <w:rFonts w:ascii="Times New Roman"/>
                <w:sz w:val="15"/>
              </w:rPr>
              <w:t>0.22</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74"/>
              <w:jc w:val="right"/>
              <w:rPr>
                <w:rFonts w:ascii="Times New Roman" w:hAnsi="Times New Roman" w:cs="Times New Roman" w:eastAsia="Times New Roman" w:hint="default"/>
                <w:sz w:val="15"/>
                <w:szCs w:val="15"/>
              </w:rPr>
            </w:pPr>
            <w:r>
              <w:rPr>
                <w:rFonts w:ascii="Times New Roman"/>
                <w:sz w:val="15"/>
              </w:rPr>
              <w:t>30</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Times New Roman" w:hAnsi="Times New Roman" w:cs="Times New Roman" w:eastAsia="Times New Roman" w:hint="default"/>
                <w:sz w:val="15"/>
                <w:szCs w:val="15"/>
              </w:rPr>
            </w:pPr>
            <w:r>
              <w:rPr>
                <w:rFonts w:ascii="Times New Roman"/>
                <w:spacing w:val="-1"/>
                <w:sz w:val="15"/>
              </w:rPr>
              <w:t>16,197.54</w:t>
            </w:r>
          </w:p>
        </w:tc>
      </w:tr>
      <w:tr>
        <w:trPr>
          <w:trHeight w:val="379" w:hRule="exact"/>
        </w:trPr>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8"/>
              <w:jc w:val="right"/>
              <w:rPr>
                <w:rFonts w:ascii="Times New Roman" w:hAnsi="Times New Roman" w:cs="Times New Roman" w:eastAsia="Times New Roman" w:hint="default"/>
                <w:sz w:val="15"/>
                <w:szCs w:val="15"/>
              </w:rPr>
            </w:pPr>
            <w:r>
              <w:rPr>
                <w:rFonts w:ascii="Times New Roman"/>
                <w:spacing w:val="-1"/>
                <w:sz w:val="15"/>
              </w:rPr>
              <w:t>3,432,825.97</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0" w:right="0"/>
              <w:jc w:val="left"/>
              <w:rPr>
                <w:rFonts w:ascii="Times New Roman" w:hAnsi="Times New Roman" w:cs="Times New Roman" w:eastAsia="Times New Roman" w:hint="default"/>
                <w:sz w:val="15"/>
                <w:szCs w:val="15"/>
              </w:rPr>
            </w:pPr>
            <w:r>
              <w:rPr>
                <w:rFonts w:ascii="Times New Roman"/>
                <w:sz w:val="15"/>
              </w:rPr>
              <w:t>12.31</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68" w:right="0"/>
              <w:jc w:val="left"/>
              <w:rPr>
                <w:rFonts w:ascii="Times New Roman" w:hAnsi="Times New Roman" w:cs="Times New Roman" w:eastAsia="Times New Roman" w:hint="default"/>
                <w:sz w:val="15"/>
                <w:szCs w:val="15"/>
              </w:rPr>
            </w:pPr>
            <w:r>
              <w:rPr>
                <w:rFonts w:ascii="Times New Roman"/>
                <w:sz w:val="15"/>
              </w:rPr>
              <w:t>100</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5"/>
                <w:szCs w:val="15"/>
              </w:rPr>
            </w:pPr>
            <w:r>
              <w:rPr>
                <w:rFonts w:ascii="Times New Roman"/>
                <w:spacing w:val="-1"/>
                <w:sz w:val="15"/>
              </w:rPr>
              <w:t>3,432,825.97</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45"/>
              <w:jc w:val="right"/>
              <w:rPr>
                <w:rFonts w:ascii="Times New Roman" w:hAnsi="Times New Roman" w:cs="Times New Roman" w:eastAsia="Times New Roman" w:hint="default"/>
                <w:sz w:val="15"/>
                <w:szCs w:val="15"/>
              </w:rPr>
            </w:pPr>
            <w:r>
              <w:rPr>
                <w:rFonts w:ascii="Times New Roman"/>
                <w:spacing w:val="-1"/>
                <w:sz w:val="15"/>
              </w:rPr>
              <w:t>3,483,125.97</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47" w:right="0"/>
              <w:jc w:val="left"/>
              <w:rPr>
                <w:rFonts w:ascii="Times New Roman" w:hAnsi="Times New Roman" w:cs="Times New Roman" w:eastAsia="Times New Roman" w:hint="default"/>
                <w:sz w:val="15"/>
                <w:szCs w:val="15"/>
              </w:rPr>
            </w:pPr>
            <w:r>
              <w:rPr>
                <w:rFonts w:ascii="Times New Roman"/>
                <w:sz w:val="15"/>
              </w:rPr>
              <w:t>14.06</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37"/>
              <w:jc w:val="right"/>
              <w:rPr>
                <w:rFonts w:ascii="Times New Roman" w:hAnsi="Times New Roman" w:cs="Times New Roman" w:eastAsia="Times New Roman" w:hint="default"/>
                <w:sz w:val="15"/>
                <w:szCs w:val="15"/>
              </w:rPr>
            </w:pPr>
            <w:r>
              <w:rPr>
                <w:rFonts w:ascii="Times New Roman"/>
                <w:spacing w:val="-1"/>
                <w:sz w:val="15"/>
              </w:rPr>
              <w:t>100</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Times New Roman" w:hAnsi="Times New Roman" w:cs="Times New Roman" w:eastAsia="Times New Roman" w:hint="default"/>
                <w:sz w:val="15"/>
                <w:szCs w:val="15"/>
              </w:rPr>
            </w:pPr>
            <w:r>
              <w:rPr>
                <w:rFonts w:ascii="Times New Roman"/>
                <w:spacing w:val="-1"/>
                <w:sz w:val="15"/>
              </w:rPr>
              <w:t>3,483,125.97</w:t>
            </w:r>
          </w:p>
        </w:tc>
      </w:tr>
      <w:tr>
        <w:trPr>
          <w:trHeight w:val="360" w:hRule="exact"/>
        </w:trPr>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23"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38"/>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27,880,092.42</w:t>
            </w:r>
            <w:r>
              <w:rPr>
                <w:rFonts w:ascii="Times New Roman"/>
                <w:spacing w:val="-1"/>
                <w:sz w:val="15"/>
              </w:rPr>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97"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734"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3,854,933.14</w:t>
            </w:r>
            <w:r>
              <w:rPr>
                <w:rFonts w:ascii="Times New Roman"/>
                <w:spacing w:val="-1"/>
                <w:sz w:val="15"/>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4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24,772,468.23</w:t>
            </w:r>
            <w:r>
              <w:rPr>
                <w:rFonts w:ascii="Times New Roman"/>
                <w:spacing w:val="-1"/>
                <w:sz w:val="15"/>
              </w:rPr>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2"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746"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3,727,154.88</w:t>
            </w:r>
            <w:r>
              <w:rPr>
                <w:rFonts w:ascii="Times New Roman"/>
                <w:spacing w:val="-1"/>
                <w:sz w:val="15"/>
              </w:rPr>
            </w:r>
          </w:p>
        </w:tc>
      </w:tr>
    </w:tbl>
    <w:p>
      <w:pPr>
        <w:spacing w:line="240" w:lineRule="auto" w:before="9"/>
        <w:rPr>
          <w:rFonts w:ascii="Times New Roman" w:hAnsi="Times New Roman" w:cs="Times New Roman" w:eastAsia="Times New Roman" w:hint="default"/>
          <w:sz w:val="24"/>
          <w:szCs w:val="24"/>
        </w:rPr>
      </w:pPr>
    </w:p>
    <w:p>
      <w:pPr>
        <w:pStyle w:val="BodyText"/>
        <w:spacing w:line="240" w:lineRule="auto" w:before="44"/>
        <w:ind w:left="720" w:right="0"/>
        <w:jc w:val="left"/>
      </w:pPr>
      <w:r>
        <w:rPr/>
        <w:t>（</w:t>
      </w:r>
      <w:r>
        <w:rPr>
          <w:rFonts w:ascii="Times New Roman" w:hAnsi="Times New Roman" w:cs="Times New Roman" w:eastAsia="Times New Roman" w:hint="default"/>
        </w:rPr>
        <w:t>3</w:t>
      </w:r>
      <w:r>
        <w:rPr/>
        <w:t>）本期其他应收款计提、收回或转回的坏账准备情况</w:t>
      </w:r>
    </w:p>
    <w:p>
      <w:pPr>
        <w:spacing w:line="240" w:lineRule="auto" w:before="6"/>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817"/>
        <w:gridCol w:w="3980"/>
      </w:tblGrid>
      <w:tr>
        <w:trPr>
          <w:trHeight w:val="275" w:hRule="exact"/>
        </w:trPr>
        <w:tc>
          <w:tcPr>
            <w:tcW w:w="4817" w:type="dxa"/>
            <w:tcBorders>
              <w:top w:val="nil" w:sz="6" w:space="0" w:color="auto"/>
              <w:left w:val="nil" w:sz="6" w:space="0" w:color="auto"/>
              <w:bottom w:val="single" w:sz="4" w:space="0" w:color="000000"/>
              <w:right w:val="nil" w:sz="6" w:space="0" w:color="auto"/>
            </w:tcBorders>
          </w:tcPr>
          <w:p>
            <w:pPr>
              <w:pStyle w:val="TableParagraph"/>
              <w:spacing w:line="180" w:lineRule="exact"/>
              <w:ind w:left="22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80" w:type="dxa"/>
            <w:tcBorders>
              <w:top w:val="nil" w:sz="6" w:space="0" w:color="auto"/>
              <w:left w:val="nil" w:sz="6" w:space="0" w:color="auto"/>
              <w:bottom w:val="single" w:sz="4" w:space="0" w:color="000000"/>
              <w:right w:val="nil" w:sz="6" w:space="0" w:color="auto"/>
            </w:tcBorders>
          </w:tcPr>
          <w:p>
            <w:pPr>
              <w:pStyle w:val="TableParagraph"/>
              <w:spacing w:line="180" w:lineRule="exact"/>
              <w:ind w:left="220"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431" w:hRule="exact"/>
        </w:trPr>
        <w:tc>
          <w:tcPr>
            <w:tcW w:w="481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本期计提其他应收款坏账准备</w:t>
            </w:r>
          </w:p>
        </w:tc>
        <w:tc>
          <w:tcPr>
            <w:tcW w:w="398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2023" w:right="0"/>
              <w:jc w:val="left"/>
              <w:rPr>
                <w:rFonts w:ascii="Times New Roman" w:hAnsi="Times New Roman" w:cs="Times New Roman" w:eastAsia="Times New Roman" w:hint="default"/>
                <w:sz w:val="18"/>
                <w:szCs w:val="18"/>
              </w:rPr>
            </w:pPr>
            <w:r>
              <w:rPr>
                <w:rFonts w:ascii="Times New Roman"/>
                <w:sz w:val="18"/>
              </w:rPr>
              <w:t>127,778.26</w:t>
            </w:r>
          </w:p>
        </w:tc>
      </w:tr>
      <w:tr>
        <w:trPr>
          <w:trHeight w:val="286" w:hRule="exact"/>
        </w:trPr>
        <w:tc>
          <w:tcPr>
            <w:tcW w:w="48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本期收回或转回的其他应收款坏账准备</w:t>
            </w:r>
          </w:p>
        </w:tc>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8"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720" w:right="0"/>
        <w:jc w:val="left"/>
      </w:pPr>
      <w:r>
        <w:rPr/>
        <w:t>（</w:t>
      </w:r>
      <w:r>
        <w:rPr>
          <w:rFonts w:ascii="Times New Roman" w:hAnsi="Times New Roman" w:cs="Times New Roman" w:eastAsia="Times New Roman" w:hint="default"/>
        </w:rPr>
        <w:t>4</w:t>
      </w:r>
      <w:r>
        <w:rPr/>
        <w:t>）本期无实际核销的其他应收款。</w:t>
      </w:r>
    </w:p>
    <w:p>
      <w:pPr>
        <w:spacing w:line="240" w:lineRule="auto" w:before="8"/>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5</w:t>
      </w:r>
      <w:r>
        <w:rPr/>
        <w:t>）按性质分类其他应收款的账面余额</w:t>
      </w:r>
    </w:p>
    <w:p>
      <w:pPr>
        <w:spacing w:line="240" w:lineRule="auto" w:before="6"/>
        <w:rPr>
          <w:rFonts w:ascii="宋体" w:hAnsi="宋体" w:cs="宋体" w:eastAsia="宋体" w:hint="default"/>
          <w:sz w:val="24"/>
          <w:szCs w:val="24"/>
        </w:rPr>
      </w:pPr>
    </w:p>
    <w:tbl>
      <w:tblPr>
        <w:tblW w:w="0" w:type="auto"/>
        <w:jc w:val="left"/>
        <w:tblInd w:w="223" w:type="dxa"/>
        <w:tblLayout w:type="fixed"/>
        <w:tblCellMar>
          <w:top w:w="0" w:type="dxa"/>
          <w:left w:w="0" w:type="dxa"/>
          <w:bottom w:w="0" w:type="dxa"/>
          <w:right w:w="0" w:type="dxa"/>
        </w:tblCellMar>
        <w:tblLook w:val="01E0"/>
      </w:tblPr>
      <w:tblGrid>
        <w:gridCol w:w="2853"/>
        <w:gridCol w:w="3010"/>
        <w:gridCol w:w="2719"/>
      </w:tblGrid>
      <w:tr>
        <w:trPr>
          <w:trHeight w:val="277" w:hRule="exact"/>
        </w:trPr>
        <w:tc>
          <w:tcPr>
            <w:tcW w:w="2853"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010" w:type="dxa"/>
            <w:tcBorders>
              <w:top w:val="nil" w:sz="6" w:space="0" w:color="auto"/>
              <w:left w:val="nil" w:sz="6" w:space="0" w:color="auto"/>
              <w:bottom w:val="single" w:sz="6" w:space="0" w:color="000000"/>
              <w:right w:val="nil" w:sz="6" w:space="0" w:color="auto"/>
            </w:tcBorders>
          </w:tcPr>
          <w:p>
            <w:pPr>
              <w:pStyle w:val="TableParagraph"/>
              <w:spacing w:line="180" w:lineRule="exact"/>
              <w:ind w:right="137"/>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719" w:type="dxa"/>
            <w:tcBorders>
              <w:top w:val="nil" w:sz="6" w:space="0" w:color="auto"/>
              <w:left w:val="nil" w:sz="6" w:space="0" w:color="auto"/>
              <w:bottom w:val="single" w:sz="6" w:space="0" w:color="000000"/>
              <w:right w:val="nil" w:sz="6" w:space="0" w:color="auto"/>
            </w:tcBorders>
          </w:tcPr>
          <w:p>
            <w:pPr>
              <w:pStyle w:val="TableParagraph"/>
              <w:spacing w:line="180" w:lineRule="exact"/>
              <w:ind w:right="14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3" w:hRule="exact"/>
        </w:trPr>
        <w:tc>
          <w:tcPr>
            <w:tcW w:w="285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4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010" w:type="dxa"/>
            <w:tcBorders>
              <w:top w:val="single" w:sz="6" w:space="0" w:color="000000"/>
              <w:left w:val="nil" w:sz="6" w:space="0" w:color="auto"/>
              <w:bottom w:val="nil" w:sz="6" w:space="0" w:color="auto"/>
              <w:right w:val="nil" w:sz="6" w:space="0" w:color="auto"/>
            </w:tcBorders>
          </w:tcPr>
          <w:p>
            <w:pPr>
              <w:pStyle w:val="TableParagraph"/>
              <w:spacing w:line="240" w:lineRule="auto" w:before="117"/>
              <w:ind w:right="911"/>
              <w:jc w:val="right"/>
              <w:rPr>
                <w:rFonts w:ascii="Times New Roman" w:hAnsi="Times New Roman" w:cs="Times New Roman" w:eastAsia="Times New Roman" w:hint="default"/>
                <w:sz w:val="18"/>
                <w:szCs w:val="18"/>
              </w:rPr>
            </w:pPr>
            <w:r>
              <w:rPr>
                <w:rFonts w:ascii="Times New Roman"/>
                <w:spacing w:val="-1"/>
                <w:sz w:val="18"/>
              </w:rPr>
              <w:t>21,329,752.88</w:t>
            </w:r>
          </w:p>
        </w:tc>
        <w:tc>
          <w:tcPr>
            <w:tcW w:w="2719" w:type="dxa"/>
            <w:tcBorders>
              <w:top w:val="single" w:sz="6" w:space="0" w:color="000000"/>
              <w:left w:val="nil" w:sz="6" w:space="0" w:color="auto"/>
              <w:bottom w:val="nil" w:sz="6" w:space="0" w:color="auto"/>
              <w:right w:val="nil" w:sz="6" w:space="0" w:color="auto"/>
            </w:tcBorders>
          </w:tcPr>
          <w:p>
            <w:pPr>
              <w:pStyle w:val="TableParagraph"/>
              <w:spacing w:line="240" w:lineRule="auto" w:before="117"/>
              <w:ind w:right="768"/>
              <w:jc w:val="right"/>
              <w:rPr>
                <w:rFonts w:ascii="Times New Roman" w:hAnsi="Times New Roman" w:cs="Times New Roman" w:eastAsia="Times New Roman" w:hint="default"/>
                <w:sz w:val="18"/>
                <w:szCs w:val="18"/>
              </w:rPr>
            </w:pPr>
            <w:r>
              <w:rPr>
                <w:rFonts w:ascii="Times New Roman"/>
                <w:spacing w:val="-1"/>
                <w:sz w:val="18"/>
              </w:rPr>
              <w:t>19,885,157.12</w:t>
            </w:r>
          </w:p>
        </w:tc>
      </w:tr>
      <w:tr>
        <w:trPr>
          <w:trHeight w:val="400" w:hRule="exact"/>
        </w:trPr>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24" w:right="0"/>
              <w:jc w:val="left"/>
              <w:rPr>
                <w:rFonts w:ascii="宋体" w:hAnsi="宋体" w:cs="宋体" w:eastAsia="宋体" w:hint="default"/>
                <w:sz w:val="18"/>
                <w:szCs w:val="18"/>
              </w:rPr>
            </w:pPr>
            <w:r>
              <w:rPr>
                <w:rFonts w:ascii="宋体" w:hAnsi="宋体" w:cs="宋体" w:eastAsia="宋体" w:hint="default"/>
                <w:sz w:val="18"/>
                <w:szCs w:val="18"/>
              </w:rPr>
              <w:t>课题研究费</w:t>
            </w:r>
          </w:p>
        </w:tc>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13"/>
              <w:jc w:val="right"/>
              <w:rPr>
                <w:rFonts w:ascii="Times New Roman" w:hAnsi="Times New Roman" w:cs="Times New Roman" w:eastAsia="Times New Roman" w:hint="default"/>
                <w:sz w:val="18"/>
                <w:szCs w:val="18"/>
              </w:rPr>
            </w:pPr>
            <w:r>
              <w:rPr>
                <w:rFonts w:ascii="Times New Roman"/>
                <w:spacing w:val="-1"/>
                <w:sz w:val="18"/>
              </w:rPr>
              <w:t>3,000,000.00</w:t>
            </w:r>
          </w:p>
        </w:tc>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68"/>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0" w:hRule="exact"/>
        </w:trPr>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13"/>
              <w:jc w:val="right"/>
              <w:rPr>
                <w:rFonts w:ascii="Times New Roman" w:hAnsi="Times New Roman" w:cs="Times New Roman" w:eastAsia="Times New Roman" w:hint="default"/>
                <w:sz w:val="18"/>
                <w:szCs w:val="18"/>
              </w:rPr>
            </w:pPr>
            <w:r>
              <w:rPr>
                <w:rFonts w:ascii="Times New Roman"/>
                <w:spacing w:val="-1"/>
                <w:sz w:val="18"/>
              </w:rPr>
              <w:t>1,672,328.00</w:t>
            </w:r>
          </w:p>
        </w:tc>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68"/>
              <w:jc w:val="right"/>
              <w:rPr>
                <w:rFonts w:ascii="Times New Roman" w:hAnsi="Times New Roman" w:cs="Times New Roman" w:eastAsia="Times New Roman" w:hint="default"/>
                <w:sz w:val="18"/>
                <w:szCs w:val="18"/>
              </w:rPr>
            </w:pPr>
            <w:r>
              <w:rPr>
                <w:rFonts w:ascii="Times New Roman"/>
                <w:spacing w:val="-1"/>
                <w:sz w:val="18"/>
              </w:rPr>
              <w:t>1,723,396.60</w:t>
            </w:r>
          </w:p>
        </w:tc>
      </w:tr>
      <w:tr>
        <w:trPr>
          <w:trHeight w:val="401" w:hRule="exact"/>
        </w:trPr>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11"/>
              <w:jc w:val="right"/>
              <w:rPr>
                <w:rFonts w:ascii="Times New Roman" w:hAnsi="Times New Roman" w:cs="Times New Roman" w:eastAsia="Times New Roman" w:hint="default"/>
                <w:sz w:val="18"/>
                <w:szCs w:val="18"/>
              </w:rPr>
            </w:pPr>
            <w:r>
              <w:rPr>
                <w:rFonts w:ascii="Times New Roman"/>
                <w:spacing w:val="-1"/>
                <w:sz w:val="18"/>
              </w:rPr>
              <w:t>1,878,011.54</w:t>
            </w:r>
          </w:p>
        </w:tc>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68"/>
              <w:jc w:val="right"/>
              <w:rPr>
                <w:rFonts w:ascii="Times New Roman" w:hAnsi="Times New Roman" w:cs="Times New Roman" w:eastAsia="Times New Roman" w:hint="default"/>
                <w:sz w:val="18"/>
                <w:szCs w:val="18"/>
              </w:rPr>
            </w:pPr>
            <w:r>
              <w:rPr>
                <w:rFonts w:ascii="Times New Roman"/>
                <w:spacing w:val="-1"/>
                <w:sz w:val="18"/>
              </w:rPr>
              <w:t>163,914.51</w:t>
            </w:r>
          </w:p>
        </w:tc>
      </w:tr>
      <w:tr>
        <w:trPr>
          <w:trHeight w:val="295" w:hRule="exact"/>
        </w:trPr>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11"/>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r>
            <w:r>
              <w:rPr>
                <w:rFonts w:ascii="Times New Roman"/>
                <w:spacing w:val="1"/>
                <w:sz w:val="18"/>
                <w:u w:val="thick" w:color="000000"/>
              </w:rPr>
              <w:t> </w:t>
            </w:r>
            <w:r>
              <w:rPr>
                <w:rFonts w:ascii="Times New Roman"/>
                <w:spacing w:val="-1"/>
                <w:sz w:val="18"/>
                <w:u w:val="thick" w:color="000000"/>
              </w:rPr>
              <w:t>27,880,092.42</w:t>
            </w:r>
            <w:r>
              <w:rPr>
                <w:rFonts w:ascii="Times New Roman"/>
                <w:spacing w:val="-1"/>
                <w:sz w:val="18"/>
              </w:rPr>
            </w:r>
          </w:p>
        </w:tc>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6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24,772,468.23</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1140" w:left="1440" w:right="1300"/>
        </w:sectPr>
      </w:pPr>
    </w:p>
    <w:p>
      <w:pPr>
        <w:pStyle w:val="BodyText"/>
        <w:spacing w:line="240" w:lineRule="auto" w:before="17"/>
        <w:ind w:left="600" w:right="0"/>
        <w:jc w:val="left"/>
      </w:pPr>
      <w:r>
        <w:rPr/>
        <w:t>（</w:t>
      </w:r>
      <w:r>
        <w:rPr>
          <w:rFonts w:ascii="Times New Roman" w:hAnsi="Times New Roman" w:cs="Times New Roman" w:eastAsia="Times New Roman" w:hint="default"/>
        </w:rPr>
        <w:t>6</w:t>
      </w:r>
      <w:r>
        <w:rPr/>
        <w:t>）期末其他应收款金额前五名情况</w:t>
      </w:r>
    </w:p>
    <w:p>
      <w:pPr>
        <w:spacing w:line="240" w:lineRule="auto" w:before="4"/>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216"/>
        <w:gridCol w:w="1119"/>
        <w:gridCol w:w="1251"/>
        <w:gridCol w:w="929"/>
        <w:gridCol w:w="1587"/>
        <w:gridCol w:w="1481"/>
      </w:tblGrid>
      <w:tr>
        <w:trPr>
          <w:trHeight w:val="598" w:hRule="exact"/>
        </w:trPr>
        <w:tc>
          <w:tcPr>
            <w:tcW w:w="221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97" w:right="0"/>
              <w:jc w:val="center"/>
              <w:rPr>
                <w:rFonts w:ascii="宋体" w:hAnsi="宋体" w:cs="宋体" w:eastAsia="宋体" w:hint="default"/>
                <w:sz w:val="15"/>
                <w:szCs w:val="15"/>
              </w:rPr>
            </w:pPr>
            <w:r>
              <w:rPr>
                <w:rFonts w:ascii="宋体" w:hAnsi="宋体" w:cs="宋体" w:eastAsia="宋体" w:hint="default"/>
                <w:b/>
                <w:bCs/>
                <w:sz w:val="15"/>
                <w:szCs w:val="15"/>
              </w:rPr>
              <w:t>单位名称</w:t>
            </w:r>
            <w:r>
              <w:rPr>
                <w:rFonts w:ascii="宋体" w:hAnsi="宋体" w:cs="宋体" w:eastAsia="宋体" w:hint="default"/>
                <w:sz w:val="15"/>
                <w:szCs w:val="15"/>
              </w:rPr>
            </w:r>
          </w:p>
        </w:tc>
        <w:tc>
          <w:tcPr>
            <w:tcW w:w="1119" w:type="dxa"/>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b/>
                <w:bCs/>
                <w:sz w:val="15"/>
                <w:szCs w:val="15"/>
              </w:rPr>
              <w:t>款项性质</w:t>
            </w:r>
            <w:r>
              <w:rPr>
                <w:rFonts w:ascii="宋体" w:hAnsi="宋体" w:cs="宋体" w:eastAsia="宋体" w:hint="default"/>
                <w:sz w:val="15"/>
                <w:szCs w:val="15"/>
              </w:rPr>
            </w:r>
          </w:p>
        </w:tc>
        <w:tc>
          <w:tcPr>
            <w:tcW w:w="1251" w:type="dxa"/>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929" w:type="dxa"/>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87"/>
              <w:jc w:val="right"/>
              <w:rPr>
                <w:rFonts w:ascii="宋体" w:hAnsi="宋体" w:cs="宋体" w:eastAsia="宋体" w:hint="default"/>
                <w:sz w:val="15"/>
                <w:szCs w:val="15"/>
              </w:rPr>
            </w:pPr>
            <w:r>
              <w:rPr>
                <w:rFonts w:ascii="宋体" w:hAnsi="宋体" w:cs="宋体" w:eastAsia="宋体" w:hint="default"/>
                <w:b/>
                <w:bCs/>
                <w:sz w:val="15"/>
                <w:szCs w:val="15"/>
              </w:rPr>
              <w:t>账龄</w:t>
            </w:r>
            <w:r>
              <w:rPr>
                <w:rFonts w:ascii="宋体" w:hAnsi="宋体" w:cs="宋体" w:eastAsia="宋体" w:hint="default"/>
                <w:sz w:val="15"/>
                <w:szCs w:val="15"/>
              </w:rPr>
            </w:r>
          </w:p>
        </w:tc>
        <w:tc>
          <w:tcPr>
            <w:tcW w:w="1587" w:type="dxa"/>
            <w:tcBorders>
              <w:top w:val="nil" w:sz="6" w:space="0" w:color="auto"/>
              <w:left w:val="nil" w:sz="6" w:space="0" w:color="auto"/>
              <w:bottom w:val="single" w:sz="6" w:space="0" w:color="000000"/>
              <w:right w:val="nil" w:sz="6" w:space="0" w:color="auto"/>
            </w:tcBorders>
          </w:tcPr>
          <w:p>
            <w:pPr>
              <w:pStyle w:val="TableParagraph"/>
              <w:spacing w:line="151" w:lineRule="exact"/>
              <w:ind w:left="90" w:right="0"/>
              <w:jc w:val="center"/>
              <w:rPr>
                <w:rFonts w:ascii="宋体" w:hAnsi="宋体" w:cs="宋体" w:eastAsia="宋体" w:hint="default"/>
                <w:sz w:val="15"/>
                <w:szCs w:val="15"/>
              </w:rPr>
            </w:pPr>
            <w:r>
              <w:rPr>
                <w:rFonts w:ascii="宋体" w:hAnsi="宋体" w:cs="宋体" w:eastAsia="宋体" w:hint="default"/>
                <w:b/>
                <w:bCs/>
                <w:sz w:val="15"/>
                <w:szCs w:val="15"/>
              </w:rPr>
              <w:t>占其他应收款</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5"/>
                <w:szCs w:val="15"/>
              </w:rPr>
            </w:pPr>
            <w:r>
              <w:rPr>
                <w:rFonts w:ascii="宋体" w:hAnsi="宋体" w:cs="宋体" w:eastAsia="宋体" w:hint="default"/>
                <w:b/>
                <w:bCs/>
                <w:sz w:val="15"/>
                <w:szCs w:val="15"/>
              </w:rPr>
              <w:t>总额的比例（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481" w:type="dxa"/>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27"/>
              <w:jc w:val="right"/>
              <w:rPr>
                <w:rFonts w:ascii="宋体" w:hAnsi="宋体" w:cs="宋体" w:eastAsia="宋体" w:hint="default"/>
                <w:sz w:val="15"/>
                <w:szCs w:val="15"/>
              </w:rPr>
            </w:pPr>
            <w:r>
              <w:rPr>
                <w:rFonts w:ascii="宋体" w:hAnsi="宋体" w:cs="宋体" w:eastAsia="宋体" w:hint="default"/>
                <w:b/>
                <w:bCs/>
                <w:spacing w:val="-1"/>
                <w:sz w:val="15"/>
                <w:szCs w:val="15"/>
              </w:rPr>
              <w:t>坏账准备期末余额</w:t>
            </w:r>
            <w:r>
              <w:rPr>
                <w:rFonts w:ascii="宋体" w:hAnsi="宋体" w:cs="宋体" w:eastAsia="宋体" w:hint="default"/>
                <w:spacing w:val="-1"/>
                <w:sz w:val="15"/>
                <w:szCs w:val="15"/>
              </w:rPr>
            </w:r>
          </w:p>
        </w:tc>
      </w:tr>
      <w:tr>
        <w:trPr>
          <w:trHeight w:val="355" w:hRule="exact"/>
        </w:trPr>
        <w:tc>
          <w:tcPr>
            <w:tcW w:w="2216"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5"/>
                <w:szCs w:val="15"/>
              </w:rPr>
            </w:pPr>
            <w:r>
              <w:rPr>
                <w:rFonts w:ascii="宋体" w:hAnsi="宋体" w:cs="宋体" w:eastAsia="宋体" w:hint="default"/>
                <w:sz w:val="15"/>
                <w:szCs w:val="15"/>
              </w:rPr>
              <w:t>北京北方天舟文化有限公司</w:t>
            </w:r>
          </w:p>
        </w:tc>
        <w:tc>
          <w:tcPr>
            <w:tcW w:w="1119" w:type="dxa"/>
            <w:tcBorders>
              <w:top w:val="single" w:sz="6" w:space="0" w:color="000000"/>
              <w:left w:val="nil" w:sz="6" w:space="0" w:color="auto"/>
              <w:bottom w:val="nil" w:sz="6" w:space="0" w:color="auto"/>
              <w:right w:val="nil" w:sz="6" w:space="0" w:color="auto"/>
            </w:tcBorders>
          </w:tcPr>
          <w:p>
            <w:pPr>
              <w:pStyle w:val="TableParagraph"/>
              <w:spacing w:line="240" w:lineRule="auto" w:before="43"/>
              <w:ind w:left="98" w:right="0"/>
              <w:jc w:val="left"/>
              <w:rPr>
                <w:rFonts w:ascii="宋体" w:hAnsi="宋体" w:cs="宋体" w:eastAsia="宋体" w:hint="default"/>
                <w:sz w:val="15"/>
                <w:szCs w:val="15"/>
              </w:rPr>
            </w:pPr>
            <w:r>
              <w:rPr>
                <w:rFonts w:ascii="宋体" w:hAnsi="宋体" w:cs="宋体" w:eastAsia="宋体" w:hint="default"/>
                <w:sz w:val="15"/>
                <w:szCs w:val="15"/>
              </w:rPr>
              <w:t>往来款</w:t>
            </w:r>
          </w:p>
        </w:tc>
        <w:tc>
          <w:tcPr>
            <w:tcW w:w="1251" w:type="dxa"/>
            <w:tcBorders>
              <w:top w:val="single" w:sz="6" w:space="0" w:color="000000"/>
              <w:left w:val="nil" w:sz="6" w:space="0" w:color="auto"/>
              <w:bottom w:val="nil" w:sz="6" w:space="0" w:color="auto"/>
              <w:right w:val="nil" w:sz="6" w:space="0" w:color="auto"/>
            </w:tcBorders>
          </w:tcPr>
          <w:p>
            <w:pPr>
              <w:pStyle w:val="TableParagraph"/>
              <w:spacing w:line="240" w:lineRule="auto" w:before="73"/>
              <w:ind w:right="134"/>
              <w:jc w:val="right"/>
              <w:rPr>
                <w:rFonts w:ascii="Times New Roman" w:hAnsi="Times New Roman" w:cs="Times New Roman" w:eastAsia="Times New Roman" w:hint="default"/>
                <w:sz w:val="15"/>
                <w:szCs w:val="15"/>
              </w:rPr>
            </w:pPr>
            <w:r>
              <w:rPr>
                <w:rFonts w:ascii="Times New Roman"/>
                <w:spacing w:val="-1"/>
                <w:sz w:val="15"/>
              </w:rPr>
              <w:t>8,693,336.43</w:t>
            </w:r>
          </w:p>
        </w:tc>
        <w:tc>
          <w:tcPr>
            <w:tcW w:w="929" w:type="dxa"/>
            <w:tcBorders>
              <w:top w:val="single" w:sz="6" w:space="0" w:color="000000"/>
              <w:left w:val="nil" w:sz="6" w:space="0" w:color="auto"/>
              <w:bottom w:val="nil" w:sz="6" w:space="0" w:color="auto"/>
              <w:right w:val="nil" w:sz="6" w:space="0" w:color="auto"/>
            </w:tcBorders>
          </w:tcPr>
          <w:p>
            <w:pPr>
              <w:pStyle w:val="TableParagraph"/>
              <w:spacing w:line="240" w:lineRule="auto" w:before="43"/>
              <w:ind w:right="233"/>
              <w:jc w:val="righ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587" w:type="dxa"/>
            <w:tcBorders>
              <w:top w:val="single" w:sz="6" w:space="0" w:color="000000"/>
              <w:left w:val="nil" w:sz="6" w:space="0" w:color="auto"/>
              <w:bottom w:val="nil" w:sz="6" w:space="0" w:color="auto"/>
              <w:right w:val="nil" w:sz="6" w:space="0" w:color="auto"/>
            </w:tcBorders>
          </w:tcPr>
          <w:p>
            <w:pPr>
              <w:pStyle w:val="TableParagraph"/>
              <w:spacing w:line="240" w:lineRule="auto" w:before="73"/>
              <w:ind w:left="87" w:right="0"/>
              <w:jc w:val="center"/>
              <w:rPr>
                <w:rFonts w:ascii="Times New Roman" w:hAnsi="Times New Roman" w:cs="Times New Roman" w:eastAsia="Times New Roman" w:hint="default"/>
                <w:sz w:val="15"/>
                <w:szCs w:val="15"/>
              </w:rPr>
            </w:pPr>
            <w:r>
              <w:rPr>
                <w:rFonts w:ascii="Times New Roman"/>
                <w:sz w:val="15"/>
              </w:rPr>
              <w:t>31.18</w:t>
            </w:r>
          </w:p>
        </w:tc>
        <w:tc>
          <w:tcPr>
            <w:tcW w:w="1481" w:type="dxa"/>
            <w:tcBorders>
              <w:top w:val="single" w:sz="6" w:space="0" w:color="000000"/>
              <w:left w:val="nil" w:sz="6" w:space="0" w:color="auto"/>
              <w:bottom w:val="nil" w:sz="6" w:space="0" w:color="auto"/>
              <w:right w:val="nil" w:sz="6" w:space="0" w:color="auto"/>
            </w:tcBorders>
          </w:tcPr>
          <w:p>
            <w:pPr>
              <w:pStyle w:val="TableParagraph"/>
              <w:spacing w:line="240" w:lineRule="auto" w:before="73"/>
              <w:ind w:right="174"/>
              <w:jc w:val="right"/>
              <w:rPr>
                <w:rFonts w:ascii="Times New Roman" w:hAnsi="Times New Roman" w:cs="Times New Roman" w:eastAsia="Times New Roman" w:hint="default"/>
                <w:sz w:val="15"/>
                <w:szCs w:val="15"/>
              </w:rPr>
            </w:pPr>
            <w:r>
              <w:rPr>
                <w:rFonts w:ascii="Times New Roman"/>
                <w:spacing w:val="-1"/>
                <w:sz w:val="15"/>
              </w:rPr>
              <w:t>86,933.36</w:t>
            </w:r>
          </w:p>
        </w:tc>
      </w:tr>
      <w:tr>
        <w:trPr>
          <w:trHeight w:val="680"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405" w:lineRule="auto" w:before="86"/>
              <w:ind w:right="96"/>
              <w:jc w:val="left"/>
              <w:rPr>
                <w:rFonts w:ascii="宋体" w:hAnsi="宋体" w:cs="宋体" w:eastAsia="宋体" w:hint="default"/>
                <w:sz w:val="15"/>
                <w:szCs w:val="15"/>
              </w:rPr>
            </w:pPr>
            <w:r>
              <w:rPr>
                <w:rFonts w:ascii="Times New Roman" w:hAnsi="Times New Roman" w:cs="Times New Roman" w:eastAsia="Times New Roman" w:hint="default"/>
                <w:sz w:val="15"/>
                <w:szCs w:val="15"/>
              </w:rPr>
              <w:t>APPNODE TANGLE</w:t>
            </w:r>
            <w:r>
              <w:rPr>
                <w:rFonts w:ascii="Times New Roman" w:hAnsi="Times New Roman" w:cs="Times New Roman" w:eastAsia="Times New Roman" w:hint="default"/>
                <w:spacing w:val="-8"/>
                <w:sz w:val="15"/>
                <w:szCs w:val="15"/>
              </w:rPr>
              <w:t> </w:t>
            </w:r>
            <w:r>
              <w:rPr>
                <w:rFonts w:ascii="Times New Roman" w:hAnsi="Times New Roman" w:cs="Times New Roman" w:eastAsia="Times New Roman" w:hint="default"/>
                <w:sz w:val="15"/>
                <w:szCs w:val="15"/>
              </w:rPr>
              <w:t>COMPANY</w:t>
            </w:r>
            <w:r>
              <w:rPr>
                <w:rFonts w:ascii="Times New Roman" w:hAnsi="Times New Roman" w:cs="Times New Roman" w:eastAsia="Times New Roman" w:hint="default"/>
                <w:w w:val="100"/>
                <w:sz w:val="15"/>
                <w:szCs w:val="15"/>
              </w:rPr>
              <w:t> </w:t>
            </w:r>
            <w:r>
              <w:rPr>
                <w:rFonts w:ascii="Times New Roman" w:hAnsi="Times New Roman" w:cs="Times New Roman" w:eastAsia="Times New Roman" w:hint="default"/>
                <w:sz w:val="15"/>
                <w:szCs w:val="15"/>
              </w:rPr>
              <w:t>LIMITED</w:t>
            </w:r>
            <w:r>
              <w:rPr>
                <w:rFonts w:ascii="宋体" w:hAnsi="宋体" w:cs="宋体" w:eastAsia="宋体" w:hint="default"/>
                <w:sz w:val="15"/>
                <w:szCs w:val="15"/>
              </w:rPr>
              <w:t>（</w:t>
            </w:r>
            <w:r>
              <w:rPr>
                <w:rFonts w:ascii="Times New Roman" w:hAnsi="Times New Roman" w:cs="Times New Roman" w:eastAsia="Times New Roman" w:hint="default"/>
                <w:sz w:val="15"/>
                <w:szCs w:val="15"/>
              </w:rPr>
              <w:t>HK</w:t>
            </w:r>
            <w:r>
              <w:rPr>
                <w:rFonts w:ascii="宋体" w:hAnsi="宋体" w:cs="宋体" w:eastAsia="宋体" w:hint="default"/>
                <w:sz w:val="15"/>
                <w:szCs w:val="15"/>
              </w:rPr>
              <w:t>）</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98" w:right="0"/>
              <w:jc w:val="left"/>
              <w:rPr>
                <w:rFonts w:ascii="宋体" w:hAnsi="宋体" w:cs="宋体" w:eastAsia="宋体" w:hint="default"/>
                <w:sz w:val="15"/>
                <w:szCs w:val="15"/>
              </w:rPr>
            </w:pPr>
            <w:r>
              <w:rPr>
                <w:rFonts w:ascii="宋体" w:hAnsi="宋体" w:cs="宋体" w:eastAsia="宋体" w:hint="default"/>
                <w:sz w:val="15"/>
                <w:szCs w:val="15"/>
              </w:rPr>
              <w:t>往来款</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4"/>
              <w:jc w:val="right"/>
              <w:rPr>
                <w:rFonts w:ascii="Times New Roman" w:hAnsi="Times New Roman" w:cs="Times New Roman" w:eastAsia="Times New Roman" w:hint="default"/>
                <w:sz w:val="15"/>
                <w:szCs w:val="15"/>
              </w:rPr>
            </w:pPr>
            <w:r>
              <w:rPr>
                <w:rFonts w:ascii="Times New Roman"/>
                <w:spacing w:val="-1"/>
                <w:sz w:val="15"/>
              </w:rPr>
              <w:t>7,373,635.50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33"/>
              <w:jc w:val="righ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5"/>
                <w:szCs w:val="15"/>
              </w:rPr>
            </w:pPr>
            <w:r>
              <w:rPr>
                <w:rFonts w:ascii="Times New Roman"/>
                <w:sz w:val="15"/>
              </w:rPr>
              <w:t>26.45</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4"/>
              <w:jc w:val="right"/>
              <w:rPr>
                <w:rFonts w:ascii="Times New Roman" w:hAnsi="Times New Roman" w:cs="Times New Roman" w:eastAsia="Times New Roman" w:hint="default"/>
                <w:sz w:val="15"/>
                <w:szCs w:val="15"/>
              </w:rPr>
            </w:pPr>
            <w:r>
              <w:rPr>
                <w:rFonts w:ascii="Times New Roman"/>
                <w:spacing w:val="-1"/>
                <w:sz w:val="15"/>
              </w:rPr>
              <w:t>73,736.36</w:t>
            </w:r>
          </w:p>
        </w:tc>
      </w:tr>
      <w:tr>
        <w:trPr>
          <w:trHeight w:val="360"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left"/>
              <w:rPr>
                <w:rFonts w:ascii="宋体" w:hAnsi="宋体" w:cs="宋体" w:eastAsia="宋体" w:hint="default"/>
                <w:sz w:val="15"/>
                <w:szCs w:val="15"/>
              </w:rPr>
            </w:pPr>
            <w:r>
              <w:rPr>
                <w:rFonts w:ascii="宋体" w:hAnsi="宋体" w:cs="宋体" w:eastAsia="宋体" w:hint="default"/>
                <w:sz w:val="15"/>
                <w:szCs w:val="15"/>
              </w:rPr>
              <w:t>北京永载文化有限公司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8" w:right="0"/>
              <w:jc w:val="left"/>
              <w:rPr>
                <w:rFonts w:ascii="宋体" w:hAnsi="宋体" w:cs="宋体" w:eastAsia="宋体" w:hint="default"/>
                <w:sz w:val="15"/>
                <w:szCs w:val="15"/>
              </w:rPr>
            </w:pPr>
            <w:r>
              <w:rPr>
                <w:rFonts w:ascii="宋体" w:hAnsi="宋体" w:cs="宋体" w:eastAsia="宋体" w:hint="default"/>
                <w:sz w:val="15"/>
                <w:szCs w:val="15"/>
              </w:rPr>
              <w:t>往来款</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4"/>
              <w:jc w:val="right"/>
              <w:rPr>
                <w:rFonts w:ascii="Times New Roman" w:hAnsi="Times New Roman" w:cs="Times New Roman" w:eastAsia="Times New Roman" w:hint="default"/>
                <w:sz w:val="15"/>
                <w:szCs w:val="15"/>
              </w:rPr>
            </w:pPr>
            <w:r>
              <w:rPr>
                <w:rFonts w:ascii="Times New Roman"/>
                <w:spacing w:val="-1"/>
                <w:sz w:val="15"/>
              </w:rPr>
              <w:t>3,262,272.95</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33"/>
              <w:jc w:val="righ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87" w:right="0"/>
              <w:jc w:val="center"/>
              <w:rPr>
                <w:rFonts w:ascii="Times New Roman" w:hAnsi="Times New Roman" w:cs="Times New Roman" w:eastAsia="Times New Roman" w:hint="default"/>
                <w:sz w:val="15"/>
                <w:szCs w:val="15"/>
              </w:rPr>
            </w:pPr>
            <w:r>
              <w:rPr>
                <w:rFonts w:ascii="Times New Roman"/>
                <w:sz w:val="15"/>
              </w:rPr>
              <w:t>11.7</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4"/>
              <w:jc w:val="right"/>
              <w:rPr>
                <w:rFonts w:ascii="Times New Roman" w:hAnsi="Times New Roman" w:cs="Times New Roman" w:eastAsia="Times New Roman" w:hint="default"/>
                <w:sz w:val="15"/>
                <w:szCs w:val="15"/>
              </w:rPr>
            </w:pPr>
            <w:r>
              <w:rPr>
                <w:rFonts w:ascii="Times New Roman"/>
                <w:spacing w:val="-1"/>
                <w:sz w:val="15"/>
              </w:rPr>
              <w:t>32,622.73</w:t>
            </w:r>
          </w:p>
        </w:tc>
      </w:tr>
      <w:tr>
        <w:trPr>
          <w:trHeight w:val="360"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left"/>
              <w:rPr>
                <w:rFonts w:ascii="宋体" w:hAnsi="宋体" w:cs="宋体" w:eastAsia="宋体" w:hint="default"/>
                <w:sz w:val="15"/>
                <w:szCs w:val="15"/>
              </w:rPr>
            </w:pPr>
            <w:r>
              <w:rPr>
                <w:rFonts w:ascii="宋体" w:hAnsi="宋体" w:cs="宋体" w:eastAsia="宋体" w:hint="default"/>
                <w:sz w:val="15"/>
                <w:szCs w:val="15"/>
              </w:rPr>
              <w:t>中央教育科学研究所</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8" w:right="0"/>
              <w:jc w:val="left"/>
              <w:rPr>
                <w:rFonts w:ascii="宋体" w:hAnsi="宋体" w:cs="宋体" w:eastAsia="宋体" w:hint="default"/>
                <w:sz w:val="15"/>
                <w:szCs w:val="15"/>
              </w:rPr>
            </w:pPr>
            <w:r>
              <w:rPr>
                <w:rFonts w:ascii="宋体" w:hAnsi="宋体" w:cs="宋体" w:eastAsia="宋体" w:hint="default"/>
                <w:sz w:val="15"/>
                <w:szCs w:val="15"/>
              </w:rPr>
              <w:t>课题研究费</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4"/>
              <w:jc w:val="right"/>
              <w:rPr>
                <w:rFonts w:ascii="Times New Roman" w:hAnsi="Times New Roman" w:cs="Times New Roman" w:eastAsia="Times New Roman" w:hint="default"/>
                <w:sz w:val="15"/>
                <w:szCs w:val="15"/>
              </w:rPr>
            </w:pPr>
            <w:r>
              <w:rPr>
                <w:rFonts w:ascii="Times New Roman"/>
                <w:spacing w:val="-1"/>
                <w:sz w:val="15"/>
              </w:rPr>
              <w:t>3,000,000.00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33"/>
              <w:jc w:val="righ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87" w:right="0"/>
              <w:jc w:val="center"/>
              <w:rPr>
                <w:rFonts w:ascii="Times New Roman" w:hAnsi="Times New Roman" w:cs="Times New Roman" w:eastAsia="Times New Roman" w:hint="default"/>
                <w:sz w:val="15"/>
                <w:szCs w:val="15"/>
              </w:rPr>
            </w:pPr>
            <w:r>
              <w:rPr>
                <w:rFonts w:ascii="Times New Roman"/>
                <w:sz w:val="15"/>
              </w:rPr>
              <w:t>10.76</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4"/>
              <w:jc w:val="right"/>
              <w:rPr>
                <w:rFonts w:ascii="Times New Roman" w:hAnsi="Times New Roman" w:cs="Times New Roman" w:eastAsia="Times New Roman" w:hint="default"/>
                <w:sz w:val="15"/>
                <w:szCs w:val="15"/>
              </w:rPr>
            </w:pPr>
            <w:r>
              <w:rPr>
                <w:rFonts w:ascii="Times New Roman"/>
                <w:spacing w:val="-1"/>
                <w:sz w:val="15"/>
              </w:rPr>
              <w:t>3,000,000.00</w:t>
            </w:r>
          </w:p>
        </w:tc>
      </w:tr>
      <w:tr>
        <w:trPr>
          <w:trHeight w:val="362"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left"/>
              <w:rPr>
                <w:rFonts w:ascii="宋体" w:hAnsi="宋体" w:cs="宋体" w:eastAsia="宋体" w:hint="default"/>
                <w:sz w:val="15"/>
                <w:szCs w:val="15"/>
              </w:rPr>
            </w:pPr>
            <w:r>
              <w:rPr>
                <w:rFonts w:ascii="宋体" w:hAnsi="宋体" w:cs="宋体" w:eastAsia="宋体" w:hint="default"/>
                <w:sz w:val="15"/>
                <w:szCs w:val="15"/>
              </w:rPr>
              <w:t>广州天瑞文化传播有限公司</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8" w:right="0"/>
              <w:jc w:val="left"/>
              <w:rPr>
                <w:rFonts w:ascii="宋体" w:hAnsi="宋体" w:cs="宋体" w:eastAsia="宋体" w:hint="default"/>
                <w:sz w:val="15"/>
                <w:szCs w:val="15"/>
              </w:rPr>
            </w:pPr>
            <w:r>
              <w:rPr>
                <w:rFonts w:ascii="宋体" w:hAnsi="宋体" w:cs="宋体" w:eastAsia="宋体" w:hint="default"/>
                <w:sz w:val="15"/>
                <w:szCs w:val="15"/>
              </w:rPr>
              <w:t>往来款</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4"/>
              <w:jc w:val="right"/>
              <w:rPr>
                <w:rFonts w:ascii="Times New Roman" w:hAnsi="Times New Roman" w:cs="Times New Roman" w:eastAsia="Times New Roman" w:hint="default"/>
                <w:sz w:val="15"/>
                <w:szCs w:val="15"/>
              </w:rPr>
            </w:pPr>
            <w:r>
              <w:rPr>
                <w:rFonts w:ascii="Times New Roman"/>
                <w:spacing w:val="-1"/>
                <w:sz w:val="15"/>
              </w:rPr>
              <w:t>2,000,000.00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33"/>
              <w:jc w:val="righ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87" w:right="0"/>
              <w:jc w:val="center"/>
              <w:rPr>
                <w:rFonts w:ascii="Times New Roman" w:hAnsi="Times New Roman" w:cs="Times New Roman" w:eastAsia="Times New Roman" w:hint="default"/>
                <w:sz w:val="15"/>
                <w:szCs w:val="15"/>
              </w:rPr>
            </w:pPr>
            <w:r>
              <w:rPr>
                <w:rFonts w:ascii="Times New Roman"/>
                <w:sz w:val="15"/>
              </w:rPr>
              <w:t>7.17</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4"/>
              <w:jc w:val="right"/>
              <w:rPr>
                <w:rFonts w:ascii="Times New Roman" w:hAnsi="Times New Roman" w:cs="Times New Roman" w:eastAsia="Times New Roman" w:hint="default"/>
                <w:sz w:val="15"/>
                <w:szCs w:val="15"/>
              </w:rPr>
            </w:pPr>
            <w:r>
              <w:rPr>
                <w:rFonts w:ascii="Times New Roman"/>
                <w:spacing w:val="-1"/>
                <w:sz w:val="15"/>
              </w:rPr>
              <w:t>20,000.00</w:t>
            </w:r>
          </w:p>
        </w:tc>
      </w:tr>
      <w:tr>
        <w:trPr>
          <w:trHeight w:val="293"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97"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19"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24,329,244.88</w:t>
            </w:r>
            <w:r>
              <w:rPr>
                <w:rFonts w:ascii="Times New Roman"/>
                <w:spacing w:val="-1"/>
                <w:sz w:val="15"/>
              </w:rPr>
            </w:r>
          </w:p>
        </w:tc>
        <w:tc>
          <w:tcPr>
            <w:tcW w:w="929"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7"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87.26</w:t>
            </w:r>
            <w:r>
              <w:rPr>
                <w:rFonts w:ascii="Times New Roman"/>
                <w:sz w:val="15"/>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7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3,213,292.45</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pStyle w:val="BodyText"/>
        <w:spacing w:line="240" w:lineRule="auto"/>
        <w:ind w:left="600" w:right="0"/>
        <w:jc w:val="left"/>
      </w:pPr>
      <w:r>
        <w:rPr/>
        <w:t>（</w:t>
      </w:r>
      <w:r>
        <w:rPr>
          <w:rFonts w:ascii="Times New Roman" w:hAnsi="Times New Roman" w:cs="Times New Roman" w:eastAsia="Times New Roman" w:hint="default"/>
        </w:rPr>
        <w:t>7</w:t>
      </w:r>
      <w:r>
        <w:rPr/>
        <w:t>）本报告期无终止确认的其他应收款。</w:t>
      </w:r>
    </w:p>
    <w:p>
      <w:pPr>
        <w:spacing w:line="240" w:lineRule="auto" w:before="5"/>
        <w:rPr>
          <w:rFonts w:ascii="宋体" w:hAnsi="宋体" w:cs="宋体" w:eastAsia="宋体" w:hint="default"/>
          <w:sz w:val="20"/>
          <w:szCs w:val="20"/>
        </w:rPr>
      </w:pPr>
    </w:p>
    <w:p>
      <w:pPr>
        <w:pStyle w:val="BodyText"/>
        <w:spacing w:line="240" w:lineRule="auto"/>
        <w:ind w:left="600" w:right="0"/>
        <w:jc w:val="left"/>
      </w:pPr>
      <w:r>
        <w:rPr/>
        <w:t>（</w:t>
      </w:r>
      <w:r>
        <w:rPr>
          <w:rFonts w:ascii="Times New Roman" w:hAnsi="Times New Roman" w:cs="Times New Roman" w:eastAsia="Times New Roman" w:hint="default"/>
        </w:rPr>
        <w:t>8</w:t>
      </w:r>
      <w:r>
        <w:rPr/>
        <w:t>）本报告期无因金融资产转移而终止确认的其他应收款。</w:t>
      </w:r>
    </w:p>
    <w:p>
      <w:pPr>
        <w:spacing w:line="240" w:lineRule="auto" w:before="5"/>
        <w:rPr>
          <w:rFonts w:ascii="宋体" w:hAnsi="宋体" w:cs="宋体" w:eastAsia="宋体" w:hint="default"/>
          <w:sz w:val="20"/>
          <w:szCs w:val="20"/>
        </w:rPr>
      </w:pPr>
    </w:p>
    <w:p>
      <w:pPr>
        <w:pStyle w:val="BodyText"/>
        <w:spacing w:line="240" w:lineRule="auto"/>
        <w:ind w:left="600" w:right="0"/>
        <w:jc w:val="left"/>
      </w:pPr>
      <w:r>
        <w:rPr/>
        <w:t>（</w:t>
      </w:r>
      <w:r>
        <w:rPr>
          <w:rFonts w:ascii="Times New Roman" w:hAnsi="Times New Roman" w:cs="Times New Roman" w:eastAsia="Times New Roman" w:hint="default"/>
        </w:rPr>
        <w:t>9</w:t>
      </w:r>
      <w:r>
        <w:rPr/>
        <w:t>）本报告期公司无因其他应收款转移而继续涉入形成的资产、负债。</w:t>
      </w:r>
    </w:p>
    <w:p>
      <w:pPr>
        <w:spacing w:line="240" w:lineRule="auto" w:before="0"/>
        <w:rPr>
          <w:rFonts w:ascii="宋体" w:hAnsi="宋体" w:cs="宋体" w:eastAsia="宋体" w:hint="default"/>
          <w:sz w:val="18"/>
          <w:szCs w:val="18"/>
        </w:rPr>
      </w:pPr>
    </w:p>
    <w:p>
      <w:pPr>
        <w:pStyle w:val="BodyText"/>
        <w:spacing w:line="240" w:lineRule="auto" w:before="153"/>
        <w:ind w:left="600"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2"/>
        </w:rPr>
        <w:t> </w:t>
      </w:r>
      <w:r>
        <w:rPr/>
        <w:t>长期股权投资</w:t>
      </w:r>
    </w:p>
    <w:p>
      <w:pPr>
        <w:spacing w:line="240" w:lineRule="auto" w:before="4"/>
        <w:rPr>
          <w:rFonts w:ascii="宋体" w:hAnsi="宋体" w:cs="宋体" w:eastAsia="宋体" w:hint="default"/>
          <w:sz w:val="20"/>
          <w:szCs w:val="20"/>
        </w:rPr>
      </w:pPr>
    </w:p>
    <w:tbl>
      <w:tblPr>
        <w:tblW w:w="0" w:type="auto"/>
        <w:jc w:val="left"/>
        <w:tblInd w:w="132" w:type="dxa"/>
        <w:tblLayout w:type="fixed"/>
        <w:tblCellMar>
          <w:top w:w="0" w:type="dxa"/>
          <w:left w:w="0" w:type="dxa"/>
          <w:bottom w:w="0" w:type="dxa"/>
          <w:right w:w="0" w:type="dxa"/>
        </w:tblCellMar>
        <w:tblLook w:val="01E0"/>
      </w:tblPr>
      <w:tblGrid>
        <w:gridCol w:w="2388"/>
        <w:gridCol w:w="939"/>
        <w:gridCol w:w="1151"/>
        <w:gridCol w:w="1167"/>
        <w:gridCol w:w="1104"/>
        <w:gridCol w:w="849"/>
        <w:gridCol w:w="1200"/>
      </w:tblGrid>
      <w:tr>
        <w:trPr>
          <w:trHeight w:val="331" w:hRule="exact"/>
        </w:trPr>
        <w:tc>
          <w:tcPr>
            <w:tcW w:w="238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26" w:right="0"/>
              <w:jc w:val="center"/>
              <w:rPr>
                <w:rFonts w:ascii="宋体" w:hAnsi="宋体" w:cs="宋体" w:eastAsia="宋体" w:hint="default"/>
                <w:sz w:val="13"/>
                <w:szCs w:val="13"/>
              </w:rPr>
            </w:pPr>
            <w:r>
              <w:rPr>
                <w:rFonts w:ascii="宋体" w:hAnsi="宋体" w:cs="宋体" w:eastAsia="宋体" w:hint="default"/>
                <w:b/>
                <w:bCs/>
                <w:sz w:val="13"/>
                <w:szCs w:val="13"/>
              </w:rPr>
              <w:t>被投资单位</w:t>
            </w:r>
            <w:r>
              <w:rPr>
                <w:rFonts w:ascii="宋体" w:hAnsi="宋体" w:cs="宋体" w:eastAsia="宋体" w:hint="default"/>
                <w:sz w:val="13"/>
                <w:szCs w:val="13"/>
              </w:rPr>
            </w:r>
          </w:p>
        </w:tc>
        <w:tc>
          <w:tcPr>
            <w:tcW w:w="93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30"/>
              <w:jc w:val="right"/>
              <w:rPr>
                <w:rFonts w:ascii="宋体" w:hAnsi="宋体" w:cs="宋体" w:eastAsia="宋体" w:hint="default"/>
                <w:sz w:val="13"/>
                <w:szCs w:val="13"/>
              </w:rPr>
            </w:pPr>
            <w:r>
              <w:rPr>
                <w:rFonts w:ascii="宋体" w:hAnsi="宋体" w:cs="宋体" w:eastAsia="宋体" w:hint="default"/>
                <w:b/>
                <w:bCs/>
                <w:sz w:val="13"/>
                <w:szCs w:val="13"/>
              </w:rPr>
              <w:t>核算方法</w:t>
            </w:r>
            <w:r>
              <w:rPr>
                <w:rFonts w:ascii="宋体" w:hAnsi="宋体" w:cs="宋体" w:eastAsia="宋体" w:hint="default"/>
                <w:sz w:val="13"/>
                <w:szCs w:val="13"/>
              </w:rPr>
            </w:r>
          </w:p>
        </w:tc>
        <w:tc>
          <w:tcPr>
            <w:tcW w:w="115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00" w:right="0"/>
              <w:jc w:val="left"/>
              <w:rPr>
                <w:rFonts w:ascii="宋体" w:hAnsi="宋体" w:cs="宋体" w:eastAsia="宋体" w:hint="default"/>
                <w:sz w:val="13"/>
                <w:szCs w:val="13"/>
              </w:rPr>
            </w:pPr>
            <w:r>
              <w:rPr>
                <w:rFonts w:ascii="宋体" w:hAnsi="宋体" w:cs="宋体" w:eastAsia="宋体" w:hint="default"/>
                <w:b/>
                <w:bCs/>
                <w:sz w:val="13"/>
                <w:szCs w:val="13"/>
              </w:rPr>
              <w:t>投资成本</w:t>
            </w:r>
            <w:r>
              <w:rPr>
                <w:rFonts w:ascii="宋体" w:hAnsi="宋体" w:cs="宋体" w:eastAsia="宋体" w:hint="default"/>
                <w:sz w:val="13"/>
                <w:szCs w:val="13"/>
              </w:rPr>
            </w:r>
          </w:p>
        </w:tc>
        <w:tc>
          <w:tcPr>
            <w:tcW w:w="116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275" w:right="0"/>
              <w:jc w:val="left"/>
              <w:rPr>
                <w:rFonts w:ascii="宋体" w:hAnsi="宋体" w:cs="宋体" w:eastAsia="宋体" w:hint="default"/>
                <w:sz w:val="13"/>
                <w:szCs w:val="13"/>
              </w:rPr>
            </w:pPr>
            <w:r>
              <w:rPr>
                <w:rFonts w:ascii="宋体" w:hAnsi="宋体" w:cs="宋体" w:eastAsia="宋体" w:hint="default"/>
                <w:b/>
                <w:bCs/>
                <w:sz w:val="13"/>
                <w:szCs w:val="13"/>
              </w:rPr>
              <w:t>期初余额</w:t>
            </w:r>
            <w:r>
              <w:rPr>
                <w:rFonts w:ascii="宋体" w:hAnsi="宋体" w:cs="宋体" w:eastAsia="宋体" w:hint="default"/>
                <w:sz w:val="13"/>
                <w:szCs w:val="13"/>
              </w:rPr>
            </w: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227" w:right="0"/>
              <w:jc w:val="left"/>
              <w:rPr>
                <w:rFonts w:ascii="宋体" w:hAnsi="宋体" w:cs="宋体" w:eastAsia="宋体" w:hint="default"/>
                <w:sz w:val="13"/>
                <w:szCs w:val="13"/>
              </w:rPr>
            </w:pPr>
            <w:r>
              <w:rPr>
                <w:rFonts w:ascii="宋体" w:hAnsi="宋体" w:cs="宋体" w:eastAsia="宋体" w:hint="default"/>
                <w:b/>
                <w:bCs/>
                <w:sz w:val="13"/>
                <w:szCs w:val="13"/>
              </w:rPr>
              <w:t>本期增加</w:t>
            </w:r>
            <w:r>
              <w:rPr>
                <w:rFonts w:ascii="宋体" w:hAnsi="宋体" w:cs="宋体" w:eastAsia="宋体" w:hint="default"/>
                <w:sz w:val="13"/>
                <w:szCs w:val="13"/>
              </w:rPr>
            </w:r>
          </w:p>
        </w:tc>
        <w:tc>
          <w:tcPr>
            <w:tcW w:w="84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43" w:right="0"/>
              <w:jc w:val="left"/>
              <w:rPr>
                <w:rFonts w:ascii="宋体" w:hAnsi="宋体" w:cs="宋体" w:eastAsia="宋体" w:hint="default"/>
                <w:sz w:val="13"/>
                <w:szCs w:val="13"/>
              </w:rPr>
            </w:pPr>
            <w:r>
              <w:rPr>
                <w:rFonts w:ascii="宋体" w:hAnsi="宋体" w:cs="宋体" w:eastAsia="宋体" w:hint="default"/>
                <w:b/>
                <w:bCs/>
                <w:sz w:val="13"/>
                <w:szCs w:val="13"/>
              </w:rPr>
              <w:t>本期减少</w:t>
            </w:r>
            <w:r>
              <w:rPr>
                <w:rFonts w:ascii="宋体" w:hAnsi="宋体" w:cs="宋体" w:eastAsia="宋体" w:hint="default"/>
                <w:sz w:val="13"/>
                <w:szCs w:val="13"/>
              </w:rPr>
            </w:r>
          </w:p>
        </w:tc>
        <w:tc>
          <w:tcPr>
            <w:tcW w:w="120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38" w:right="0"/>
              <w:jc w:val="left"/>
              <w:rPr>
                <w:rFonts w:ascii="宋体" w:hAnsi="宋体" w:cs="宋体" w:eastAsia="宋体" w:hint="default"/>
                <w:sz w:val="13"/>
                <w:szCs w:val="13"/>
              </w:rPr>
            </w:pPr>
            <w:r>
              <w:rPr>
                <w:rFonts w:ascii="宋体" w:hAnsi="宋体" w:cs="宋体" w:eastAsia="宋体" w:hint="default"/>
                <w:b/>
                <w:bCs/>
                <w:sz w:val="13"/>
                <w:szCs w:val="13"/>
              </w:rPr>
              <w:t>期末余额</w:t>
            </w:r>
            <w:r>
              <w:rPr>
                <w:rFonts w:ascii="宋体" w:hAnsi="宋体" w:cs="宋体" w:eastAsia="宋体" w:hint="default"/>
                <w:sz w:val="13"/>
                <w:szCs w:val="13"/>
              </w:rPr>
            </w:r>
          </w:p>
        </w:tc>
      </w:tr>
      <w:tr>
        <w:trPr>
          <w:trHeight w:val="447" w:hRule="exact"/>
        </w:trPr>
        <w:tc>
          <w:tcPr>
            <w:tcW w:w="238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Times New Roman" w:hAnsi="Times New Roman" w:cs="Times New Roman" w:eastAsia="Times New Roman" w:hint="default"/>
                <w:spacing w:val="29"/>
                <w:sz w:val="13"/>
                <w:szCs w:val="13"/>
              </w:rPr>
              <w:t> </w:t>
            </w:r>
            <w:r>
              <w:rPr>
                <w:rFonts w:ascii="宋体" w:hAnsi="宋体" w:cs="宋体" w:eastAsia="宋体" w:hint="default"/>
                <w:sz w:val="13"/>
                <w:szCs w:val="13"/>
              </w:rPr>
              <w:t>湖南天舟华文俪制传媒有限公司</w:t>
            </w:r>
          </w:p>
        </w:tc>
        <w:tc>
          <w:tcPr>
            <w:tcW w:w="93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75"/>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15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3"/>
                <w:szCs w:val="13"/>
              </w:rPr>
            </w:pPr>
            <w:r>
              <w:rPr>
                <w:rFonts w:ascii="Times New Roman"/>
                <w:spacing w:val="-1"/>
                <w:sz w:val="13"/>
              </w:rPr>
              <w:t>30,829,211.92</w:t>
            </w:r>
          </w:p>
        </w:tc>
        <w:tc>
          <w:tcPr>
            <w:tcW w:w="116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5"/>
              <w:jc w:val="right"/>
              <w:rPr>
                <w:rFonts w:ascii="Times New Roman" w:hAnsi="Times New Roman" w:cs="Times New Roman" w:eastAsia="Times New Roman" w:hint="default"/>
                <w:sz w:val="13"/>
                <w:szCs w:val="13"/>
              </w:rPr>
            </w:pPr>
            <w:r>
              <w:rPr>
                <w:rFonts w:ascii="Times New Roman"/>
                <w:spacing w:val="-1"/>
                <w:sz w:val="13"/>
              </w:rPr>
              <w:t>30,829,211.92</w:t>
            </w:r>
          </w:p>
        </w:tc>
        <w:tc>
          <w:tcPr>
            <w:tcW w:w="1104" w:type="dxa"/>
            <w:tcBorders>
              <w:top w:val="single" w:sz="4" w:space="0" w:color="000000"/>
              <w:left w:val="nil" w:sz="6" w:space="0" w:color="auto"/>
              <w:bottom w:val="nil" w:sz="6" w:space="0" w:color="auto"/>
              <w:right w:val="nil" w:sz="6" w:space="0" w:color="auto"/>
            </w:tcBorders>
          </w:tcPr>
          <w:p>
            <w:pPr/>
          </w:p>
        </w:tc>
        <w:tc>
          <w:tcPr>
            <w:tcW w:w="849" w:type="dxa"/>
            <w:tcBorders>
              <w:top w:val="single" w:sz="4" w:space="0" w:color="000000"/>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pacing w:val="-1"/>
                <w:sz w:val="13"/>
              </w:rPr>
              <w:t>30,829,211.92</w:t>
            </w:r>
          </w:p>
        </w:tc>
      </w:tr>
      <w:tr>
        <w:trPr>
          <w:trHeight w:val="400" w:hRule="exact"/>
        </w:trPr>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Times New Roman" w:hAnsi="Times New Roman" w:cs="Times New Roman" w:eastAsia="Times New Roman" w:hint="default"/>
                <w:spacing w:val="30"/>
                <w:sz w:val="13"/>
                <w:szCs w:val="13"/>
              </w:rPr>
              <w:t> </w:t>
            </w:r>
            <w:r>
              <w:rPr>
                <w:rFonts w:ascii="宋体" w:hAnsi="宋体" w:cs="宋体" w:eastAsia="宋体" w:hint="default"/>
                <w:sz w:val="13"/>
                <w:szCs w:val="13"/>
              </w:rPr>
              <w:t>怀化天舟教育有限责任公司</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75"/>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5"/>
              <w:jc w:val="right"/>
              <w:rPr>
                <w:rFonts w:ascii="Times New Roman" w:hAnsi="Times New Roman" w:cs="Times New Roman" w:eastAsia="Times New Roman" w:hint="default"/>
                <w:sz w:val="13"/>
                <w:szCs w:val="13"/>
              </w:rPr>
            </w:pPr>
            <w:r>
              <w:rPr>
                <w:rFonts w:ascii="Times New Roman"/>
                <w:sz w:val="13"/>
              </w:rPr>
              <w:t>5,692,958.55</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45"/>
              <w:jc w:val="right"/>
              <w:rPr>
                <w:rFonts w:ascii="Times New Roman" w:hAnsi="Times New Roman" w:cs="Times New Roman" w:eastAsia="Times New Roman" w:hint="default"/>
                <w:sz w:val="13"/>
                <w:szCs w:val="13"/>
              </w:rPr>
            </w:pPr>
            <w:r>
              <w:rPr>
                <w:rFonts w:ascii="Times New Roman"/>
                <w:sz w:val="13"/>
              </w:rPr>
              <w:t>5,692,958.55</w:t>
            </w:r>
          </w:p>
        </w:tc>
        <w:tc>
          <w:tcPr>
            <w:tcW w:w="1104" w:type="dxa"/>
            <w:tcBorders>
              <w:top w:val="nil" w:sz="6" w:space="0" w:color="auto"/>
              <w:left w:val="nil" w:sz="6" w:space="0" w:color="auto"/>
              <w:bottom w:val="nil" w:sz="6" w:space="0" w:color="auto"/>
              <w:right w:val="nil" w:sz="6" w:space="0" w:color="auto"/>
            </w:tcBorders>
          </w:tcPr>
          <w:p>
            <w:pPr/>
          </w:p>
        </w:tc>
        <w:tc>
          <w:tcPr>
            <w:tcW w:w="849"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5,692,958.55</w:t>
            </w:r>
          </w:p>
        </w:tc>
      </w:tr>
      <w:tr>
        <w:trPr>
          <w:trHeight w:val="401" w:hRule="exact"/>
        </w:trPr>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Times New Roman" w:hAnsi="Times New Roman" w:cs="Times New Roman" w:eastAsia="Times New Roman" w:hint="default"/>
                <w:spacing w:val="30"/>
                <w:sz w:val="13"/>
                <w:szCs w:val="13"/>
              </w:rPr>
              <w:t> </w:t>
            </w:r>
            <w:r>
              <w:rPr>
                <w:rFonts w:ascii="宋体" w:hAnsi="宋体" w:cs="宋体" w:eastAsia="宋体" w:hint="default"/>
                <w:sz w:val="13"/>
                <w:szCs w:val="13"/>
              </w:rPr>
              <w:t>北京北方天舟文化有限公司</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5"/>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5"/>
              <w:jc w:val="right"/>
              <w:rPr>
                <w:rFonts w:ascii="Times New Roman" w:hAnsi="Times New Roman" w:cs="Times New Roman" w:eastAsia="Times New Roman" w:hint="default"/>
                <w:sz w:val="13"/>
                <w:szCs w:val="13"/>
              </w:rPr>
            </w:pPr>
            <w:r>
              <w:rPr>
                <w:rFonts w:ascii="Times New Roman"/>
                <w:sz w:val="13"/>
              </w:rPr>
              <w:t>5,000,000.00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45"/>
              <w:jc w:val="right"/>
              <w:rPr>
                <w:rFonts w:ascii="Times New Roman" w:hAnsi="Times New Roman" w:cs="Times New Roman" w:eastAsia="Times New Roman" w:hint="default"/>
                <w:sz w:val="13"/>
                <w:szCs w:val="13"/>
              </w:rPr>
            </w:pPr>
            <w:r>
              <w:rPr>
                <w:rFonts w:ascii="Times New Roman"/>
                <w:sz w:val="13"/>
              </w:rPr>
              <w:t>5,000,000.00</w:t>
            </w:r>
          </w:p>
        </w:tc>
        <w:tc>
          <w:tcPr>
            <w:tcW w:w="1104" w:type="dxa"/>
            <w:tcBorders>
              <w:top w:val="nil" w:sz="6" w:space="0" w:color="auto"/>
              <w:left w:val="nil" w:sz="6" w:space="0" w:color="auto"/>
              <w:bottom w:val="nil" w:sz="6" w:space="0" w:color="auto"/>
              <w:right w:val="nil" w:sz="6" w:space="0" w:color="auto"/>
            </w:tcBorders>
          </w:tcPr>
          <w:p>
            <w:pPr/>
          </w:p>
        </w:tc>
        <w:tc>
          <w:tcPr>
            <w:tcW w:w="849"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5,000,000.00</w:t>
            </w:r>
          </w:p>
        </w:tc>
      </w:tr>
      <w:tr>
        <w:trPr>
          <w:trHeight w:val="400" w:hRule="exact"/>
        </w:trPr>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Times New Roman" w:hAnsi="Times New Roman" w:cs="Times New Roman" w:eastAsia="Times New Roman" w:hint="default"/>
                <w:spacing w:val="30"/>
                <w:sz w:val="13"/>
                <w:szCs w:val="13"/>
              </w:rPr>
              <w:t> </w:t>
            </w:r>
            <w:r>
              <w:rPr>
                <w:rFonts w:ascii="宋体" w:hAnsi="宋体" w:cs="宋体" w:eastAsia="宋体" w:hint="default"/>
                <w:sz w:val="13"/>
                <w:szCs w:val="13"/>
              </w:rPr>
              <w:t>广州天瑞文化传播有限公司</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5"/>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1,800,000.00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45"/>
              <w:jc w:val="right"/>
              <w:rPr>
                <w:rFonts w:ascii="Times New Roman" w:hAnsi="Times New Roman" w:cs="Times New Roman" w:eastAsia="Times New Roman" w:hint="default"/>
                <w:sz w:val="13"/>
                <w:szCs w:val="13"/>
              </w:rPr>
            </w:pPr>
            <w:r>
              <w:rPr>
                <w:rFonts w:ascii="Times New Roman"/>
                <w:sz w:val="13"/>
              </w:rPr>
              <w:t>1,800,000.00</w:t>
            </w:r>
          </w:p>
        </w:tc>
        <w:tc>
          <w:tcPr>
            <w:tcW w:w="1104" w:type="dxa"/>
            <w:tcBorders>
              <w:top w:val="nil" w:sz="6" w:space="0" w:color="auto"/>
              <w:left w:val="nil" w:sz="6" w:space="0" w:color="auto"/>
              <w:bottom w:val="nil" w:sz="6" w:space="0" w:color="auto"/>
              <w:right w:val="nil" w:sz="6" w:space="0" w:color="auto"/>
            </w:tcBorders>
          </w:tcPr>
          <w:p>
            <w:pPr/>
          </w:p>
        </w:tc>
        <w:tc>
          <w:tcPr>
            <w:tcW w:w="849"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1,800,000.00</w:t>
            </w:r>
          </w:p>
        </w:tc>
      </w:tr>
      <w:tr>
        <w:trPr>
          <w:trHeight w:val="400" w:hRule="exact"/>
        </w:trPr>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Times New Roman" w:hAnsi="Times New Roman" w:cs="Times New Roman" w:eastAsia="Times New Roman" w:hint="default"/>
                <w:spacing w:val="31"/>
                <w:sz w:val="13"/>
                <w:szCs w:val="13"/>
              </w:rPr>
              <w:t> </w:t>
            </w:r>
            <w:r>
              <w:rPr>
                <w:rFonts w:ascii="宋体" w:hAnsi="宋体" w:cs="宋体" w:eastAsia="宋体" w:hint="default"/>
                <w:sz w:val="13"/>
                <w:szCs w:val="13"/>
              </w:rPr>
              <w:t>浙江天舟图书有限公司</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75"/>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5"/>
              <w:jc w:val="right"/>
              <w:rPr>
                <w:rFonts w:ascii="Times New Roman" w:hAnsi="Times New Roman" w:cs="Times New Roman" w:eastAsia="Times New Roman" w:hint="default"/>
                <w:sz w:val="13"/>
                <w:szCs w:val="13"/>
              </w:rPr>
            </w:pPr>
            <w:r>
              <w:rPr>
                <w:rFonts w:ascii="Times New Roman"/>
                <w:sz w:val="13"/>
              </w:rPr>
              <w:t>3,500,000.00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45"/>
              <w:jc w:val="right"/>
              <w:rPr>
                <w:rFonts w:ascii="Times New Roman" w:hAnsi="Times New Roman" w:cs="Times New Roman" w:eastAsia="Times New Roman" w:hint="default"/>
                <w:sz w:val="13"/>
                <w:szCs w:val="13"/>
              </w:rPr>
            </w:pPr>
            <w:r>
              <w:rPr>
                <w:rFonts w:ascii="Times New Roman"/>
                <w:sz w:val="13"/>
              </w:rPr>
              <w:t>3,500,000.00</w:t>
            </w:r>
          </w:p>
        </w:tc>
        <w:tc>
          <w:tcPr>
            <w:tcW w:w="1104" w:type="dxa"/>
            <w:tcBorders>
              <w:top w:val="nil" w:sz="6" w:space="0" w:color="auto"/>
              <w:left w:val="nil" w:sz="6" w:space="0" w:color="auto"/>
              <w:bottom w:val="nil" w:sz="6" w:space="0" w:color="auto"/>
              <w:right w:val="nil" w:sz="6" w:space="0" w:color="auto"/>
            </w:tcBorders>
          </w:tcPr>
          <w:p>
            <w:pPr/>
          </w:p>
        </w:tc>
        <w:tc>
          <w:tcPr>
            <w:tcW w:w="849"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3,500,000.00</w:t>
            </w:r>
          </w:p>
        </w:tc>
      </w:tr>
      <w:tr>
        <w:trPr>
          <w:trHeight w:val="401" w:hRule="exact"/>
        </w:trPr>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Times New Roman" w:hAnsi="Times New Roman" w:cs="Times New Roman" w:eastAsia="Times New Roman" w:hint="default"/>
                <w:spacing w:val="31"/>
                <w:sz w:val="13"/>
                <w:szCs w:val="13"/>
              </w:rPr>
              <w:t> </w:t>
            </w:r>
            <w:r>
              <w:rPr>
                <w:rFonts w:ascii="宋体" w:hAnsi="宋体" w:cs="宋体" w:eastAsia="宋体" w:hint="default"/>
                <w:sz w:val="13"/>
                <w:szCs w:val="13"/>
              </w:rPr>
              <w:t>北京永载文化有限公司</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5"/>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5"/>
              <w:jc w:val="right"/>
              <w:rPr>
                <w:rFonts w:ascii="Times New Roman" w:hAnsi="Times New Roman" w:cs="Times New Roman" w:eastAsia="Times New Roman" w:hint="default"/>
                <w:sz w:val="13"/>
                <w:szCs w:val="13"/>
              </w:rPr>
            </w:pPr>
            <w:r>
              <w:rPr>
                <w:rFonts w:ascii="Times New Roman"/>
                <w:sz w:val="13"/>
              </w:rPr>
              <w:t>2,550,000.00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45"/>
              <w:jc w:val="right"/>
              <w:rPr>
                <w:rFonts w:ascii="Times New Roman" w:hAnsi="Times New Roman" w:cs="Times New Roman" w:eastAsia="Times New Roman" w:hint="default"/>
                <w:sz w:val="13"/>
                <w:szCs w:val="13"/>
              </w:rPr>
            </w:pPr>
            <w:r>
              <w:rPr>
                <w:rFonts w:ascii="Times New Roman"/>
                <w:sz w:val="13"/>
              </w:rPr>
              <w:t>2,550,000.00</w:t>
            </w:r>
          </w:p>
        </w:tc>
        <w:tc>
          <w:tcPr>
            <w:tcW w:w="1104" w:type="dxa"/>
            <w:tcBorders>
              <w:top w:val="nil" w:sz="6" w:space="0" w:color="auto"/>
              <w:left w:val="nil" w:sz="6" w:space="0" w:color="auto"/>
              <w:bottom w:val="nil" w:sz="6" w:space="0" w:color="auto"/>
              <w:right w:val="nil" w:sz="6" w:space="0" w:color="auto"/>
            </w:tcBorders>
          </w:tcPr>
          <w:p>
            <w:pPr/>
          </w:p>
        </w:tc>
        <w:tc>
          <w:tcPr>
            <w:tcW w:w="849"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2,550,000.00</w:t>
            </w:r>
          </w:p>
        </w:tc>
      </w:tr>
      <w:tr>
        <w:trPr>
          <w:trHeight w:val="404" w:hRule="exact"/>
        </w:trPr>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w:t>
            </w:r>
            <w:r>
              <w:rPr>
                <w:rFonts w:ascii="Times New Roman" w:hAnsi="Times New Roman" w:cs="Times New Roman" w:eastAsia="Times New Roman" w:hint="default"/>
                <w:spacing w:val="30"/>
                <w:sz w:val="13"/>
                <w:szCs w:val="13"/>
              </w:rPr>
              <w:t> </w:t>
            </w:r>
            <w:r>
              <w:rPr>
                <w:rFonts w:ascii="宋体" w:hAnsi="宋体" w:cs="宋体" w:eastAsia="宋体" w:hint="default"/>
                <w:sz w:val="13"/>
                <w:szCs w:val="13"/>
              </w:rPr>
              <w:t>北京神奇时代网络有限公司</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5"/>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5"/>
              <w:jc w:val="right"/>
              <w:rPr>
                <w:rFonts w:ascii="Times New Roman" w:hAnsi="Times New Roman" w:cs="Times New Roman" w:eastAsia="Times New Roman" w:hint="default"/>
                <w:sz w:val="13"/>
                <w:szCs w:val="13"/>
              </w:rPr>
            </w:pPr>
            <w:r>
              <w:rPr>
                <w:rFonts w:ascii="Times New Roman"/>
                <w:sz w:val="13"/>
              </w:rPr>
              <w:t>1,254,000,000.00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46"/>
              <w:jc w:val="right"/>
              <w:rPr>
                <w:rFonts w:ascii="Times New Roman" w:hAnsi="Times New Roman" w:cs="Times New Roman" w:eastAsia="Times New Roman" w:hint="default"/>
                <w:sz w:val="13"/>
                <w:szCs w:val="13"/>
              </w:rPr>
            </w:pPr>
            <w:r>
              <w:rPr>
                <w:rFonts w:ascii="Times New Roman"/>
                <w:sz w:val="13"/>
              </w:rPr>
              <w:t>1,254,000,000.00</w:t>
            </w:r>
          </w:p>
        </w:tc>
        <w:tc>
          <w:tcPr>
            <w:tcW w:w="1104" w:type="dxa"/>
            <w:tcBorders>
              <w:top w:val="nil" w:sz="6" w:space="0" w:color="auto"/>
              <w:left w:val="nil" w:sz="6" w:space="0" w:color="auto"/>
              <w:bottom w:val="nil" w:sz="6" w:space="0" w:color="auto"/>
              <w:right w:val="nil" w:sz="6" w:space="0" w:color="auto"/>
            </w:tcBorders>
          </w:tcPr>
          <w:p>
            <w:pPr/>
          </w:p>
        </w:tc>
        <w:tc>
          <w:tcPr>
            <w:tcW w:w="849"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1,254,000,000.00</w:t>
            </w:r>
          </w:p>
        </w:tc>
      </w:tr>
      <w:tr>
        <w:trPr>
          <w:trHeight w:val="465" w:hRule="exact"/>
        </w:trPr>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08" w:right="0"/>
              <w:jc w:val="left"/>
              <w:rPr>
                <w:rFonts w:ascii="Times New Roman" w:hAnsi="Times New Roman" w:cs="Times New Roman" w:eastAsia="Times New Roman" w:hint="default"/>
                <w:sz w:val="13"/>
                <w:szCs w:val="13"/>
              </w:rPr>
            </w:pPr>
            <w:r>
              <w:rPr>
                <w:rFonts w:ascii="Times New Roman"/>
                <w:sz w:val="13"/>
              </w:rPr>
              <w:t>8. APPNODE</w:t>
            </w:r>
            <w:r>
              <w:rPr>
                <w:rFonts w:ascii="Times New Roman"/>
                <w:spacing w:val="-14"/>
                <w:sz w:val="13"/>
              </w:rPr>
              <w:t> </w:t>
            </w:r>
            <w:r>
              <w:rPr>
                <w:rFonts w:ascii="Times New Roman"/>
                <w:spacing w:val="-2"/>
                <w:sz w:val="13"/>
              </w:rPr>
              <w:t>TANGLE</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175"/>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sz w:val="13"/>
              </w:rPr>
              <w:t>15,800.03</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48"/>
              <w:jc w:val="right"/>
              <w:rPr>
                <w:rFonts w:ascii="Times New Roman" w:hAnsi="Times New Roman" w:cs="Times New Roman" w:eastAsia="Times New Roman" w:hint="default"/>
                <w:sz w:val="13"/>
                <w:szCs w:val="13"/>
              </w:rPr>
            </w:pPr>
            <w:r>
              <w:rPr>
                <w:rFonts w:ascii="Times New Roman"/>
                <w:sz w:val="13"/>
              </w:rPr>
              <w:t>15,800.03</w:t>
            </w:r>
          </w:p>
        </w:tc>
        <w:tc>
          <w:tcPr>
            <w:tcW w:w="1104" w:type="dxa"/>
            <w:tcBorders>
              <w:top w:val="nil" w:sz="6" w:space="0" w:color="auto"/>
              <w:left w:val="nil" w:sz="6" w:space="0" w:color="auto"/>
              <w:bottom w:val="nil" w:sz="6" w:space="0" w:color="auto"/>
              <w:right w:val="nil" w:sz="6" w:space="0" w:color="auto"/>
            </w:tcBorders>
          </w:tcPr>
          <w:p>
            <w:pPr/>
          </w:p>
        </w:tc>
        <w:tc>
          <w:tcPr>
            <w:tcW w:w="849"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15,800.03</w:t>
            </w:r>
          </w:p>
        </w:tc>
      </w:tr>
      <w:tr>
        <w:trPr>
          <w:trHeight w:val="291" w:hRule="exact"/>
        </w:trPr>
        <w:tc>
          <w:tcPr>
            <w:tcW w:w="2388" w:type="dxa"/>
            <w:tcBorders>
              <w:top w:val="nil" w:sz="6" w:space="0" w:color="auto"/>
              <w:left w:val="nil" w:sz="6" w:space="0" w:color="auto"/>
              <w:bottom w:val="nil" w:sz="6" w:space="0" w:color="auto"/>
              <w:right w:val="nil" w:sz="6" w:space="0" w:color="auto"/>
            </w:tcBorders>
          </w:tcPr>
          <w:p>
            <w:pPr>
              <w:pStyle w:val="TableParagraph"/>
              <w:spacing w:line="161" w:lineRule="exact"/>
              <w:ind w:left="108" w:right="0"/>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COMPANY </w:t>
            </w:r>
            <w:r>
              <w:rPr>
                <w:rFonts w:ascii="Times New Roman" w:hAnsi="Times New Roman" w:cs="Times New Roman" w:eastAsia="Times New Roman" w:hint="default"/>
                <w:sz w:val="13"/>
                <w:szCs w:val="13"/>
              </w:rPr>
              <w:t>LIMITED</w:t>
            </w:r>
            <w:r>
              <w:rPr>
                <w:rFonts w:ascii="宋体" w:hAnsi="宋体" w:cs="宋体" w:eastAsia="宋体" w:hint="default"/>
                <w:sz w:val="13"/>
                <w:szCs w:val="13"/>
              </w:rPr>
              <w:t>（</w:t>
            </w:r>
            <w:r>
              <w:rPr>
                <w:rFonts w:ascii="Times New Roman" w:hAnsi="Times New Roman" w:cs="Times New Roman" w:eastAsia="Times New Roman" w:hint="default"/>
                <w:sz w:val="13"/>
                <w:szCs w:val="13"/>
              </w:rPr>
              <w:t>HK</w:t>
            </w:r>
            <w:r>
              <w:rPr>
                <w:rFonts w:ascii="宋体" w:hAnsi="宋体" w:cs="宋体" w:eastAsia="宋体" w:hint="default"/>
                <w:sz w:val="13"/>
                <w:szCs w:val="13"/>
              </w:rPr>
              <w:t>）</w:t>
            </w:r>
          </w:p>
        </w:tc>
        <w:tc>
          <w:tcPr>
            <w:tcW w:w="939"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849"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r>
      <w:tr>
        <w:trPr>
          <w:trHeight w:val="401" w:hRule="exact"/>
        </w:trPr>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9.</w:t>
            </w:r>
            <w:r>
              <w:rPr>
                <w:rFonts w:ascii="宋体" w:hAnsi="宋体" w:cs="宋体" w:eastAsia="宋体" w:hint="default"/>
                <w:sz w:val="13"/>
                <w:szCs w:val="13"/>
              </w:rPr>
              <w:t>北京决胜网教育科技股份有限公司</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5"/>
              <w:jc w:val="right"/>
              <w:rPr>
                <w:rFonts w:ascii="宋体" w:hAnsi="宋体" w:cs="宋体" w:eastAsia="宋体" w:hint="default"/>
                <w:sz w:val="13"/>
                <w:szCs w:val="13"/>
              </w:rPr>
            </w:pPr>
            <w:r>
              <w:rPr>
                <w:rFonts w:ascii="宋体" w:hAnsi="宋体" w:cs="宋体" w:eastAsia="宋体" w:hint="default"/>
                <w:w w:val="95"/>
                <w:sz w:val="13"/>
                <w:szCs w:val="13"/>
              </w:rPr>
              <w:t>权益法</w:t>
            </w:r>
            <w:r>
              <w:rPr>
                <w:rFonts w:ascii="宋体" w:hAnsi="宋体" w:cs="宋体" w:eastAsia="宋体" w:hint="default"/>
                <w:sz w:val="13"/>
                <w:szCs w:val="13"/>
              </w:rPr>
            </w:r>
          </w:p>
        </w:tc>
        <w:tc>
          <w:tcPr>
            <w:tcW w:w="1151"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147" w:right="0"/>
              <w:jc w:val="left"/>
              <w:rPr>
                <w:rFonts w:ascii="Times New Roman" w:hAnsi="Times New Roman" w:cs="Times New Roman" w:eastAsia="Times New Roman" w:hint="default"/>
                <w:sz w:val="13"/>
                <w:szCs w:val="13"/>
              </w:rPr>
            </w:pPr>
            <w:r>
              <w:rPr>
                <w:rFonts w:ascii="Times New Roman"/>
                <w:sz w:val="13"/>
              </w:rPr>
              <w:t>170,000,000.00</w:t>
            </w:r>
          </w:p>
        </w:tc>
        <w:tc>
          <w:tcPr>
            <w:tcW w:w="849"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170,000,000.00</w:t>
            </w:r>
          </w:p>
        </w:tc>
      </w:tr>
      <w:tr>
        <w:trPr>
          <w:trHeight w:val="369" w:hRule="exact"/>
        </w:trPr>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6"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939"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5"/>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1,303,387,970.50</w:t>
            </w:r>
            <w:r>
              <w:rPr>
                <w:rFonts w:ascii="Times New Roman"/>
                <w:sz w:val="13"/>
              </w:rPr>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46"/>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1,303,387,970.50</w:t>
            </w:r>
            <w:r>
              <w:rPr>
                <w:rFonts w:ascii="Times New Roman"/>
                <w:sz w:val="13"/>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147"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170,000,000.00</w:t>
            </w:r>
            <w:r>
              <w:rPr>
                <w:rFonts w:ascii="Times New Roman"/>
                <w:sz w:val="13"/>
              </w:rPr>
            </w:r>
          </w:p>
        </w:tc>
        <w:tc>
          <w:tcPr>
            <w:tcW w:w="849"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1.473.387.970.50</w:t>
            </w:r>
            <w:r>
              <w:rPr>
                <w:rFonts w:ascii="Times New Roman"/>
                <w:sz w:val="13"/>
              </w:rPr>
            </w:r>
          </w:p>
        </w:tc>
      </w:tr>
    </w:tbl>
    <w:p>
      <w:pPr>
        <w:spacing w:line="240" w:lineRule="auto" w:before="11"/>
        <w:rPr>
          <w:rFonts w:ascii="宋体" w:hAnsi="宋体" w:cs="宋体" w:eastAsia="宋体" w:hint="default"/>
          <w:sz w:val="22"/>
          <w:szCs w:val="22"/>
        </w:rPr>
      </w:pPr>
    </w:p>
    <w:p>
      <w:pPr>
        <w:pStyle w:val="BodyText"/>
        <w:spacing w:line="240" w:lineRule="auto" w:before="44"/>
        <w:ind w:left="600" w:right="0"/>
        <w:jc w:val="left"/>
      </w:pPr>
      <w:r>
        <w:rPr/>
        <w:t>接上表：</w:t>
      </w:r>
    </w:p>
    <w:p>
      <w:pPr>
        <w:spacing w:line="240" w:lineRule="auto" w:before="10"/>
        <w:rPr>
          <w:rFonts w:ascii="宋体" w:hAnsi="宋体" w:cs="宋体" w:eastAsia="宋体"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1616"/>
        <w:gridCol w:w="1493"/>
        <w:gridCol w:w="2410"/>
        <w:gridCol w:w="922"/>
        <w:gridCol w:w="1266"/>
        <w:gridCol w:w="1090"/>
      </w:tblGrid>
      <w:tr>
        <w:trPr>
          <w:trHeight w:val="608" w:hRule="exact"/>
        </w:trPr>
        <w:tc>
          <w:tcPr>
            <w:tcW w:w="1616" w:type="dxa"/>
            <w:tcBorders>
              <w:top w:val="nil" w:sz="6" w:space="0" w:color="auto"/>
              <w:left w:val="nil" w:sz="6" w:space="0" w:color="auto"/>
              <w:bottom w:val="single" w:sz="4" w:space="0" w:color="000000"/>
              <w:right w:val="nil" w:sz="6" w:space="0" w:color="auto"/>
            </w:tcBorders>
          </w:tcPr>
          <w:p>
            <w:pPr>
              <w:pStyle w:val="TableParagraph"/>
              <w:spacing w:line="151" w:lineRule="exact"/>
              <w:ind w:right="25"/>
              <w:jc w:val="center"/>
              <w:rPr>
                <w:rFonts w:ascii="宋体" w:hAnsi="宋体" w:cs="宋体" w:eastAsia="宋体" w:hint="default"/>
                <w:sz w:val="15"/>
                <w:szCs w:val="15"/>
              </w:rPr>
            </w:pPr>
            <w:r>
              <w:rPr>
                <w:rFonts w:ascii="宋体" w:hAnsi="宋体" w:cs="宋体" w:eastAsia="宋体" w:hint="default"/>
                <w:b/>
                <w:bCs/>
                <w:sz w:val="15"/>
                <w:szCs w:val="15"/>
              </w:rPr>
              <w:t>在被投资单位的持股</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23"/>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493" w:type="dxa"/>
            <w:tcBorders>
              <w:top w:val="nil" w:sz="6" w:space="0" w:color="auto"/>
              <w:left w:val="nil" w:sz="6" w:space="0" w:color="auto"/>
              <w:bottom w:val="single" w:sz="4" w:space="0" w:color="000000"/>
              <w:right w:val="nil" w:sz="6" w:space="0" w:color="auto"/>
            </w:tcBorders>
          </w:tcPr>
          <w:p>
            <w:pPr>
              <w:pStyle w:val="TableParagraph"/>
              <w:spacing w:line="151" w:lineRule="exact"/>
              <w:ind w:right="0"/>
              <w:jc w:val="center"/>
              <w:rPr>
                <w:rFonts w:ascii="宋体" w:hAnsi="宋体" w:cs="宋体" w:eastAsia="宋体" w:hint="default"/>
                <w:sz w:val="15"/>
                <w:szCs w:val="15"/>
              </w:rPr>
            </w:pPr>
            <w:r>
              <w:rPr>
                <w:rFonts w:ascii="宋体" w:hAnsi="宋体" w:cs="宋体" w:eastAsia="宋体" w:hint="default"/>
                <w:b/>
                <w:bCs/>
                <w:sz w:val="15"/>
                <w:szCs w:val="15"/>
              </w:rPr>
              <w:t>在被投资单位表决</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权比例（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2410" w:type="dxa"/>
            <w:tcBorders>
              <w:top w:val="nil" w:sz="6" w:space="0" w:color="auto"/>
              <w:left w:val="nil" w:sz="6" w:space="0" w:color="auto"/>
              <w:bottom w:val="single" w:sz="4" w:space="0" w:color="000000"/>
              <w:right w:val="nil" w:sz="6" w:space="0" w:color="auto"/>
            </w:tcBorders>
          </w:tcPr>
          <w:p>
            <w:pPr>
              <w:pStyle w:val="TableParagraph"/>
              <w:spacing w:line="151" w:lineRule="exact"/>
              <w:ind w:right="12"/>
              <w:jc w:val="center"/>
              <w:rPr>
                <w:rFonts w:ascii="宋体" w:hAnsi="宋体" w:cs="宋体" w:eastAsia="宋体" w:hint="default"/>
                <w:sz w:val="15"/>
                <w:szCs w:val="15"/>
              </w:rPr>
            </w:pPr>
            <w:r>
              <w:rPr>
                <w:rFonts w:ascii="宋体" w:hAnsi="宋体" w:cs="宋体" w:eastAsia="宋体" w:hint="default"/>
                <w:b/>
                <w:bCs/>
                <w:sz w:val="15"/>
                <w:szCs w:val="15"/>
              </w:rPr>
              <w:t>在被投资单位的持股比例与表决</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
              <w:jc w:val="center"/>
              <w:rPr>
                <w:rFonts w:ascii="宋体" w:hAnsi="宋体" w:cs="宋体" w:eastAsia="宋体" w:hint="default"/>
                <w:sz w:val="15"/>
                <w:szCs w:val="15"/>
              </w:rPr>
            </w:pPr>
            <w:r>
              <w:rPr>
                <w:rFonts w:ascii="宋体" w:hAnsi="宋体" w:cs="宋体" w:eastAsia="宋体" w:hint="default"/>
                <w:b/>
                <w:bCs/>
                <w:sz w:val="15"/>
                <w:szCs w:val="15"/>
              </w:rPr>
              <w:t>权比例不一致的说明</w:t>
            </w:r>
            <w:r>
              <w:rPr>
                <w:rFonts w:ascii="宋体" w:hAnsi="宋体" w:cs="宋体" w:eastAsia="宋体" w:hint="default"/>
                <w:sz w:val="15"/>
                <w:szCs w:val="15"/>
              </w:rPr>
            </w:r>
          </w:p>
        </w:tc>
        <w:tc>
          <w:tcPr>
            <w:tcW w:w="92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57" w:right="0"/>
              <w:jc w:val="left"/>
              <w:rPr>
                <w:rFonts w:ascii="宋体" w:hAnsi="宋体" w:cs="宋体" w:eastAsia="宋体" w:hint="default"/>
                <w:sz w:val="15"/>
                <w:szCs w:val="15"/>
              </w:rPr>
            </w:pPr>
            <w:r>
              <w:rPr>
                <w:rFonts w:ascii="宋体" w:hAnsi="宋体" w:cs="宋体" w:eastAsia="宋体" w:hint="default"/>
                <w:b/>
                <w:bCs/>
                <w:sz w:val="15"/>
                <w:szCs w:val="15"/>
              </w:rPr>
              <w:t>减值准备</w:t>
            </w:r>
            <w:r>
              <w:rPr>
                <w:rFonts w:ascii="宋体" w:hAnsi="宋体" w:cs="宋体" w:eastAsia="宋体" w:hint="default"/>
                <w:sz w:val="15"/>
                <w:szCs w:val="15"/>
              </w:rPr>
            </w:r>
          </w:p>
        </w:tc>
        <w:tc>
          <w:tcPr>
            <w:tcW w:w="1266" w:type="dxa"/>
            <w:tcBorders>
              <w:top w:val="nil" w:sz="6" w:space="0" w:color="auto"/>
              <w:left w:val="nil" w:sz="6" w:space="0" w:color="auto"/>
              <w:bottom w:val="single" w:sz="4" w:space="0" w:color="000000"/>
              <w:right w:val="nil" w:sz="6" w:space="0" w:color="auto"/>
            </w:tcBorders>
          </w:tcPr>
          <w:p>
            <w:pPr>
              <w:pStyle w:val="TableParagraph"/>
              <w:spacing w:line="151" w:lineRule="exact"/>
              <w:ind w:right="40"/>
              <w:jc w:val="center"/>
              <w:rPr>
                <w:rFonts w:ascii="宋体" w:hAnsi="宋体" w:cs="宋体" w:eastAsia="宋体" w:hint="default"/>
                <w:sz w:val="15"/>
                <w:szCs w:val="15"/>
              </w:rPr>
            </w:pPr>
            <w:r>
              <w:rPr>
                <w:rFonts w:ascii="宋体" w:hAnsi="宋体" w:cs="宋体" w:eastAsia="宋体" w:hint="default"/>
                <w:b/>
                <w:bCs/>
                <w:sz w:val="15"/>
                <w:szCs w:val="15"/>
              </w:rPr>
              <w:t>本期计提资产</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42"/>
              <w:jc w:val="center"/>
              <w:rPr>
                <w:rFonts w:ascii="宋体" w:hAnsi="宋体" w:cs="宋体" w:eastAsia="宋体" w:hint="default"/>
                <w:sz w:val="15"/>
                <w:szCs w:val="15"/>
              </w:rPr>
            </w:pPr>
            <w:r>
              <w:rPr>
                <w:rFonts w:ascii="宋体" w:hAnsi="宋体" w:cs="宋体" w:eastAsia="宋体" w:hint="default"/>
                <w:b/>
                <w:bCs/>
                <w:sz w:val="15"/>
                <w:szCs w:val="15"/>
              </w:rPr>
              <w:t>减值准备</w:t>
            </w:r>
            <w:r>
              <w:rPr>
                <w:rFonts w:ascii="宋体" w:hAnsi="宋体" w:cs="宋体" w:eastAsia="宋体" w:hint="default"/>
                <w:sz w:val="15"/>
                <w:szCs w:val="15"/>
              </w:rPr>
            </w:r>
          </w:p>
        </w:tc>
        <w:tc>
          <w:tcPr>
            <w:tcW w:w="109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b/>
                <w:bCs/>
                <w:sz w:val="15"/>
                <w:szCs w:val="15"/>
              </w:rPr>
              <w:t>现金红利</w:t>
            </w:r>
            <w:r>
              <w:rPr>
                <w:rFonts w:ascii="宋体" w:hAnsi="宋体" w:cs="宋体" w:eastAsia="宋体" w:hint="default"/>
                <w:sz w:val="15"/>
                <w:szCs w:val="15"/>
              </w:rPr>
            </w:r>
          </w:p>
        </w:tc>
      </w:tr>
      <w:tr>
        <w:trPr>
          <w:trHeight w:val="445" w:hRule="exact"/>
        </w:trPr>
        <w:tc>
          <w:tcPr>
            <w:tcW w:w="161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706"/>
              <w:jc w:val="right"/>
              <w:rPr>
                <w:rFonts w:ascii="Times New Roman" w:hAnsi="Times New Roman" w:cs="Times New Roman" w:eastAsia="Times New Roman" w:hint="default"/>
                <w:sz w:val="15"/>
                <w:szCs w:val="15"/>
              </w:rPr>
            </w:pPr>
            <w:r>
              <w:rPr>
                <w:rFonts w:ascii="Times New Roman"/>
                <w:spacing w:val="-1"/>
                <w:sz w:val="15"/>
              </w:rPr>
              <w:t>100</w:t>
            </w: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2410" w:type="dxa"/>
            <w:tcBorders>
              <w:top w:val="single" w:sz="4" w:space="0" w:color="000000"/>
              <w:left w:val="nil" w:sz="6" w:space="0" w:color="auto"/>
              <w:bottom w:val="nil" w:sz="6" w:space="0" w:color="auto"/>
              <w:right w:val="nil" w:sz="6" w:space="0" w:color="auto"/>
            </w:tcBorders>
          </w:tcPr>
          <w:p>
            <w:pPr/>
          </w:p>
        </w:tc>
        <w:tc>
          <w:tcPr>
            <w:tcW w:w="922" w:type="dxa"/>
            <w:tcBorders>
              <w:top w:val="single" w:sz="4" w:space="0" w:color="000000"/>
              <w:left w:val="nil" w:sz="6" w:space="0" w:color="auto"/>
              <w:bottom w:val="nil" w:sz="6" w:space="0" w:color="auto"/>
              <w:right w:val="nil" w:sz="6" w:space="0" w:color="auto"/>
            </w:tcBorders>
          </w:tcPr>
          <w:p>
            <w:pPr/>
          </w:p>
        </w:tc>
        <w:tc>
          <w:tcPr>
            <w:tcW w:w="1266" w:type="dxa"/>
            <w:tcBorders>
              <w:top w:val="single" w:sz="4" w:space="0" w:color="000000"/>
              <w:left w:val="nil" w:sz="6" w:space="0" w:color="auto"/>
              <w:bottom w:val="nil" w:sz="6" w:space="0" w:color="auto"/>
              <w:right w:val="nil" w:sz="6" w:space="0" w:color="auto"/>
            </w:tcBorders>
          </w:tcPr>
          <w:p>
            <w:pPr/>
          </w:p>
        </w:tc>
        <w:tc>
          <w:tcPr>
            <w:tcW w:w="1090" w:type="dxa"/>
            <w:tcBorders>
              <w:top w:val="single" w:sz="4" w:space="0" w:color="000000"/>
              <w:left w:val="nil" w:sz="6" w:space="0" w:color="auto"/>
              <w:bottom w:val="nil" w:sz="6" w:space="0" w:color="auto"/>
              <w:right w:val="nil" w:sz="6" w:space="0" w:color="auto"/>
            </w:tcBorders>
          </w:tcPr>
          <w:p>
            <w:pPr/>
          </w:p>
        </w:tc>
      </w:tr>
      <w:tr>
        <w:trPr>
          <w:trHeight w:val="400" w:hRule="exact"/>
        </w:trPr>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706"/>
              <w:jc w:val="right"/>
              <w:rPr>
                <w:rFonts w:ascii="Times New Roman" w:hAnsi="Times New Roman" w:cs="Times New Roman" w:eastAsia="Times New Roman" w:hint="default"/>
                <w:sz w:val="15"/>
                <w:szCs w:val="15"/>
              </w:rPr>
            </w:pPr>
            <w:r>
              <w:rPr>
                <w:rFonts w:ascii="Times New Roman"/>
                <w:spacing w:val="-1"/>
                <w:sz w:val="15"/>
              </w:rPr>
              <w:t>100</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0"/>
              <w:jc w:val="center"/>
              <w:rPr>
                <w:rFonts w:ascii="Times New Roman" w:hAnsi="Times New Roman" w:cs="Times New Roman" w:eastAsia="Times New Roman" w:hint="default"/>
                <w:sz w:val="15"/>
                <w:szCs w:val="15"/>
              </w:rPr>
            </w:pPr>
            <w:r>
              <w:rPr>
                <w:rFonts w:ascii="Times New Roman"/>
                <w:sz w:val="15"/>
              </w:rPr>
              <w:t>100</w:t>
            </w:r>
          </w:p>
        </w:tc>
        <w:tc>
          <w:tcPr>
            <w:tcW w:w="2410"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275" w:hRule="exact"/>
        </w:trPr>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706"/>
              <w:jc w:val="right"/>
              <w:rPr>
                <w:rFonts w:ascii="Times New Roman" w:hAnsi="Times New Roman" w:cs="Times New Roman" w:eastAsia="Times New Roman" w:hint="default"/>
                <w:sz w:val="15"/>
                <w:szCs w:val="15"/>
              </w:rPr>
            </w:pPr>
            <w:r>
              <w:rPr>
                <w:rFonts w:ascii="Times New Roman"/>
                <w:spacing w:val="-1"/>
                <w:sz w:val="15"/>
              </w:rPr>
              <w:t>100</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center"/>
              <w:rPr>
                <w:rFonts w:ascii="Times New Roman" w:hAnsi="Times New Roman" w:cs="Times New Roman" w:eastAsia="Times New Roman" w:hint="default"/>
                <w:sz w:val="15"/>
                <w:szCs w:val="15"/>
              </w:rPr>
            </w:pPr>
            <w:r>
              <w:rPr>
                <w:rFonts w:ascii="Times New Roman"/>
                <w:sz w:val="15"/>
              </w:rPr>
              <w:t>100</w:t>
            </w:r>
          </w:p>
        </w:tc>
        <w:tc>
          <w:tcPr>
            <w:tcW w:w="2410"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79" w:top="1480" w:bottom="1160" w:left="1560" w:right="1300"/>
        </w:sectPr>
      </w:pPr>
    </w:p>
    <w:p>
      <w:pPr>
        <w:spacing w:line="240" w:lineRule="auto" w:before="2"/>
        <w:rPr>
          <w:rFonts w:ascii="宋体" w:hAnsi="宋体" w:cs="宋体" w:eastAsia="宋体" w:hint="default"/>
          <w:sz w:val="6"/>
          <w:szCs w:val="6"/>
        </w:rPr>
      </w:pPr>
    </w:p>
    <w:tbl>
      <w:tblPr>
        <w:tblW w:w="0" w:type="auto"/>
        <w:jc w:val="left"/>
        <w:tblInd w:w="132" w:type="dxa"/>
        <w:tblLayout w:type="fixed"/>
        <w:tblCellMar>
          <w:top w:w="0" w:type="dxa"/>
          <w:left w:w="0" w:type="dxa"/>
          <w:bottom w:w="0" w:type="dxa"/>
          <w:right w:w="0" w:type="dxa"/>
        </w:tblCellMar>
        <w:tblLook w:val="01E0"/>
      </w:tblPr>
      <w:tblGrid>
        <w:gridCol w:w="1740"/>
        <w:gridCol w:w="1369"/>
        <w:gridCol w:w="2410"/>
        <w:gridCol w:w="922"/>
        <w:gridCol w:w="1266"/>
        <w:gridCol w:w="1090"/>
      </w:tblGrid>
      <w:tr>
        <w:trPr>
          <w:trHeight w:val="608" w:hRule="exact"/>
        </w:trPr>
        <w:tc>
          <w:tcPr>
            <w:tcW w:w="1740" w:type="dxa"/>
            <w:tcBorders>
              <w:top w:val="nil" w:sz="6" w:space="0" w:color="auto"/>
              <w:left w:val="nil" w:sz="6" w:space="0" w:color="auto"/>
              <w:bottom w:val="single" w:sz="4" w:space="0" w:color="000000"/>
              <w:right w:val="nil" w:sz="6" w:space="0" w:color="auto"/>
            </w:tcBorders>
          </w:tcPr>
          <w:p>
            <w:pPr>
              <w:pStyle w:val="TableParagraph"/>
              <w:spacing w:line="151" w:lineRule="exact"/>
              <w:ind w:right="149"/>
              <w:jc w:val="center"/>
              <w:rPr>
                <w:rFonts w:ascii="宋体" w:hAnsi="宋体" w:cs="宋体" w:eastAsia="宋体" w:hint="default"/>
                <w:sz w:val="15"/>
                <w:szCs w:val="15"/>
              </w:rPr>
            </w:pPr>
            <w:r>
              <w:rPr>
                <w:rFonts w:ascii="宋体" w:hAnsi="宋体" w:cs="宋体" w:eastAsia="宋体" w:hint="default"/>
                <w:b/>
                <w:bCs/>
                <w:sz w:val="15"/>
                <w:szCs w:val="15"/>
              </w:rPr>
              <w:t>在被投资单位的持股</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46"/>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369" w:type="dxa"/>
            <w:tcBorders>
              <w:top w:val="nil" w:sz="6" w:space="0" w:color="auto"/>
              <w:left w:val="nil" w:sz="6" w:space="0" w:color="auto"/>
              <w:bottom w:val="single" w:sz="4" w:space="0" w:color="000000"/>
              <w:right w:val="nil" w:sz="6" w:space="0" w:color="auto"/>
            </w:tcBorders>
          </w:tcPr>
          <w:p>
            <w:pPr>
              <w:pStyle w:val="TableParagraph"/>
              <w:spacing w:line="151" w:lineRule="exact"/>
              <w:ind w:right="121"/>
              <w:jc w:val="center"/>
              <w:rPr>
                <w:rFonts w:ascii="宋体" w:hAnsi="宋体" w:cs="宋体" w:eastAsia="宋体" w:hint="default"/>
                <w:sz w:val="15"/>
                <w:szCs w:val="15"/>
              </w:rPr>
            </w:pPr>
            <w:r>
              <w:rPr>
                <w:rFonts w:ascii="宋体" w:hAnsi="宋体" w:cs="宋体" w:eastAsia="宋体" w:hint="default"/>
                <w:b/>
                <w:bCs/>
                <w:sz w:val="15"/>
                <w:szCs w:val="15"/>
              </w:rPr>
              <w:t>在被投资单位表决</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21"/>
              <w:jc w:val="center"/>
              <w:rPr>
                <w:rFonts w:ascii="宋体" w:hAnsi="宋体" w:cs="宋体" w:eastAsia="宋体" w:hint="default"/>
                <w:sz w:val="15"/>
                <w:szCs w:val="15"/>
              </w:rPr>
            </w:pPr>
            <w:r>
              <w:rPr>
                <w:rFonts w:ascii="宋体" w:hAnsi="宋体" w:cs="宋体" w:eastAsia="宋体" w:hint="default"/>
                <w:b/>
                <w:bCs/>
                <w:sz w:val="15"/>
                <w:szCs w:val="15"/>
              </w:rPr>
              <w:t>权比例（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2410" w:type="dxa"/>
            <w:tcBorders>
              <w:top w:val="nil" w:sz="6" w:space="0" w:color="auto"/>
              <w:left w:val="nil" w:sz="6" w:space="0" w:color="auto"/>
              <w:bottom w:val="single" w:sz="4" w:space="0" w:color="000000"/>
              <w:right w:val="nil" w:sz="6" w:space="0" w:color="auto"/>
            </w:tcBorders>
          </w:tcPr>
          <w:p>
            <w:pPr>
              <w:pStyle w:val="TableParagraph"/>
              <w:spacing w:line="151" w:lineRule="exact"/>
              <w:ind w:right="12"/>
              <w:jc w:val="center"/>
              <w:rPr>
                <w:rFonts w:ascii="宋体" w:hAnsi="宋体" w:cs="宋体" w:eastAsia="宋体" w:hint="default"/>
                <w:sz w:val="15"/>
                <w:szCs w:val="15"/>
              </w:rPr>
            </w:pPr>
            <w:r>
              <w:rPr>
                <w:rFonts w:ascii="宋体" w:hAnsi="宋体" w:cs="宋体" w:eastAsia="宋体" w:hint="default"/>
                <w:b/>
                <w:bCs/>
                <w:sz w:val="15"/>
                <w:szCs w:val="15"/>
              </w:rPr>
              <w:t>在被投资单位的持股比例与表决</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
              <w:jc w:val="center"/>
              <w:rPr>
                <w:rFonts w:ascii="宋体" w:hAnsi="宋体" w:cs="宋体" w:eastAsia="宋体" w:hint="default"/>
                <w:sz w:val="15"/>
                <w:szCs w:val="15"/>
              </w:rPr>
            </w:pPr>
            <w:r>
              <w:rPr>
                <w:rFonts w:ascii="宋体" w:hAnsi="宋体" w:cs="宋体" w:eastAsia="宋体" w:hint="default"/>
                <w:b/>
                <w:bCs/>
                <w:sz w:val="15"/>
                <w:szCs w:val="15"/>
              </w:rPr>
              <w:t>权比例不一致的说明</w:t>
            </w:r>
            <w:r>
              <w:rPr>
                <w:rFonts w:ascii="宋体" w:hAnsi="宋体" w:cs="宋体" w:eastAsia="宋体" w:hint="default"/>
                <w:sz w:val="15"/>
                <w:szCs w:val="15"/>
              </w:rPr>
            </w:r>
          </w:p>
        </w:tc>
        <w:tc>
          <w:tcPr>
            <w:tcW w:w="92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57" w:right="0"/>
              <w:jc w:val="left"/>
              <w:rPr>
                <w:rFonts w:ascii="宋体" w:hAnsi="宋体" w:cs="宋体" w:eastAsia="宋体" w:hint="default"/>
                <w:sz w:val="15"/>
                <w:szCs w:val="15"/>
              </w:rPr>
            </w:pPr>
            <w:r>
              <w:rPr>
                <w:rFonts w:ascii="宋体" w:hAnsi="宋体" w:cs="宋体" w:eastAsia="宋体" w:hint="default"/>
                <w:b/>
                <w:bCs/>
                <w:sz w:val="15"/>
                <w:szCs w:val="15"/>
              </w:rPr>
              <w:t>减值准备</w:t>
            </w:r>
            <w:r>
              <w:rPr>
                <w:rFonts w:ascii="宋体" w:hAnsi="宋体" w:cs="宋体" w:eastAsia="宋体" w:hint="default"/>
                <w:sz w:val="15"/>
                <w:szCs w:val="15"/>
              </w:rPr>
            </w:r>
          </w:p>
        </w:tc>
        <w:tc>
          <w:tcPr>
            <w:tcW w:w="1266" w:type="dxa"/>
            <w:tcBorders>
              <w:top w:val="nil" w:sz="6" w:space="0" w:color="auto"/>
              <w:left w:val="nil" w:sz="6" w:space="0" w:color="auto"/>
              <w:bottom w:val="single" w:sz="4" w:space="0" w:color="000000"/>
              <w:right w:val="nil" w:sz="6" w:space="0" w:color="auto"/>
            </w:tcBorders>
          </w:tcPr>
          <w:p>
            <w:pPr>
              <w:pStyle w:val="TableParagraph"/>
              <w:spacing w:line="151" w:lineRule="exact"/>
              <w:ind w:right="40"/>
              <w:jc w:val="center"/>
              <w:rPr>
                <w:rFonts w:ascii="宋体" w:hAnsi="宋体" w:cs="宋体" w:eastAsia="宋体" w:hint="default"/>
                <w:sz w:val="15"/>
                <w:szCs w:val="15"/>
              </w:rPr>
            </w:pPr>
            <w:r>
              <w:rPr>
                <w:rFonts w:ascii="宋体" w:hAnsi="宋体" w:cs="宋体" w:eastAsia="宋体" w:hint="default"/>
                <w:b/>
                <w:bCs/>
                <w:sz w:val="15"/>
                <w:szCs w:val="15"/>
              </w:rPr>
              <w:t>本期计提资产</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42"/>
              <w:jc w:val="center"/>
              <w:rPr>
                <w:rFonts w:ascii="宋体" w:hAnsi="宋体" w:cs="宋体" w:eastAsia="宋体" w:hint="default"/>
                <w:sz w:val="15"/>
                <w:szCs w:val="15"/>
              </w:rPr>
            </w:pPr>
            <w:r>
              <w:rPr>
                <w:rFonts w:ascii="宋体" w:hAnsi="宋体" w:cs="宋体" w:eastAsia="宋体" w:hint="default"/>
                <w:b/>
                <w:bCs/>
                <w:sz w:val="15"/>
                <w:szCs w:val="15"/>
              </w:rPr>
              <w:t>减值准备</w:t>
            </w:r>
            <w:r>
              <w:rPr>
                <w:rFonts w:ascii="宋体" w:hAnsi="宋体" w:cs="宋体" w:eastAsia="宋体" w:hint="default"/>
                <w:sz w:val="15"/>
                <w:szCs w:val="15"/>
              </w:rPr>
            </w:r>
          </w:p>
        </w:tc>
        <w:tc>
          <w:tcPr>
            <w:tcW w:w="109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b/>
                <w:bCs/>
                <w:sz w:val="15"/>
                <w:szCs w:val="15"/>
              </w:rPr>
              <w:t>现金红利</w:t>
            </w:r>
            <w:r>
              <w:rPr>
                <w:rFonts w:ascii="宋体" w:hAnsi="宋体" w:cs="宋体" w:eastAsia="宋体" w:hint="default"/>
                <w:sz w:val="15"/>
                <w:szCs w:val="15"/>
              </w:rPr>
            </w:r>
          </w:p>
        </w:tc>
      </w:tr>
      <w:tr>
        <w:trPr>
          <w:trHeight w:val="445" w:hRule="exact"/>
        </w:trPr>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49"/>
              <w:jc w:val="center"/>
              <w:rPr>
                <w:rFonts w:ascii="Times New Roman" w:hAnsi="Times New Roman" w:cs="Times New Roman" w:eastAsia="Times New Roman" w:hint="default"/>
                <w:sz w:val="15"/>
                <w:szCs w:val="15"/>
              </w:rPr>
            </w:pPr>
            <w:r>
              <w:rPr>
                <w:rFonts w:ascii="Times New Roman"/>
                <w:sz w:val="15"/>
              </w:rPr>
              <w:t>60</w:t>
            </w:r>
          </w:p>
        </w:tc>
        <w:tc>
          <w:tcPr>
            <w:tcW w:w="136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18"/>
              <w:jc w:val="center"/>
              <w:rPr>
                <w:rFonts w:ascii="Times New Roman" w:hAnsi="Times New Roman" w:cs="Times New Roman" w:eastAsia="Times New Roman" w:hint="default"/>
                <w:sz w:val="15"/>
                <w:szCs w:val="15"/>
              </w:rPr>
            </w:pPr>
            <w:r>
              <w:rPr>
                <w:rFonts w:ascii="Times New Roman"/>
                <w:sz w:val="15"/>
              </w:rPr>
              <w:t>60</w:t>
            </w:r>
          </w:p>
        </w:tc>
        <w:tc>
          <w:tcPr>
            <w:tcW w:w="2410" w:type="dxa"/>
            <w:tcBorders>
              <w:top w:val="single" w:sz="4" w:space="0" w:color="000000"/>
              <w:left w:val="nil" w:sz="6" w:space="0" w:color="auto"/>
              <w:bottom w:val="nil" w:sz="6" w:space="0" w:color="auto"/>
              <w:right w:val="nil" w:sz="6" w:space="0" w:color="auto"/>
            </w:tcBorders>
          </w:tcPr>
          <w:p>
            <w:pPr/>
          </w:p>
        </w:tc>
        <w:tc>
          <w:tcPr>
            <w:tcW w:w="922" w:type="dxa"/>
            <w:tcBorders>
              <w:top w:val="single" w:sz="4" w:space="0" w:color="000000"/>
              <w:left w:val="nil" w:sz="6" w:space="0" w:color="auto"/>
              <w:bottom w:val="nil" w:sz="6" w:space="0" w:color="auto"/>
              <w:right w:val="nil" w:sz="6" w:space="0" w:color="auto"/>
            </w:tcBorders>
          </w:tcPr>
          <w:p>
            <w:pPr/>
          </w:p>
        </w:tc>
        <w:tc>
          <w:tcPr>
            <w:tcW w:w="1266" w:type="dxa"/>
            <w:tcBorders>
              <w:top w:val="single" w:sz="4" w:space="0" w:color="000000"/>
              <w:left w:val="nil" w:sz="6" w:space="0" w:color="auto"/>
              <w:bottom w:val="nil" w:sz="6" w:space="0" w:color="auto"/>
              <w:right w:val="nil" w:sz="6" w:space="0" w:color="auto"/>
            </w:tcBorders>
          </w:tcPr>
          <w:p>
            <w:pPr/>
          </w:p>
        </w:tc>
        <w:tc>
          <w:tcPr>
            <w:tcW w:w="1090" w:type="dxa"/>
            <w:tcBorders>
              <w:top w:val="single" w:sz="4" w:space="0" w:color="000000"/>
              <w:left w:val="nil" w:sz="6" w:space="0" w:color="auto"/>
              <w:bottom w:val="nil" w:sz="6" w:space="0" w:color="auto"/>
              <w:right w:val="nil" w:sz="6" w:space="0" w:color="auto"/>
            </w:tcBorders>
          </w:tcPr>
          <w:p>
            <w:pPr/>
          </w:p>
        </w:tc>
      </w:tr>
      <w:tr>
        <w:trPr>
          <w:trHeight w:val="400" w:hRule="exact"/>
        </w:trPr>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9"/>
              <w:jc w:val="center"/>
              <w:rPr>
                <w:rFonts w:ascii="Times New Roman" w:hAnsi="Times New Roman" w:cs="Times New Roman" w:eastAsia="Times New Roman" w:hint="default"/>
                <w:sz w:val="15"/>
                <w:szCs w:val="15"/>
              </w:rPr>
            </w:pPr>
            <w:r>
              <w:rPr>
                <w:rFonts w:ascii="Times New Roman"/>
                <w:sz w:val="15"/>
              </w:rPr>
              <w:t>70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18"/>
              <w:jc w:val="center"/>
              <w:rPr>
                <w:rFonts w:ascii="Times New Roman" w:hAnsi="Times New Roman" w:cs="Times New Roman" w:eastAsia="Times New Roman" w:hint="default"/>
                <w:sz w:val="15"/>
                <w:szCs w:val="15"/>
              </w:rPr>
            </w:pPr>
            <w:r>
              <w:rPr>
                <w:rFonts w:ascii="Times New Roman"/>
                <w:sz w:val="15"/>
              </w:rPr>
              <w:t>70</w:t>
            </w:r>
          </w:p>
        </w:tc>
        <w:tc>
          <w:tcPr>
            <w:tcW w:w="2410"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5"/>
              <w:jc w:val="right"/>
              <w:rPr>
                <w:rFonts w:ascii="Times New Roman" w:hAnsi="Times New Roman" w:cs="Times New Roman" w:eastAsia="Times New Roman" w:hint="default"/>
                <w:sz w:val="15"/>
                <w:szCs w:val="15"/>
              </w:rPr>
            </w:pPr>
            <w:r>
              <w:rPr>
                <w:rFonts w:ascii="Times New Roman"/>
                <w:spacing w:val="-1"/>
                <w:sz w:val="15"/>
              </w:rPr>
              <w:t>2,065,342.25</w:t>
            </w:r>
          </w:p>
        </w:tc>
        <w:tc>
          <w:tcPr>
            <w:tcW w:w="1266"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400" w:hRule="exact"/>
        </w:trPr>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9"/>
              <w:jc w:val="center"/>
              <w:rPr>
                <w:rFonts w:ascii="Times New Roman" w:hAnsi="Times New Roman" w:cs="Times New Roman" w:eastAsia="Times New Roman" w:hint="default"/>
                <w:sz w:val="15"/>
                <w:szCs w:val="15"/>
              </w:rPr>
            </w:pPr>
            <w:r>
              <w:rPr>
                <w:rFonts w:ascii="Times New Roman"/>
                <w:sz w:val="15"/>
              </w:rPr>
              <w:t>51</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8"/>
              <w:jc w:val="center"/>
              <w:rPr>
                <w:rFonts w:ascii="Times New Roman" w:hAnsi="Times New Roman" w:cs="Times New Roman" w:eastAsia="Times New Roman" w:hint="default"/>
                <w:sz w:val="15"/>
                <w:szCs w:val="15"/>
              </w:rPr>
            </w:pPr>
            <w:r>
              <w:rPr>
                <w:rFonts w:ascii="Times New Roman"/>
                <w:sz w:val="15"/>
              </w:rPr>
              <w:t>51</w:t>
            </w:r>
          </w:p>
        </w:tc>
        <w:tc>
          <w:tcPr>
            <w:tcW w:w="2410"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401" w:hRule="exact"/>
        </w:trPr>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8"/>
              <w:jc w:val="center"/>
              <w:rPr>
                <w:rFonts w:ascii="Times New Roman" w:hAnsi="Times New Roman" w:cs="Times New Roman" w:eastAsia="Times New Roman" w:hint="default"/>
                <w:sz w:val="15"/>
                <w:szCs w:val="15"/>
              </w:rPr>
            </w:pPr>
            <w:r>
              <w:rPr>
                <w:rFonts w:ascii="Times New Roman"/>
                <w:sz w:val="15"/>
              </w:rPr>
              <w:t>100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22"/>
              <w:jc w:val="center"/>
              <w:rPr>
                <w:rFonts w:ascii="Times New Roman" w:hAnsi="Times New Roman" w:cs="Times New Roman" w:eastAsia="Times New Roman" w:hint="default"/>
                <w:sz w:val="15"/>
                <w:szCs w:val="15"/>
              </w:rPr>
            </w:pPr>
            <w:r>
              <w:rPr>
                <w:rFonts w:ascii="Times New Roman"/>
                <w:sz w:val="15"/>
              </w:rPr>
              <w:t>100</w:t>
            </w:r>
          </w:p>
        </w:tc>
        <w:tc>
          <w:tcPr>
            <w:tcW w:w="2410"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400" w:hRule="exact"/>
        </w:trPr>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8"/>
              <w:jc w:val="center"/>
              <w:rPr>
                <w:rFonts w:ascii="Times New Roman" w:hAnsi="Times New Roman" w:cs="Times New Roman" w:eastAsia="Times New Roman" w:hint="default"/>
                <w:sz w:val="15"/>
                <w:szCs w:val="15"/>
              </w:rPr>
            </w:pPr>
            <w:r>
              <w:rPr>
                <w:rFonts w:ascii="Times New Roman"/>
                <w:sz w:val="15"/>
              </w:rPr>
              <w:t>100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22"/>
              <w:jc w:val="center"/>
              <w:rPr>
                <w:rFonts w:ascii="Times New Roman" w:hAnsi="Times New Roman" w:cs="Times New Roman" w:eastAsia="Times New Roman" w:hint="default"/>
                <w:sz w:val="15"/>
                <w:szCs w:val="15"/>
              </w:rPr>
            </w:pPr>
            <w:r>
              <w:rPr>
                <w:rFonts w:ascii="Times New Roman"/>
                <w:sz w:val="15"/>
              </w:rPr>
              <w:t>100</w:t>
            </w:r>
          </w:p>
        </w:tc>
        <w:tc>
          <w:tcPr>
            <w:tcW w:w="2410"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395" w:hRule="exact"/>
        </w:trPr>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8"/>
              <w:jc w:val="center"/>
              <w:rPr>
                <w:rFonts w:ascii="Times New Roman" w:hAnsi="Times New Roman" w:cs="Times New Roman" w:eastAsia="Times New Roman" w:hint="default"/>
                <w:sz w:val="15"/>
                <w:szCs w:val="15"/>
              </w:rPr>
            </w:pPr>
            <w:r>
              <w:rPr>
                <w:rFonts w:ascii="Times New Roman"/>
                <w:sz w:val="15"/>
              </w:rPr>
              <w:t>18.889</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21"/>
              <w:jc w:val="center"/>
              <w:rPr>
                <w:rFonts w:ascii="Times New Roman" w:hAnsi="Times New Roman" w:cs="Times New Roman" w:eastAsia="Times New Roman" w:hint="default"/>
                <w:sz w:val="15"/>
                <w:szCs w:val="15"/>
              </w:rPr>
            </w:pPr>
            <w:r>
              <w:rPr>
                <w:rFonts w:ascii="Times New Roman"/>
                <w:sz w:val="15"/>
              </w:rPr>
              <w:t>18.889</w:t>
            </w:r>
          </w:p>
        </w:tc>
        <w:tc>
          <w:tcPr>
            <w:tcW w:w="2410"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r>
        <w:trPr>
          <w:trHeight w:val="276" w:hRule="exact"/>
        </w:trPr>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5"/>
                <w:szCs w:val="15"/>
              </w:rPr>
            </w:pPr>
            <w:r>
              <w:rPr>
                <w:rFonts w:ascii="宋体" w:hAnsi="宋体" w:cs="宋体" w:eastAsia="宋体" w:hint="default"/>
                <w:sz w:val="15"/>
                <w:szCs w:val="15"/>
              </w:rPr>
              <w:t>合计</w:t>
            </w:r>
          </w:p>
        </w:tc>
        <w:tc>
          <w:tcPr>
            <w:tcW w:w="1369"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64"/>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2,065,342.25</w:t>
            </w:r>
            <w:r>
              <w:rPr>
                <w:rFonts w:ascii="Times New Roman"/>
                <w:sz w:val="13"/>
              </w:rPr>
            </w:r>
          </w:p>
        </w:tc>
        <w:tc>
          <w:tcPr>
            <w:tcW w:w="1266"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600" w:right="0"/>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2"/>
        </w:rPr>
        <w:t> </w:t>
      </w:r>
      <w:r>
        <w:rPr/>
        <w:t>营业收入、营业成本</w:t>
      </w:r>
    </w:p>
    <w:p>
      <w:pPr>
        <w:spacing w:line="240" w:lineRule="auto" w:before="11"/>
        <w:rPr>
          <w:rFonts w:ascii="宋体" w:hAnsi="宋体" w:cs="宋体" w:eastAsia="宋体" w:hint="default"/>
          <w:sz w:val="16"/>
          <w:szCs w:val="16"/>
        </w:rPr>
      </w:pPr>
    </w:p>
    <w:tbl>
      <w:tblPr>
        <w:tblW w:w="0" w:type="auto"/>
        <w:jc w:val="left"/>
        <w:tblInd w:w="240" w:type="dxa"/>
        <w:tblLayout w:type="fixed"/>
        <w:tblCellMar>
          <w:top w:w="0" w:type="dxa"/>
          <w:left w:w="0" w:type="dxa"/>
          <w:bottom w:w="0" w:type="dxa"/>
          <w:right w:w="0" w:type="dxa"/>
        </w:tblCellMar>
        <w:tblLook w:val="01E0"/>
      </w:tblPr>
      <w:tblGrid>
        <w:gridCol w:w="943"/>
        <w:gridCol w:w="745"/>
        <w:gridCol w:w="2173"/>
        <w:gridCol w:w="1408"/>
        <w:gridCol w:w="1972"/>
        <w:gridCol w:w="1339"/>
      </w:tblGrid>
      <w:tr>
        <w:trPr>
          <w:trHeight w:val="775" w:hRule="exact"/>
        </w:trPr>
        <w:tc>
          <w:tcPr>
            <w:tcW w:w="94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4"/>
              <w:jc w:val="right"/>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c>
        <w:tc>
          <w:tcPr>
            <w:tcW w:w="74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217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58" w:right="-7"/>
              <w:jc w:val="lef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02"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40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b/>
                <w:bCs/>
                <w:sz w:val="18"/>
                <w:szCs w:val="18"/>
              </w:rPr>
              <w:t>上期数</w:t>
            </w:r>
            <w:r>
              <w:rPr>
                <w:rFonts w:ascii="宋体" w:hAnsi="宋体" w:cs="宋体" w:eastAsia="宋体" w:hint="default"/>
                <w:sz w:val="18"/>
                <w:szCs w:val="18"/>
              </w:rPr>
            </w:r>
          </w:p>
        </w:tc>
        <w:tc>
          <w:tcPr>
            <w:tcW w:w="19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56" w:right="-7"/>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b/>
                <w:bCs/>
                <w:sz w:val="18"/>
                <w:szCs w:val="18"/>
              </w:rPr>
              <w:t>上期数</w:t>
            </w:r>
            <w:r>
              <w:rPr>
                <w:rFonts w:ascii="宋体" w:hAnsi="宋体" w:cs="宋体" w:eastAsia="宋体" w:hint="default"/>
                <w:sz w:val="18"/>
                <w:szCs w:val="18"/>
              </w:rPr>
            </w:r>
          </w:p>
        </w:tc>
      </w:tr>
      <w:tr>
        <w:trPr>
          <w:trHeight w:val="430" w:hRule="exact"/>
        </w:trPr>
        <w:tc>
          <w:tcPr>
            <w:tcW w:w="94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81"/>
              <w:jc w:val="right"/>
              <w:rPr>
                <w:rFonts w:ascii="宋体" w:hAnsi="宋体" w:cs="宋体" w:eastAsia="宋体" w:hint="default"/>
                <w:sz w:val="18"/>
                <w:szCs w:val="18"/>
              </w:rPr>
            </w:pPr>
            <w:r>
              <w:rPr>
                <w:rFonts w:ascii="宋体" w:hAnsi="宋体" w:cs="宋体" w:eastAsia="宋体" w:hint="default"/>
                <w:sz w:val="18"/>
                <w:szCs w:val="18"/>
              </w:rPr>
              <w:t>主营业务</w:t>
            </w:r>
          </w:p>
        </w:tc>
        <w:tc>
          <w:tcPr>
            <w:tcW w:w="745" w:type="dxa"/>
            <w:tcBorders>
              <w:top w:val="single" w:sz="4" w:space="0" w:color="000000"/>
              <w:left w:val="nil" w:sz="6" w:space="0" w:color="auto"/>
              <w:bottom w:val="nil" w:sz="6" w:space="0" w:color="auto"/>
              <w:right w:val="nil" w:sz="6" w:space="0" w:color="auto"/>
            </w:tcBorders>
          </w:tcPr>
          <w:p>
            <w:pPr/>
          </w:p>
        </w:tc>
        <w:tc>
          <w:tcPr>
            <w:tcW w:w="217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564"/>
              <w:jc w:val="right"/>
              <w:rPr>
                <w:rFonts w:ascii="Times New Roman" w:hAnsi="Times New Roman" w:cs="Times New Roman" w:eastAsia="Times New Roman" w:hint="default"/>
                <w:sz w:val="18"/>
                <w:szCs w:val="18"/>
              </w:rPr>
            </w:pPr>
            <w:r>
              <w:rPr>
                <w:rFonts w:ascii="Times New Roman"/>
                <w:spacing w:val="-1"/>
                <w:sz w:val="18"/>
              </w:rPr>
              <w:t>224,509,788.81</w:t>
            </w:r>
          </w:p>
        </w:tc>
        <w:tc>
          <w:tcPr>
            <w:tcW w:w="140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80"/>
              <w:jc w:val="right"/>
              <w:rPr>
                <w:rFonts w:ascii="Times New Roman" w:hAnsi="Times New Roman" w:cs="Times New Roman" w:eastAsia="Times New Roman" w:hint="default"/>
                <w:sz w:val="18"/>
                <w:szCs w:val="18"/>
              </w:rPr>
            </w:pPr>
            <w:r>
              <w:rPr>
                <w:rFonts w:ascii="Times New Roman"/>
                <w:spacing w:val="-1"/>
                <w:sz w:val="18"/>
              </w:rPr>
              <w:t>270,897,284.85</w:t>
            </w:r>
          </w:p>
        </w:tc>
        <w:tc>
          <w:tcPr>
            <w:tcW w:w="197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282" w:right="0"/>
              <w:jc w:val="left"/>
              <w:rPr>
                <w:rFonts w:ascii="Times New Roman" w:hAnsi="Times New Roman" w:cs="Times New Roman" w:eastAsia="Times New Roman" w:hint="default"/>
                <w:sz w:val="18"/>
                <w:szCs w:val="18"/>
              </w:rPr>
            </w:pPr>
            <w:r>
              <w:rPr>
                <w:rFonts w:ascii="Times New Roman"/>
                <w:sz w:val="18"/>
              </w:rPr>
              <w:t>158,141,173.83</w:t>
            </w: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0"/>
              <w:jc w:val="left"/>
              <w:rPr>
                <w:rFonts w:ascii="Times New Roman" w:hAnsi="Times New Roman" w:cs="Times New Roman" w:eastAsia="Times New Roman" w:hint="default"/>
                <w:sz w:val="18"/>
                <w:szCs w:val="18"/>
              </w:rPr>
            </w:pPr>
            <w:r>
              <w:rPr>
                <w:rFonts w:ascii="Times New Roman"/>
                <w:sz w:val="18"/>
              </w:rPr>
              <w:t>198,465,017.95</w:t>
            </w:r>
          </w:p>
        </w:tc>
      </w:tr>
      <w:tr>
        <w:trPr>
          <w:trHeight w:val="400" w:hRule="exact"/>
        </w:trPr>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81"/>
              <w:jc w:val="right"/>
              <w:rPr>
                <w:rFonts w:ascii="宋体" w:hAnsi="宋体" w:cs="宋体" w:eastAsia="宋体" w:hint="default"/>
                <w:sz w:val="18"/>
                <w:szCs w:val="18"/>
              </w:rPr>
            </w:pPr>
            <w:r>
              <w:rPr>
                <w:rFonts w:ascii="宋体" w:hAnsi="宋体" w:cs="宋体" w:eastAsia="宋体" w:hint="default"/>
                <w:sz w:val="18"/>
                <w:szCs w:val="18"/>
              </w:rPr>
              <w:t>其他业务</w:t>
            </w:r>
          </w:p>
        </w:tc>
        <w:tc>
          <w:tcPr>
            <w:tcW w:w="745" w:type="dxa"/>
            <w:tcBorders>
              <w:top w:val="nil" w:sz="6" w:space="0" w:color="auto"/>
              <w:left w:val="nil" w:sz="6" w:space="0" w:color="auto"/>
              <w:bottom w:val="nil" w:sz="6" w:space="0" w:color="auto"/>
              <w:right w:val="nil" w:sz="6" w:space="0" w:color="auto"/>
            </w:tcBorders>
          </w:tcPr>
          <w:p>
            <w:pP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64"/>
              <w:jc w:val="right"/>
              <w:rPr>
                <w:rFonts w:ascii="Times New Roman" w:hAnsi="Times New Roman" w:cs="Times New Roman" w:eastAsia="Times New Roman" w:hint="default"/>
                <w:sz w:val="18"/>
                <w:szCs w:val="18"/>
              </w:rPr>
            </w:pPr>
            <w:r>
              <w:rPr>
                <w:rFonts w:ascii="Times New Roman"/>
                <w:spacing w:val="-1"/>
                <w:sz w:val="18"/>
              </w:rPr>
              <w:t>242,859.73</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0"/>
              <w:jc w:val="right"/>
              <w:rPr>
                <w:rFonts w:ascii="Times New Roman" w:hAnsi="Times New Roman" w:cs="Times New Roman" w:eastAsia="Times New Roman" w:hint="default"/>
                <w:sz w:val="18"/>
                <w:szCs w:val="18"/>
              </w:rPr>
            </w:pPr>
            <w:r>
              <w:rPr>
                <w:rFonts w:ascii="Times New Roman"/>
                <w:spacing w:val="-1"/>
                <w:sz w:val="18"/>
              </w:rPr>
              <w:t>216,241.92</w:t>
            </w:r>
          </w:p>
        </w:tc>
        <w:tc>
          <w:tcPr>
            <w:tcW w:w="1972"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r>
      <w:tr>
        <w:trPr>
          <w:trHeight w:val="395" w:hRule="exact"/>
        </w:trPr>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4"/>
              <w:jc w:val="right"/>
              <w:rPr>
                <w:rFonts w:ascii="宋体" w:hAnsi="宋体" w:cs="宋体" w:eastAsia="宋体" w:hint="default"/>
                <w:sz w:val="18"/>
                <w:szCs w:val="18"/>
              </w:rPr>
            </w:pPr>
            <w:r>
              <w:rPr>
                <w:rFonts w:ascii="宋体" w:hAnsi="宋体" w:cs="宋体" w:eastAsia="宋体" w:hint="default"/>
                <w:sz w:val="18"/>
                <w:szCs w:val="18"/>
              </w:rPr>
              <w:t>合</w:t>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3"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6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224,752,648.54</w:t>
            </w:r>
            <w:r>
              <w:rPr>
                <w:rFonts w:ascii="Times New Roman"/>
                <w:spacing w:val="-1"/>
                <w:sz w:val="18"/>
              </w:rPr>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271,113,526.77</w:t>
            </w:r>
            <w:r>
              <w:rPr>
                <w:rFonts w:ascii="Times New Roman"/>
                <w:spacing w:val="-1"/>
                <w:sz w:val="18"/>
              </w:rPr>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8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158,141,173.83</w:t>
            </w:r>
            <w:r>
              <w:rPr>
                <w:rFonts w:ascii="Times New Roman"/>
                <w:sz w:val="18"/>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198,465,017.95</w:t>
            </w:r>
            <w:r>
              <w:rPr>
                <w:rFonts w:ascii="Times New Roman"/>
                <w:sz w:val="18"/>
              </w:rPr>
            </w:r>
          </w:p>
        </w:tc>
      </w:tr>
    </w:tbl>
    <w:p>
      <w:pPr>
        <w:spacing w:line="240" w:lineRule="auto" w:before="4"/>
        <w:rPr>
          <w:rFonts w:ascii="宋体" w:hAnsi="宋体" w:cs="宋体" w:eastAsia="宋体" w:hint="default"/>
          <w:sz w:val="22"/>
          <w:szCs w:val="22"/>
        </w:rPr>
      </w:pPr>
    </w:p>
    <w:p>
      <w:pPr>
        <w:pStyle w:val="BodyText"/>
        <w:spacing w:line="240" w:lineRule="auto" w:before="44"/>
        <w:ind w:left="600" w:right="0"/>
        <w:jc w:val="left"/>
      </w:pPr>
      <w:r>
        <w:rPr>
          <w:rFonts w:ascii="Times New Roman" w:hAnsi="Times New Roman" w:cs="Times New Roman" w:eastAsia="Times New Roman" w:hint="default"/>
        </w:rPr>
        <w:t>5. </w:t>
      </w:r>
      <w:r>
        <w:rPr>
          <w:rFonts w:ascii="Times New Roman" w:hAnsi="Times New Roman" w:cs="Times New Roman" w:eastAsia="Times New Roman" w:hint="default"/>
          <w:spacing w:val="2"/>
        </w:rPr>
        <w:t> </w:t>
      </w:r>
      <w:r>
        <w:rPr/>
        <w:t>投资收益</w:t>
      </w: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190"/>
        <w:gridCol w:w="2214"/>
        <w:gridCol w:w="2177"/>
      </w:tblGrid>
      <w:tr>
        <w:trPr>
          <w:trHeight w:val="275" w:hRule="exact"/>
        </w:trPr>
        <w:tc>
          <w:tcPr>
            <w:tcW w:w="4190" w:type="dxa"/>
            <w:tcBorders>
              <w:top w:val="nil" w:sz="6" w:space="0" w:color="auto"/>
              <w:left w:val="nil" w:sz="6" w:space="0" w:color="auto"/>
              <w:bottom w:val="single" w:sz="4" w:space="0" w:color="000000"/>
              <w:right w:val="nil" w:sz="6" w:space="0" w:color="auto"/>
            </w:tcBorders>
          </w:tcPr>
          <w:p>
            <w:pPr>
              <w:pStyle w:val="TableParagraph"/>
              <w:spacing w:line="180" w:lineRule="exact"/>
              <w:ind w:left="1216"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2214" w:type="dxa"/>
            <w:tcBorders>
              <w:top w:val="nil" w:sz="6" w:space="0" w:color="auto"/>
              <w:left w:val="nil" w:sz="6" w:space="0" w:color="auto"/>
              <w:bottom w:val="single" w:sz="4" w:space="0" w:color="000000"/>
              <w:right w:val="nil" w:sz="6" w:space="0" w:color="auto"/>
            </w:tcBorders>
          </w:tcPr>
          <w:p>
            <w:pPr>
              <w:pStyle w:val="TableParagraph"/>
              <w:spacing w:line="180" w:lineRule="exact"/>
              <w:ind w:left="58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77" w:type="dxa"/>
            <w:tcBorders>
              <w:top w:val="nil" w:sz="6" w:space="0" w:color="auto"/>
              <w:left w:val="nil" w:sz="6" w:space="0" w:color="auto"/>
              <w:bottom w:val="single" w:sz="4" w:space="0" w:color="000000"/>
              <w:right w:val="nil" w:sz="6" w:space="0" w:color="auto"/>
            </w:tcBorders>
          </w:tcPr>
          <w:p>
            <w:pPr>
              <w:pStyle w:val="TableParagraph"/>
              <w:spacing w:line="180" w:lineRule="exact"/>
              <w:ind w:right="641"/>
              <w:jc w:val="right"/>
              <w:rPr>
                <w:rFonts w:ascii="宋体" w:hAnsi="宋体" w:cs="宋体" w:eastAsia="宋体" w:hint="default"/>
                <w:sz w:val="18"/>
                <w:szCs w:val="18"/>
              </w:rPr>
            </w:pPr>
            <w:r>
              <w:rPr>
                <w:rFonts w:ascii="宋体" w:hAnsi="宋体" w:cs="宋体" w:eastAsia="宋体" w:hint="default"/>
                <w:b/>
                <w:bCs/>
                <w:w w:val="95"/>
                <w:sz w:val="18"/>
                <w:szCs w:val="18"/>
              </w:rPr>
              <w:t>上期发生额</w:t>
            </w:r>
            <w:r>
              <w:rPr>
                <w:rFonts w:ascii="宋体" w:hAnsi="宋体" w:cs="宋体" w:eastAsia="宋体" w:hint="default"/>
                <w:sz w:val="18"/>
                <w:szCs w:val="18"/>
              </w:rPr>
            </w:r>
          </w:p>
        </w:tc>
      </w:tr>
      <w:tr>
        <w:trPr>
          <w:trHeight w:val="431" w:hRule="exact"/>
        </w:trPr>
        <w:tc>
          <w:tcPr>
            <w:tcW w:w="419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20"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214" w:type="dxa"/>
            <w:tcBorders>
              <w:top w:val="single" w:sz="4" w:space="0" w:color="000000"/>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614"/>
              <w:jc w:val="right"/>
              <w:rPr>
                <w:rFonts w:ascii="Times New Roman" w:hAnsi="Times New Roman" w:cs="Times New Roman" w:eastAsia="Times New Roman" w:hint="default"/>
                <w:sz w:val="18"/>
                <w:szCs w:val="18"/>
              </w:rPr>
            </w:pPr>
            <w:r>
              <w:rPr>
                <w:rFonts w:ascii="Times New Roman"/>
                <w:spacing w:val="-1"/>
                <w:sz w:val="18"/>
              </w:rPr>
              <w:t>540,000.00</w:t>
            </w:r>
          </w:p>
        </w:tc>
      </w:tr>
      <w:tr>
        <w:trPr>
          <w:trHeight w:val="401"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20"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214"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14"/>
              <w:jc w:val="right"/>
              <w:rPr>
                <w:rFonts w:ascii="Times New Roman" w:hAnsi="Times New Roman" w:cs="Times New Roman" w:eastAsia="Times New Roman" w:hint="default"/>
                <w:sz w:val="18"/>
                <w:szCs w:val="18"/>
              </w:rPr>
            </w:pPr>
            <w:r>
              <w:rPr>
                <w:rFonts w:ascii="Times New Roman"/>
                <w:spacing w:val="-1"/>
                <w:sz w:val="18"/>
              </w:rPr>
              <w:t>-24,756.64</w:t>
            </w:r>
          </w:p>
        </w:tc>
      </w:tr>
      <w:tr>
        <w:trPr>
          <w:trHeight w:val="378"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20"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214"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15"/>
              <w:jc w:val="right"/>
              <w:rPr>
                <w:rFonts w:ascii="Times New Roman" w:hAnsi="Times New Roman" w:cs="Times New Roman" w:eastAsia="Times New Roman" w:hint="default"/>
                <w:sz w:val="18"/>
                <w:szCs w:val="18"/>
              </w:rPr>
            </w:pPr>
            <w:r>
              <w:rPr>
                <w:rFonts w:ascii="Times New Roman"/>
                <w:spacing w:val="-1"/>
                <w:sz w:val="18"/>
              </w:rPr>
              <w:t>-650,183.46</w:t>
            </w:r>
          </w:p>
        </w:tc>
      </w:tr>
      <w:tr>
        <w:trPr>
          <w:trHeight w:val="400"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20" w:right="0"/>
              <w:jc w:val="left"/>
              <w:rPr>
                <w:rFonts w:ascii="宋体" w:hAnsi="宋体" w:cs="宋体" w:eastAsia="宋体" w:hint="default"/>
                <w:sz w:val="18"/>
                <w:szCs w:val="18"/>
              </w:rPr>
            </w:pPr>
            <w:r>
              <w:rPr>
                <w:rFonts w:ascii="宋体" w:hAnsi="宋体" w:cs="宋体" w:eastAsia="宋体" w:hint="default"/>
                <w:sz w:val="18"/>
                <w:szCs w:val="18"/>
              </w:rPr>
              <w:t>持有可供出售金融资产期间取得的投资收益</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25"/>
              <w:jc w:val="right"/>
              <w:rPr>
                <w:rFonts w:ascii="Times New Roman" w:hAnsi="Times New Roman" w:cs="Times New Roman" w:eastAsia="Times New Roman" w:hint="default"/>
                <w:sz w:val="18"/>
                <w:szCs w:val="18"/>
              </w:rPr>
            </w:pPr>
            <w:r>
              <w:rPr>
                <w:rFonts w:ascii="Times New Roman"/>
                <w:spacing w:val="-1"/>
                <w:sz w:val="18"/>
              </w:rPr>
              <w:t>231,992.94</w:t>
            </w:r>
          </w:p>
        </w:tc>
        <w:tc>
          <w:tcPr>
            <w:tcW w:w="2177" w:type="dxa"/>
            <w:tcBorders>
              <w:top w:val="nil" w:sz="6" w:space="0" w:color="auto"/>
              <w:left w:val="nil" w:sz="6" w:space="0" w:color="auto"/>
              <w:bottom w:val="nil" w:sz="6" w:space="0" w:color="auto"/>
              <w:right w:val="nil" w:sz="6" w:space="0" w:color="auto"/>
            </w:tcBorders>
          </w:tcPr>
          <w:p>
            <w:pPr/>
          </w:p>
        </w:tc>
      </w:tr>
      <w:tr>
        <w:trPr>
          <w:trHeight w:val="401"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20"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548" w:right="0"/>
              <w:jc w:val="left"/>
              <w:rPr>
                <w:rFonts w:ascii="Times New Roman" w:hAnsi="Times New Roman" w:cs="Times New Roman" w:eastAsia="Times New Roman" w:hint="default"/>
                <w:sz w:val="18"/>
                <w:szCs w:val="18"/>
              </w:rPr>
            </w:pPr>
            <w:r>
              <w:rPr>
                <w:rFonts w:ascii="Times New Roman"/>
                <w:sz w:val="18"/>
              </w:rPr>
              <w:t>23,967,846.25</w:t>
            </w:r>
          </w:p>
        </w:tc>
        <w:tc>
          <w:tcPr>
            <w:tcW w:w="2177" w:type="dxa"/>
            <w:tcBorders>
              <w:top w:val="nil" w:sz="6" w:space="0" w:color="auto"/>
              <w:left w:val="nil" w:sz="6" w:space="0" w:color="auto"/>
              <w:bottom w:val="nil" w:sz="6" w:space="0" w:color="auto"/>
              <w:right w:val="nil" w:sz="6" w:space="0" w:color="auto"/>
            </w:tcBorders>
          </w:tcPr>
          <w:p>
            <w:pPr/>
          </w:p>
        </w:tc>
      </w:tr>
      <w:tr>
        <w:trPr>
          <w:trHeight w:val="421"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626"/>
              <w:jc w:val="right"/>
              <w:rPr>
                <w:rFonts w:ascii="Times New Roman" w:hAnsi="Times New Roman" w:cs="Times New Roman" w:eastAsia="Times New Roman" w:hint="default"/>
                <w:sz w:val="18"/>
                <w:szCs w:val="18"/>
              </w:rPr>
            </w:pPr>
            <w:r>
              <w:rPr>
                <w:rFonts w:ascii="Times New Roman"/>
                <w:spacing w:val="-1"/>
                <w:sz w:val="18"/>
              </w:rPr>
              <w:t>890,589.04</w:t>
            </w:r>
          </w:p>
        </w:tc>
        <w:tc>
          <w:tcPr>
            <w:tcW w:w="2177" w:type="dxa"/>
            <w:tcBorders>
              <w:top w:val="nil" w:sz="6" w:space="0" w:color="auto"/>
              <w:left w:val="nil" w:sz="6" w:space="0" w:color="auto"/>
              <w:bottom w:val="nil" w:sz="6" w:space="0" w:color="auto"/>
              <w:right w:val="nil" w:sz="6" w:space="0" w:color="auto"/>
            </w:tcBorders>
          </w:tcPr>
          <w:p>
            <w:pPr/>
          </w:p>
        </w:tc>
      </w:tr>
      <w:tr>
        <w:trPr>
          <w:trHeight w:val="294"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7"/>
              <w:jc w:val="center"/>
              <w:rPr>
                <w:rFonts w:ascii="宋体" w:hAnsi="宋体" w:cs="宋体" w:eastAsia="宋体" w:hint="default"/>
                <w:sz w:val="18"/>
                <w:szCs w:val="18"/>
              </w:rPr>
            </w:pPr>
            <w:r>
              <w:rPr>
                <w:rFonts w:ascii="宋体" w:hAnsi="宋体" w:cs="宋体" w:eastAsia="宋体" w:hint="default"/>
                <w:sz w:val="18"/>
                <w:szCs w:val="18"/>
              </w:rPr>
              <w:t>合计</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4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25,090,428.23</w:t>
            </w:r>
            <w:r>
              <w:rPr>
                <w:rFonts w:ascii="Times New Roman"/>
                <w:sz w:val="18"/>
              </w:rPr>
            </w: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15"/>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-134,940.10</w:t>
            </w:r>
            <w:r>
              <w:rPr>
                <w:rFonts w:ascii="Times New Roman"/>
                <w:spacing w:val="-1"/>
                <w:sz w:val="18"/>
              </w:rPr>
            </w:r>
          </w:p>
        </w:tc>
      </w:tr>
    </w:tbl>
    <w:p>
      <w:pPr>
        <w:spacing w:line="240" w:lineRule="auto" w:before="12"/>
        <w:rPr>
          <w:rFonts w:ascii="宋体" w:hAnsi="宋体" w:cs="宋体" w:eastAsia="宋体" w:hint="default"/>
          <w:sz w:val="29"/>
          <w:szCs w:val="29"/>
        </w:rPr>
      </w:pPr>
    </w:p>
    <w:p>
      <w:pPr>
        <w:pStyle w:val="BodyText"/>
        <w:spacing w:line="240" w:lineRule="auto" w:before="44"/>
        <w:ind w:left="600" w:right="0"/>
        <w:jc w:val="left"/>
      </w:pPr>
      <w:r>
        <w:rPr/>
        <w:t>注</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按权益法核算的长期股权投资按投资投资单位分项列示投资收益</w:t>
      </w:r>
    </w:p>
    <w:p>
      <w:pPr>
        <w:spacing w:line="240" w:lineRule="auto" w:before="8"/>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3472"/>
        <w:gridCol w:w="1413"/>
        <w:gridCol w:w="1403"/>
        <w:gridCol w:w="2509"/>
      </w:tblGrid>
      <w:tr>
        <w:trPr>
          <w:trHeight w:val="277" w:hRule="exact"/>
        </w:trPr>
        <w:tc>
          <w:tcPr>
            <w:tcW w:w="3472" w:type="dxa"/>
            <w:tcBorders>
              <w:top w:val="nil" w:sz="6" w:space="0" w:color="auto"/>
              <w:left w:val="nil" w:sz="6" w:space="0" w:color="auto"/>
              <w:bottom w:val="single" w:sz="8" w:space="0" w:color="000000"/>
              <w:right w:val="nil" w:sz="6" w:space="0" w:color="auto"/>
            </w:tcBorders>
          </w:tcPr>
          <w:p>
            <w:pPr>
              <w:pStyle w:val="TableParagraph"/>
              <w:spacing w:line="180" w:lineRule="exact"/>
              <w:ind w:right="81"/>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413" w:type="dxa"/>
            <w:tcBorders>
              <w:top w:val="nil" w:sz="6" w:space="0" w:color="auto"/>
              <w:left w:val="nil" w:sz="6" w:space="0" w:color="auto"/>
              <w:bottom w:val="single" w:sz="8" w:space="0" w:color="000000"/>
              <w:right w:val="nil" w:sz="6" w:space="0" w:color="auto"/>
            </w:tcBorders>
          </w:tcPr>
          <w:p>
            <w:pPr>
              <w:pStyle w:val="TableParagraph"/>
              <w:spacing w:line="180" w:lineRule="exact"/>
              <w:ind w:left="30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03" w:type="dxa"/>
            <w:tcBorders>
              <w:top w:val="nil" w:sz="6" w:space="0" w:color="auto"/>
              <w:left w:val="nil" w:sz="6" w:space="0" w:color="auto"/>
              <w:bottom w:val="single" w:sz="8" w:space="0" w:color="000000"/>
              <w:right w:val="nil" w:sz="6" w:space="0" w:color="auto"/>
            </w:tcBorders>
          </w:tcPr>
          <w:p>
            <w:pPr>
              <w:pStyle w:val="TableParagraph"/>
              <w:spacing w:line="180" w:lineRule="exact"/>
              <w:ind w:left="386"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2509" w:type="dxa"/>
            <w:tcBorders>
              <w:top w:val="nil" w:sz="6" w:space="0" w:color="auto"/>
              <w:left w:val="nil" w:sz="6" w:space="0" w:color="auto"/>
              <w:bottom w:val="single" w:sz="8" w:space="0" w:color="000000"/>
              <w:right w:val="nil" w:sz="6" w:space="0" w:color="auto"/>
            </w:tcBorders>
          </w:tcPr>
          <w:p>
            <w:pPr>
              <w:pStyle w:val="TableParagraph"/>
              <w:spacing w:line="180" w:lineRule="exact"/>
              <w:ind w:left="88" w:right="0"/>
              <w:jc w:val="center"/>
              <w:rPr>
                <w:rFonts w:ascii="宋体" w:hAnsi="宋体" w:cs="宋体" w:eastAsia="宋体" w:hint="default"/>
                <w:sz w:val="18"/>
                <w:szCs w:val="18"/>
              </w:rPr>
            </w:pPr>
            <w:r>
              <w:rPr>
                <w:rFonts w:ascii="宋体" w:hAnsi="宋体" w:cs="宋体" w:eastAsia="宋体" w:hint="default"/>
                <w:b/>
                <w:bCs/>
                <w:sz w:val="18"/>
                <w:szCs w:val="18"/>
              </w:rPr>
              <w:t>本期比上期增减变动的原因</w:t>
            </w:r>
            <w:r>
              <w:rPr>
                <w:rFonts w:ascii="宋体" w:hAnsi="宋体" w:cs="宋体" w:eastAsia="宋体" w:hint="default"/>
                <w:sz w:val="18"/>
                <w:szCs w:val="18"/>
              </w:rPr>
            </w:r>
          </w:p>
        </w:tc>
      </w:tr>
      <w:tr>
        <w:trPr>
          <w:trHeight w:val="437" w:hRule="exact"/>
        </w:trPr>
        <w:tc>
          <w:tcPr>
            <w:tcW w:w="3472"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93"/>
              <w:jc w:val="center"/>
              <w:rPr>
                <w:rFonts w:ascii="宋体" w:hAnsi="宋体" w:cs="宋体" w:eastAsia="宋体" w:hint="default"/>
                <w:sz w:val="18"/>
                <w:szCs w:val="18"/>
              </w:rPr>
            </w:pPr>
            <w:r>
              <w:rPr>
                <w:rFonts w:ascii="宋体" w:hAnsi="宋体" w:cs="宋体" w:eastAsia="宋体" w:hint="default"/>
                <w:sz w:val="18"/>
                <w:szCs w:val="18"/>
              </w:rPr>
              <w:t>江苏凤凰天舟新媒体发展有限责任公司</w:t>
            </w:r>
          </w:p>
        </w:tc>
        <w:tc>
          <w:tcPr>
            <w:tcW w:w="1413" w:type="dxa"/>
            <w:tcBorders>
              <w:top w:val="single" w:sz="8" w:space="0" w:color="000000"/>
              <w:left w:val="nil" w:sz="6" w:space="0" w:color="auto"/>
              <w:bottom w:val="nil" w:sz="6" w:space="0" w:color="auto"/>
              <w:right w:val="nil" w:sz="6" w:space="0" w:color="auto"/>
            </w:tcBorders>
          </w:tcPr>
          <w:p>
            <w:pPr/>
          </w:p>
        </w:tc>
        <w:tc>
          <w:tcPr>
            <w:tcW w:w="1403" w:type="dxa"/>
            <w:tcBorders>
              <w:top w:val="single" w:sz="8" w:space="0" w:color="000000"/>
              <w:left w:val="nil" w:sz="6" w:space="0" w:color="auto"/>
              <w:bottom w:val="nil" w:sz="6" w:space="0" w:color="auto"/>
              <w:right w:val="nil" w:sz="6" w:space="0" w:color="auto"/>
            </w:tcBorders>
          </w:tcPr>
          <w:p>
            <w:pPr>
              <w:pStyle w:val="TableParagraph"/>
              <w:spacing w:line="240" w:lineRule="auto" w:before="120"/>
              <w:ind w:left="408" w:right="0"/>
              <w:jc w:val="left"/>
              <w:rPr>
                <w:rFonts w:ascii="Times New Roman" w:hAnsi="Times New Roman" w:cs="Times New Roman" w:eastAsia="Times New Roman" w:hint="default"/>
                <w:sz w:val="18"/>
                <w:szCs w:val="18"/>
              </w:rPr>
            </w:pPr>
            <w:r>
              <w:rPr>
                <w:rFonts w:ascii="Times New Roman"/>
                <w:sz w:val="18"/>
              </w:rPr>
              <w:t>-24,756.64</w:t>
            </w:r>
          </w:p>
        </w:tc>
        <w:tc>
          <w:tcPr>
            <w:tcW w:w="2509"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91" w:right="0"/>
              <w:jc w:val="center"/>
              <w:rPr>
                <w:rFonts w:ascii="宋体" w:hAnsi="宋体" w:cs="宋体" w:eastAsia="宋体" w:hint="default"/>
                <w:sz w:val="18"/>
                <w:szCs w:val="18"/>
              </w:rPr>
            </w:pPr>
            <w:r>
              <w:rPr>
                <w:rFonts w:ascii="宋体" w:hAnsi="宋体" w:cs="宋体" w:eastAsia="宋体" w:hint="default"/>
                <w:sz w:val="18"/>
                <w:szCs w:val="18"/>
              </w:rPr>
              <w:t>上期已处置转让该项投资</w:t>
            </w:r>
          </w:p>
        </w:tc>
      </w:tr>
      <w:tr>
        <w:trPr>
          <w:trHeight w:val="294" w:hRule="exact"/>
        </w:trPr>
        <w:tc>
          <w:tcPr>
            <w:tcW w:w="347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8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3"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08"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-24,756.64</w:t>
            </w:r>
            <w:r>
              <w:rPr>
                <w:rFonts w:ascii="Times New Roman"/>
                <w:sz w:val="18"/>
              </w:rPr>
            </w:r>
          </w:p>
        </w:tc>
        <w:tc>
          <w:tcPr>
            <w:tcW w:w="2509"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28"/>
          <w:szCs w:val="28"/>
        </w:rPr>
      </w:pPr>
    </w:p>
    <w:p>
      <w:pPr>
        <w:pStyle w:val="Heading3"/>
        <w:spacing w:line="240" w:lineRule="auto" w:before="26"/>
        <w:ind w:left="240" w:right="0"/>
        <w:jc w:val="left"/>
        <w:rPr>
          <w:rFonts w:ascii="黑体" w:hAnsi="黑体" w:cs="黑体" w:eastAsia="黑体" w:hint="default"/>
          <w:b w:val="0"/>
          <w:bCs w:val="0"/>
        </w:rPr>
      </w:pPr>
      <w:r>
        <w:rPr>
          <w:rFonts w:ascii="黑体" w:hAnsi="黑体" w:cs="黑体" w:eastAsia="黑体" w:hint="default"/>
        </w:rPr>
        <w:t>十七、补充资料</w:t>
      </w:r>
      <w:r>
        <w:rPr>
          <w:rFonts w:ascii="黑体" w:hAnsi="黑体" w:cs="黑体" w:eastAsia="黑体" w:hint="default"/>
          <w:b w:val="0"/>
          <w:bCs w:val="0"/>
        </w:rPr>
      </w:r>
    </w:p>
    <w:p>
      <w:pPr>
        <w:spacing w:line="240" w:lineRule="auto" w:before="10"/>
        <w:rPr>
          <w:rFonts w:ascii="黑体" w:hAnsi="黑体" w:cs="黑体" w:eastAsia="黑体" w:hint="default"/>
          <w:b/>
          <w:bCs/>
          <w:sz w:val="32"/>
          <w:szCs w:val="32"/>
        </w:rPr>
      </w:pPr>
    </w:p>
    <w:p>
      <w:pPr>
        <w:pStyle w:val="BodyText"/>
        <w:tabs>
          <w:tab w:pos="1020" w:val="left" w:leader="none"/>
        </w:tabs>
        <w:spacing w:line="240" w:lineRule="auto"/>
        <w:ind w:left="660" w:right="0"/>
        <w:jc w:val="left"/>
      </w:pPr>
      <w:r>
        <w:rPr>
          <w:rFonts w:ascii="Times New Roman" w:hAnsi="Times New Roman" w:cs="Times New Roman" w:eastAsia="Times New Roman" w:hint="default"/>
        </w:rPr>
        <w:t>1.</w:t>
        <w:tab/>
      </w:r>
      <w:r>
        <w:rPr/>
        <w:t>净资产收益率和每股收益</w:t>
      </w:r>
    </w:p>
    <w:p>
      <w:pPr>
        <w:spacing w:after="0" w:line="240" w:lineRule="auto"/>
        <w:jc w:val="left"/>
        <w:sectPr>
          <w:pgSz w:w="11910" w:h="16840"/>
          <w:pgMar w:header="0" w:footer="979" w:top="1500" w:bottom="1160" w:left="1560" w:right="1300"/>
        </w:sectPr>
      </w:pPr>
    </w:p>
    <w:p>
      <w:pPr>
        <w:spacing w:line="240" w:lineRule="auto" w:before="7"/>
        <w:rPr>
          <w:rFonts w:ascii="宋体" w:hAnsi="宋体" w:cs="宋体" w:eastAsia="宋体" w:hint="default"/>
          <w:sz w:val="16"/>
          <w:szCs w:val="16"/>
        </w:rPr>
      </w:pPr>
    </w:p>
    <w:p>
      <w:pPr>
        <w:pStyle w:val="Heading8"/>
        <w:tabs>
          <w:tab w:pos="3334" w:val="left" w:leader="none"/>
        </w:tabs>
        <w:spacing w:line="240" w:lineRule="auto"/>
        <w:ind w:left="1135" w:right="-20"/>
        <w:jc w:val="left"/>
        <w:rPr>
          <w:b w:val="0"/>
          <w:bCs w:val="0"/>
        </w:rPr>
      </w:pPr>
      <w:r>
        <w:rPr>
          <w:w w:val="95"/>
        </w:rPr>
        <w:t>报告期利润</w:t>
        <w:tab/>
      </w:r>
      <w:r>
        <w:rPr/>
        <w:t>加权平均净资产收益率</w:t>
      </w:r>
      <w:r>
        <w:rPr>
          <w:b w:val="0"/>
          <w:bCs w:val="0"/>
        </w:rPr>
      </w:r>
    </w:p>
    <w:p>
      <w:pPr>
        <w:pStyle w:val="Heading8"/>
        <w:spacing w:line="240" w:lineRule="auto" w:before="17"/>
        <w:ind w:right="17"/>
        <w:jc w:val="center"/>
        <w:rPr>
          <w:b w:val="0"/>
          <w:bCs w:val="0"/>
        </w:rPr>
      </w:pPr>
      <w:r>
        <w:rPr>
          <w:b w:val="0"/>
          <w:bCs w:val="0"/>
        </w:rPr>
        <w:br w:type="column"/>
      </w:r>
      <w:r>
        <w:rPr/>
        <w:t>每股收益</w:t>
      </w:r>
      <w:r>
        <w:rPr>
          <w:b w:val="0"/>
          <w:bCs w:val="0"/>
        </w:rPr>
      </w:r>
    </w:p>
    <w:p>
      <w:pPr>
        <w:spacing w:line="240" w:lineRule="auto" w:before="8"/>
        <w:rPr>
          <w:rFonts w:ascii="宋体" w:hAnsi="宋体" w:cs="宋体" w:eastAsia="宋体" w:hint="default"/>
          <w:b/>
          <w:bCs/>
          <w:sz w:val="12"/>
          <w:szCs w:val="12"/>
        </w:rPr>
      </w:pPr>
    </w:p>
    <w:p>
      <w:pPr>
        <w:pStyle w:val="Heading8"/>
        <w:tabs>
          <w:tab w:pos="1745" w:val="left" w:leader="none"/>
        </w:tabs>
        <w:spacing w:line="240" w:lineRule="auto"/>
        <w:ind w:right="12"/>
        <w:jc w:val="center"/>
        <w:rPr>
          <w:b w:val="0"/>
          <w:bCs w:val="0"/>
        </w:rPr>
      </w:pPr>
      <w:r>
        <w:rPr>
          <w:w w:val="95"/>
        </w:rPr>
        <w:t>基本每股收益</w:t>
        <w:tab/>
      </w:r>
      <w:r>
        <w:rPr/>
        <w:t>稀释每股收益</w:t>
      </w:r>
      <w:r>
        <w:rPr>
          <w:b w:val="0"/>
          <w:bCs w:val="0"/>
        </w:rPr>
      </w:r>
    </w:p>
    <w:p>
      <w:pPr>
        <w:spacing w:after="0" w:line="240" w:lineRule="auto"/>
        <w:jc w:val="center"/>
        <w:sectPr>
          <w:pgSz w:w="11910" w:h="16840"/>
          <w:pgMar w:header="0" w:footer="979" w:top="1480" w:bottom="1160" w:left="1440" w:right="1300"/>
          <w:cols w:num="2" w:equalWidth="0">
            <w:col w:w="5142" w:space="40"/>
            <w:col w:w="3988"/>
          </w:cols>
        </w:sectPr>
      </w:pPr>
    </w:p>
    <w:p>
      <w:pPr>
        <w:spacing w:line="240" w:lineRule="auto" w:before="9"/>
        <w:rPr>
          <w:rFonts w:ascii="宋体" w:hAnsi="宋体" w:cs="宋体" w:eastAsia="宋体" w:hint="default"/>
          <w:b/>
          <w:bCs/>
          <w:sz w:val="6"/>
          <w:szCs w:val="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40.35pt;height:.5pt;mso-position-horizontal-relative:char;mso-position-vertical-relative:line" coordorigin="0,0" coordsize="8807,10">
            <v:group style="position:absolute;left:5;top:5;width:2943;height:2" coordorigin="5,5" coordsize="2943,2">
              <v:shape style="position:absolute;left:5;top:5;width:2943;height:2" coordorigin="5,5" coordsize="2943,0" path="m5,5l2948,5e" filled="false" stroked="true" strokeweight=".48pt" strokecolor="#000000">
                <v:path arrowok="t"/>
              </v:shape>
            </v:group>
            <v:group style="position:absolute;left:2948;top:5;width:10;height:2" coordorigin="2948,5" coordsize="10,2">
              <v:shape style="position:absolute;left:2948;top:5;width:10;height:2" coordorigin="2948,5" coordsize="10,0" path="m2948,5l2957,5e" filled="false" stroked="true" strokeweight=".48pt" strokecolor="#000000">
                <v:path arrowok="t"/>
              </v:shape>
            </v:group>
            <v:group style="position:absolute;left:2957;top:5;width:2353;height:2" coordorigin="2957,5" coordsize="2353,2">
              <v:shape style="position:absolute;left:2957;top:5;width:2353;height:2" coordorigin="2957,5" coordsize="2353,0" path="m2957,5l5310,5e" filled="false" stroked="true" strokeweight=".48pt" strokecolor="#000000">
                <v:path arrowok="t"/>
              </v:shape>
            </v:group>
            <v:group style="position:absolute;left:5310;top:5;width:10;height:2" coordorigin="5310,5" coordsize="10,2">
              <v:shape style="position:absolute;left:5310;top:5;width:10;height:2" coordorigin="5310,5" coordsize="10,0" path="m5310,5l5319,5e" filled="false" stroked="true" strokeweight=".48pt" strokecolor="#000000">
                <v:path arrowok="t"/>
              </v:shape>
            </v:group>
            <v:group style="position:absolute;left:5319;top:5;width:1738;height:2" coordorigin="5319,5" coordsize="1738,2">
              <v:shape style="position:absolute;left:5319;top:5;width:1738;height:2" coordorigin="5319,5" coordsize="1738,0" path="m5319,5l7057,5e" filled="false" stroked="true" strokeweight=".48pt" strokecolor="#000000">
                <v:path arrowok="t"/>
              </v:shape>
            </v:group>
            <v:group style="position:absolute;left:7057;top:5;width:10;height:2" coordorigin="7057,5" coordsize="10,2">
              <v:shape style="position:absolute;left:7057;top:5;width:10;height:2" coordorigin="7057,5" coordsize="10,0" path="m7057,5l7067,5e" filled="false" stroked="true" strokeweight=".48pt" strokecolor="#000000">
                <v:path arrowok="t"/>
              </v:shape>
            </v:group>
            <v:group style="position:absolute;left:7067;top:5;width:1736;height:2" coordorigin="7067,5" coordsize="1736,2">
              <v:shape style="position:absolute;left:7067;top:5;width:1736;height:2" coordorigin="7067,5" coordsize="1736,0" path="m7067,5l8802,5e" filled="false" stroked="true" strokeweight=".48pt" strokecolor="#000000">
                <v:path arrowok="t"/>
              </v:shape>
            </v:group>
          </v:group>
        </w:pict>
      </w:r>
      <w:r>
        <w:rPr>
          <w:rFonts w:ascii="宋体" w:hAnsi="宋体" w:cs="宋体" w:eastAsia="宋体" w:hint="default"/>
          <w:sz w:val="2"/>
          <w:szCs w:val="2"/>
        </w:rPr>
      </w:r>
    </w:p>
    <w:p>
      <w:pPr>
        <w:pStyle w:val="BodyText"/>
        <w:tabs>
          <w:tab w:pos="4006" w:val="left" w:leader="none"/>
          <w:tab w:pos="6135" w:val="left" w:leader="none"/>
          <w:tab w:pos="8196" w:val="right" w:leader="none"/>
        </w:tabs>
        <w:spacing w:line="240" w:lineRule="auto" w:before="67"/>
        <w:ind w:left="223" w:right="0"/>
        <w:jc w:val="left"/>
        <w:rPr>
          <w:rFonts w:ascii="Times New Roman" w:hAnsi="Times New Roman" w:cs="Times New Roman" w:eastAsia="Times New Roman" w:hint="default"/>
        </w:rPr>
      </w:pPr>
      <w:r>
        <w:rPr/>
        <w:t>归属于公司普通股股东的净利润</w:t>
        <w:tab/>
      </w:r>
      <w:r>
        <w:rPr>
          <w:rFonts w:ascii="Times New Roman" w:hAnsi="Times New Roman" w:cs="Times New Roman" w:eastAsia="Times New Roman" w:hint="default"/>
        </w:rPr>
        <w:t>9.54%</w:t>
        <w:tab/>
        <w:t>0.42</w:t>
        <w:tab/>
        <w:t>0.42</w:t>
      </w:r>
    </w:p>
    <w:p>
      <w:pPr>
        <w:spacing w:after="0" w:line="240" w:lineRule="auto"/>
        <w:jc w:val="left"/>
        <w:rPr>
          <w:rFonts w:ascii="Times New Roman" w:hAnsi="Times New Roman" w:cs="Times New Roman" w:eastAsia="Times New Roman" w:hint="default"/>
        </w:rPr>
        <w:sectPr>
          <w:type w:val="continuous"/>
          <w:pgSz w:w="11910" w:h="16840"/>
          <w:pgMar w:top="1580" w:bottom="1140" w:left="1440" w:right="1300"/>
        </w:sectPr>
      </w:pPr>
    </w:p>
    <w:p>
      <w:pPr>
        <w:pStyle w:val="BodyText"/>
        <w:spacing w:line="364" w:lineRule="auto" w:before="151"/>
        <w:ind w:left="223" w:right="0"/>
        <w:jc w:val="left"/>
      </w:pPr>
      <w:r>
        <w:rPr/>
        <w:t>扣除非经常性损益后归属于公司普</w:t>
      </w:r>
      <w:r>
        <w:rPr>
          <w:spacing w:val="-67"/>
        </w:rPr>
        <w:t> </w:t>
      </w:r>
      <w:r>
        <w:rPr>
          <w:spacing w:val="-67"/>
        </w:rPr>
      </w:r>
      <w:r>
        <w:rPr/>
        <w:t>通股股东的净利润</w:t>
      </w:r>
    </w:p>
    <w:p>
      <w:pPr>
        <w:pStyle w:val="BodyText"/>
        <w:tabs>
          <w:tab w:pos="2352" w:val="left" w:leader="none"/>
          <w:tab w:pos="4098" w:val="left" w:leader="none"/>
        </w:tabs>
        <w:spacing w:line="240" w:lineRule="auto" w:before="371"/>
        <w:ind w:left="223" w:right="0"/>
        <w:jc w:val="left"/>
        <w:rPr>
          <w:rFonts w:ascii="Times New Roman" w:hAnsi="Times New Roman" w:cs="Times New Roman" w:eastAsia="Times New Roman" w:hint="default"/>
        </w:rPr>
      </w:pPr>
      <w:r>
        <w:rPr/>
        <w:br w:type="column"/>
      </w:r>
      <w:r>
        <w:rPr>
          <w:rFonts w:ascii="Times New Roman"/>
        </w:rPr>
        <w:t>7.86%</w:t>
        <w:tab/>
      </w:r>
      <w:r>
        <w:rPr>
          <w:rFonts w:ascii="Times New Roman"/>
          <w:spacing w:val="-1"/>
        </w:rPr>
        <w:t>0.34</w:t>
        <w:tab/>
        <w:t>0.34</w:t>
      </w:r>
    </w:p>
    <w:p>
      <w:pPr>
        <w:spacing w:after="0" w:line="240" w:lineRule="auto"/>
        <w:jc w:val="left"/>
        <w:rPr>
          <w:rFonts w:ascii="Times New Roman" w:hAnsi="Times New Roman" w:cs="Times New Roman" w:eastAsia="Times New Roman" w:hint="default"/>
        </w:rPr>
        <w:sectPr>
          <w:type w:val="continuous"/>
          <w:pgSz w:w="11910" w:h="16840"/>
          <w:pgMar w:top="1580" w:bottom="1140" w:left="1440" w:right="1300"/>
          <w:cols w:num="2" w:equalWidth="0">
            <w:col w:w="2950" w:space="833"/>
            <w:col w:w="5387"/>
          </w:cols>
        </w:sect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5"/>
        <w:ind w:left="720" w:right="0"/>
        <w:jc w:val="left"/>
      </w:pPr>
      <w:r>
        <w:rPr/>
        <w:t>注</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计算公式如下</w:t>
      </w:r>
    </w:p>
    <w:p>
      <w:pPr>
        <w:spacing w:line="240" w:lineRule="auto" w:before="8"/>
        <w:rPr>
          <w:rFonts w:ascii="宋体" w:hAnsi="宋体" w:cs="宋体" w:eastAsia="宋体" w:hint="default"/>
          <w:sz w:val="20"/>
          <w:szCs w:val="20"/>
        </w:rPr>
      </w:pPr>
    </w:p>
    <w:p>
      <w:pPr>
        <w:pStyle w:val="BodyText"/>
        <w:spacing w:line="240" w:lineRule="auto"/>
        <w:ind w:left="720" w:right="0"/>
        <w:jc w:val="left"/>
      </w:pPr>
      <w:r>
        <w:rPr/>
        <w:t>（</w:t>
      </w:r>
      <w:r>
        <w:rPr>
          <w:rFonts w:ascii="Times New Roman" w:hAnsi="Times New Roman" w:cs="Times New Roman" w:eastAsia="Times New Roman" w:hint="default"/>
        </w:rPr>
        <w:t>1</w:t>
      </w:r>
      <w:r>
        <w:rPr/>
        <w:t>）加权平均净资产收益率</w:t>
      </w:r>
      <w:r>
        <w:rPr>
          <w:rFonts w:ascii="Times New Roman" w:hAnsi="Times New Roman" w:cs="Times New Roman" w:eastAsia="Times New Roman" w:hint="default"/>
        </w:rPr>
        <w:t>=P0/</w:t>
      </w:r>
      <w:r>
        <w:rPr/>
        <w:t>（</w:t>
      </w:r>
      <w:r>
        <w:rPr>
          <w:rFonts w:ascii="Times New Roman" w:hAnsi="Times New Roman" w:cs="Times New Roman" w:eastAsia="Times New Roman" w:hint="default"/>
        </w:rPr>
        <w:t>E0</w:t>
      </w:r>
      <w:r>
        <w:rPr/>
        <w:t>＋</w:t>
      </w:r>
      <w:r>
        <w:rPr>
          <w:rFonts w:ascii="Times New Roman" w:hAnsi="Times New Roman" w:cs="Times New Roman" w:eastAsia="Times New Roman" w:hint="default"/>
        </w:rPr>
        <w:t>NP÷2</w:t>
      </w:r>
      <w:r>
        <w:rPr/>
        <w:t>＋</w:t>
      </w:r>
      <w:r>
        <w:rPr>
          <w:rFonts w:ascii="Times New Roman" w:hAnsi="Times New Roman" w:cs="Times New Roman" w:eastAsia="Times New Roman" w:hint="default"/>
        </w:rPr>
        <w:t>Ei×Mi÷M0-</w:t>
      </w:r>
      <w:r>
        <w:rPr>
          <w:rFonts w:ascii="Times New Roman" w:hAnsi="Times New Roman" w:cs="Times New Roman" w:eastAsia="Times New Roman" w:hint="default"/>
          <w:spacing w:val="-12"/>
        </w:rPr>
        <w:t> </w:t>
      </w:r>
      <w:r>
        <w:rPr>
          <w:rFonts w:ascii="Times New Roman" w:hAnsi="Times New Roman" w:cs="Times New Roman" w:eastAsia="Times New Roman" w:hint="default"/>
        </w:rPr>
        <w:t>Ej×Mj÷M0±Ek×Mk÷M0</w:t>
      </w:r>
      <w:r>
        <w:rPr/>
        <w:t>）</w:t>
      </w:r>
    </w:p>
    <w:p>
      <w:pPr>
        <w:pStyle w:val="BodyText"/>
        <w:spacing w:line="348" w:lineRule="auto" w:before="111"/>
        <w:ind w:left="360" w:right="493" w:firstLine="359"/>
        <w:jc w:val="both"/>
      </w:pPr>
      <w:r>
        <w:rPr>
          <w:spacing w:val="-3"/>
        </w:rPr>
        <w:t>其中：</w:t>
      </w:r>
      <w:r>
        <w:rPr>
          <w:rFonts w:ascii="Times New Roman" w:hAnsi="Times New Roman" w:cs="Times New Roman" w:eastAsia="Times New Roman" w:hint="default"/>
          <w:spacing w:val="-3"/>
        </w:rPr>
        <w:t>P0</w:t>
      </w:r>
      <w:r>
        <w:rPr>
          <w:rFonts w:ascii="Times New Roman" w:hAnsi="Times New Roman" w:cs="Times New Roman" w:eastAsia="Times New Roman" w:hint="default"/>
          <w:spacing w:val="-13"/>
        </w:rPr>
        <w:t> </w:t>
      </w:r>
      <w:r>
        <w:rPr/>
        <w:t>分别对应于归属于公司普通股股东的净利润、扣除非经常性损益后归属于公司普通股股东的 净利润；</w:t>
      </w:r>
      <w:r>
        <w:rPr>
          <w:rFonts w:ascii="Times New Roman" w:hAnsi="Times New Roman" w:cs="Times New Roman" w:eastAsia="Times New Roman" w:hint="default"/>
        </w:rPr>
        <w:t>NP </w:t>
      </w:r>
      <w:r>
        <w:rPr/>
        <w:t>为归属于公司普通股股东的净利润；</w:t>
      </w:r>
      <w:r>
        <w:rPr>
          <w:rFonts w:ascii="Times New Roman" w:hAnsi="Times New Roman" w:cs="Times New Roman" w:eastAsia="Times New Roman" w:hint="default"/>
        </w:rPr>
        <w:t>E0 </w:t>
      </w:r>
      <w:r>
        <w:rPr/>
        <w:t>为归属于公司普通股股东的期初净资产；</w:t>
      </w:r>
      <w:r>
        <w:rPr>
          <w:rFonts w:ascii="Times New Roman" w:hAnsi="Times New Roman" w:cs="Times New Roman" w:eastAsia="Times New Roman" w:hint="default"/>
        </w:rPr>
        <w:t>Ei</w:t>
      </w:r>
      <w:r>
        <w:rPr>
          <w:rFonts w:ascii="Times New Roman" w:hAnsi="Times New Roman" w:cs="Times New Roman" w:eastAsia="Times New Roman" w:hint="default"/>
          <w:spacing w:val="19"/>
        </w:rPr>
        <w:t> </w:t>
      </w:r>
      <w:r>
        <w:rPr/>
        <w:t>为报告期 发行新股或债转股等新增的、归属于公司普通股股东的净资产；</w:t>
      </w:r>
      <w:r>
        <w:rPr>
          <w:rFonts w:ascii="Times New Roman" w:hAnsi="Times New Roman" w:cs="Times New Roman" w:eastAsia="Times New Roman" w:hint="default"/>
        </w:rPr>
        <w:t>Ej</w:t>
      </w:r>
      <w:r>
        <w:rPr>
          <w:rFonts w:ascii="Times New Roman" w:hAnsi="Times New Roman" w:cs="Times New Roman" w:eastAsia="Times New Roman" w:hint="default"/>
          <w:spacing w:val="1"/>
        </w:rPr>
        <w:t> </w:t>
      </w:r>
      <w:r>
        <w:rPr/>
        <w:t>为报告期回购或现金分红等减少的、归 属于公司普通股股东的净资产；</w:t>
      </w:r>
      <w:r>
        <w:rPr>
          <w:rFonts w:ascii="Times New Roman" w:hAnsi="Times New Roman" w:cs="Times New Roman" w:eastAsia="Times New Roman" w:hint="default"/>
        </w:rPr>
        <w:t>M0 </w:t>
      </w:r>
      <w:r>
        <w:rPr/>
        <w:t>为报告期月份数；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14"/>
        </w:rPr>
        <w:t> </w:t>
      </w:r>
      <w:r>
        <w:rPr/>
        <w:t>为新增净资产次月起至报告期期末的累计月数； </w:t>
      </w:r>
      <w:r>
        <w:rPr>
          <w:rFonts w:ascii="Times New Roman" w:hAnsi="Times New Roman" w:cs="Times New Roman" w:eastAsia="Times New Roman" w:hint="default"/>
        </w:rPr>
        <w:t>Mj </w:t>
      </w:r>
      <w:r>
        <w:rPr/>
        <w:t>为减少净资产次月起至报告期期末的累计月数；</w:t>
      </w:r>
      <w:r>
        <w:rPr>
          <w:rFonts w:ascii="Times New Roman" w:hAnsi="Times New Roman" w:cs="Times New Roman" w:eastAsia="Times New Roman" w:hint="default"/>
        </w:rPr>
        <w:t>Ek</w:t>
      </w:r>
      <w:r>
        <w:rPr>
          <w:rFonts w:ascii="Times New Roman" w:hAnsi="Times New Roman" w:cs="Times New Roman" w:eastAsia="Times New Roman" w:hint="default"/>
          <w:spacing w:val="20"/>
        </w:rPr>
        <w:t> </w:t>
      </w:r>
      <w:r>
        <w:rPr/>
        <w:t>为因其他交易或事项引起的、归属于公司普通股股 东的净资产增减变动；</w:t>
      </w:r>
      <w:r>
        <w:rPr>
          <w:rFonts w:ascii="Times New Roman" w:hAnsi="Times New Roman" w:cs="Times New Roman" w:eastAsia="Times New Roman" w:hint="default"/>
        </w:rPr>
        <w:t>Mk</w:t>
      </w:r>
      <w:r>
        <w:rPr>
          <w:rFonts w:ascii="Times New Roman" w:hAnsi="Times New Roman" w:cs="Times New Roman" w:eastAsia="Times New Roman" w:hint="default"/>
          <w:spacing w:val="-2"/>
        </w:rPr>
        <w:t> </w:t>
      </w:r>
      <w:r>
        <w:rPr/>
        <w:t>为发生其他净资产增减变动次月起至报告期期末的累计月数。</w:t>
      </w:r>
    </w:p>
    <w:p>
      <w:pPr>
        <w:spacing w:line="240" w:lineRule="auto" w:before="7"/>
        <w:rPr>
          <w:rFonts w:ascii="宋体" w:hAnsi="宋体" w:cs="宋体" w:eastAsia="宋体" w:hint="default"/>
          <w:sz w:val="13"/>
          <w:szCs w:val="13"/>
        </w:rPr>
      </w:pPr>
    </w:p>
    <w:p>
      <w:pPr>
        <w:pStyle w:val="BodyText"/>
        <w:spacing w:line="240" w:lineRule="auto"/>
        <w:ind w:left="720" w:right="0"/>
        <w:jc w:val="left"/>
      </w:pPr>
      <w:r>
        <w:rPr/>
        <w:t>（</w:t>
      </w:r>
      <w:r>
        <w:rPr>
          <w:rFonts w:ascii="Times New Roman" w:hAnsi="Times New Roman" w:cs="Times New Roman" w:eastAsia="Times New Roman" w:hint="default"/>
        </w:rPr>
        <w:t>2</w:t>
      </w:r>
      <w:r>
        <w:rPr/>
        <w:t>）基本每股收益</w:t>
      </w:r>
    </w:p>
    <w:p>
      <w:pPr>
        <w:spacing w:line="240" w:lineRule="auto" w:before="6"/>
        <w:rPr>
          <w:rFonts w:ascii="宋体" w:hAnsi="宋体" w:cs="宋体" w:eastAsia="宋体" w:hint="default"/>
          <w:sz w:val="24"/>
          <w:szCs w:val="24"/>
        </w:rPr>
      </w:pPr>
    </w:p>
    <w:tbl>
      <w:tblPr>
        <w:tblW w:w="0" w:type="auto"/>
        <w:jc w:val="left"/>
        <w:tblInd w:w="252" w:type="dxa"/>
        <w:tblLayout w:type="fixed"/>
        <w:tblCellMar>
          <w:top w:w="0" w:type="dxa"/>
          <w:left w:w="0" w:type="dxa"/>
          <w:bottom w:w="0" w:type="dxa"/>
          <w:right w:w="0" w:type="dxa"/>
        </w:tblCellMar>
        <w:tblLook w:val="01E0"/>
      </w:tblPr>
      <w:tblGrid>
        <w:gridCol w:w="3174"/>
        <w:gridCol w:w="2419"/>
        <w:gridCol w:w="1672"/>
        <w:gridCol w:w="1533"/>
      </w:tblGrid>
      <w:tr>
        <w:trPr>
          <w:trHeight w:val="272" w:hRule="exact"/>
        </w:trPr>
        <w:tc>
          <w:tcPr>
            <w:tcW w:w="3174" w:type="dxa"/>
            <w:tcBorders>
              <w:top w:val="nil" w:sz="6" w:space="0" w:color="auto"/>
              <w:left w:val="nil" w:sz="6" w:space="0" w:color="auto"/>
              <w:bottom w:val="single" w:sz="4" w:space="0" w:color="000000"/>
              <w:right w:val="nil" w:sz="6" w:space="0" w:color="auto"/>
            </w:tcBorders>
          </w:tcPr>
          <w:p>
            <w:pPr>
              <w:pStyle w:val="TableParagraph"/>
              <w:spacing w:line="180" w:lineRule="exact"/>
              <w:ind w:left="5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19" w:type="dxa"/>
            <w:tcBorders>
              <w:top w:val="nil" w:sz="6" w:space="0" w:color="auto"/>
              <w:left w:val="nil" w:sz="6" w:space="0" w:color="auto"/>
              <w:bottom w:val="single" w:sz="4" w:space="0" w:color="000000"/>
              <w:right w:val="nil" w:sz="6" w:space="0" w:color="auto"/>
            </w:tcBorders>
          </w:tcPr>
          <w:p>
            <w:pPr>
              <w:pStyle w:val="TableParagraph"/>
              <w:spacing w:line="180" w:lineRule="exact"/>
              <w:ind w:right="18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672" w:type="dxa"/>
            <w:tcBorders>
              <w:top w:val="nil" w:sz="6" w:space="0" w:color="auto"/>
              <w:left w:val="nil" w:sz="6" w:space="0" w:color="auto"/>
              <w:bottom w:val="single" w:sz="4" w:space="0" w:color="000000"/>
              <w:right w:val="nil" w:sz="6" w:space="0" w:color="auto"/>
            </w:tcBorders>
          </w:tcPr>
          <w:p>
            <w:pPr>
              <w:pStyle w:val="TableParagraph"/>
              <w:spacing w:line="180"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533" w:type="dxa"/>
            <w:tcBorders>
              <w:top w:val="nil" w:sz="6" w:space="0" w:color="auto"/>
              <w:left w:val="nil" w:sz="6" w:space="0" w:color="auto"/>
              <w:bottom w:val="single" w:sz="4" w:space="0" w:color="000000"/>
              <w:right w:val="nil" w:sz="6" w:space="0" w:color="auto"/>
            </w:tcBorders>
          </w:tcPr>
          <w:p>
            <w:pPr>
              <w:pStyle w:val="TableParagraph"/>
              <w:spacing w:line="180" w:lineRule="exact"/>
              <w:ind w:left="459" w:right="0"/>
              <w:jc w:val="left"/>
              <w:rPr>
                <w:rFonts w:ascii="宋体" w:hAnsi="宋体" w:cs="宋体" w:eastAsia="宋体" w:hint="default"/>
                <w:sz w:val="18"/>
                <w:szCs w:val="18"/>
              </w:rPr>
            </w:pPr>
            <w:r>
              <w:rPr>
                <w:rFonts w:ascii="宋体" w:hAnsi="宋体" w:cs="宋体" w:eastAsia="宋体" w:hint="default"/>
                <w:b/>
                <w:bCs/>
                <w:sz w:val="18"/>
                <w:szCs w:val="18"/>
              </w:rPr>
              <w:t>上期数</w:t>
            </w:r>
            <w:r>
              <w:rPr>
                <w:rFonts w:ascii="宋体" w:hAnsi="宋体" w:cs="宋体" w:eastAsia="宋体" w:hint="default"/>
                <w:sz w:val="18"/>
                <w:szCs w:val="18"/>
              </w:rPr>
            </w:r>
          </w:p>
        </w:tc>
      </w:tr>
      <w:tr>
        <w:trPr>
          <w:trHeight w:val="431" w:hRule="exact"/>
        </w:trPr>
        <w:tc>
          <w:tcPr>
            <w:tcW w:w="317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41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83"/>
              <w:jc w:val="center"/>
              <w:rPr>
                <w:rFonts w:ascii="Times New Roman" w:hAnsi="Times New Roman" w:cs="Times New Roman" w:eastAsia="Times New Roman" w:hint="default"/>
                <w:sz w:val="18"/>
                <w:szCs w:val="18"/>
              </w:rPr>
            </w:pPr>
            <w:r>
              <w:rPr>
                <w:rFonts w:ascii="Times New Roman"/>
                <w:sz w:val="18"/>
              </w:rPr>
              <w:t>a</w:t>
            </w:r>
          </w:p>
        </w:tc>
        <w:tc>
          <w:tcPr>
            <w:tcW w:w="167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74"/>
              <w:jc w:val="right"/>
              <w:rPr>
                <w:rFonts w:ascii="Times New Roman" w:hAnsi="Times New Roman" w:cs="Times New Roman" w:eastAsia="Times New Roman" w:hint="default"/>
                <w:sz w:val="18"/>
                <w:szCs w:val="18"/>
              </w:rPr>
            </w:pPr>
            <w:r>
              <w:rPr>
                <w:rFonts w:ascii="Times New Roman"/>
                <w:spacing w:val="-1"/>
                <w:sz w:val="18"/>
              </w:rPr>
              <w:t>176,217,902.06</w:t>
            </w:r>
          </w:p>
        </w:tc>
        <w:tc>
          <w:tcPr>
            <w:tcW w:w="153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08"/>
              <w:jc w:val="right"/>
              <w:rPr>
                <w:rFonts w:ascii="Times New Roman" w:hAnsi="Times New Roman" w:cs="Times New Roman" w:eastAsia="Times New Roman" w:hint="default"/>
                <w:sz w:val="18"/>
                <w:szCs w:val="18"/>
              </w:rPr>
            </w:pPr>
            <w:r>
              <w:rPr>
                <w:rFonts w:ascii="Times New Roman"/>
                <w:spacing w:val="-1"/>
                <w:sz w:val="18"/>
              </w:rPr>
              <w:t>118,257,749.77</w:t>
            </w:r>
          </w:p>
        </w:tc>
      </w:tr>
      <w:tr>
        <w:trPr>
          <w:trHeight w:val="402"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2"/>
              <w:jc w:val="center"/>
              <w:rPr>
                <w:rFonts w:ascii="Times New Roman" w:hAnsi="Times New Roman" w:cs="Times New Roman" w:eastAsia="Times New Roman" w:hint="default"/>
                <w:sz w:val="18"/>
                <w:szCs w:val="18"/>
              </w:rPr>
            </w:pPr>
            <w:r>
              <w:rPr>
                <w:rFonts w:ascii="Times New Roman"/>
                <w:sz w:val="18"/>
              </w:rPr>
              <w:t>b</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2"/>
              <w:jc w:val="right"/>
              <w:rPr>
                <w:rFonts w:ascii="Times New Roman" w:hAnsi="Times New Roman" w:cs="Times New Roman" w:eastAsia="Times New Roman" w:hint="default"/>
                <w:sz w:val="18"/>
                <w:szCs w:val="18"/>
              </w:rPr>
            </w:pPr>
            <w:r>
              <w:rPr>
                <w:rFonts w:ascii="Times New Roman"/>
                <w:spacing w:val="-1"/>
                <w:sz w:val="18"/>
              </w:rPr>
              <w:t>31,094,319.31</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8"/>
              <w:jc w:val="right"/>
              <w:rPr>
                <w:rFonts w:ascii="Times New Roman" w:hAnsi="Times New Roman" w:cs="Times New Roman" w:eastAsia="Times New Roman" w:hint="default"/>
                <w:sz w:val="18"/>
                <w:szCs w:val="18"/>
              </w:rPr>
            </w:pPr>
            <w:r>
              <w:rPr>
                <w:rFonts w:ascii="Times New Roman"/>
                <w:spacing w:val="-1"/>
                <w:sz w:val="18"/>
              </w:rPr>
              <w:t>7,646,036.48</w:t>
            </w:r>
          </w:p>
        </w:tc>
      </w:tr>
      <w:tr>
        <w:trPr>
          <w:trHeight w:val="753"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364" w:lineRule="auto" w:before="51"/>
              <w:ind w:left="108" w:right="184"/>
              <w:jc w:val="left"/>
              <w:rPr>
                <w:rFonts w:ascii="宋体" w:hAnsi="宋体" w:cs="宋体" w:eastAsia="宋体" w:hint="default"/>
                <w:sz w:val="18"/>
                <w:szCs w:val="18"/>
              </w:rPr>
            </w:pPr>
            <w:r>
              <w:rPr>
                <w:rFonts w:ascii="宋体" w:hAnsi="宋体" w:cs="宋体" w:eastAsia="宋体" w:hint="default"/>
                <w:sz w:val="18"/>
                <w:szCs w:val="18"/>
              </w:rPr>
              <w:t>扣除非经营性损益后归属于公司普通 股股东的净利润</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85"/>
              <w:jc w:val="center"/>
              <w:rPr>
                <w:rFonts w:ascii="Times New Roman" w:hAnsi="Times New Roman" w:cs="Times New Roman" w:eastAsia="Times New Roman" w:hint="default"/>
                <w:sz w:val="18"/>
                <w:szCs w:val="18"/>
              </w:rPr>
            </w:pPr>
            <w:r>
              <w:rPr>
                <w:rFonts w:ascii="Times New Roman"/>
                <w:sz w:val="18"/>
              </w:rPr>
              <w:t>c=a-b</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74"/>
              <w:jc w:val="right"/>
              <w:rPr>
                <w:rFonts w:ascii="Times New Roman" w:hAnsi="Times New Roman" w:cs="Times New Roman" w:eastAsia="Times New Roman" w:hint="default"/>
                <w:sz w:val="18"/>
                <w:szCs w:val="18"/>
              </w:rPr>
            </w:pPr>
            <w:r>
              <w:rPr>
                <w:rFonts w:ascii="Times New Roman"/>
                <w:spacing w:val="-1"/>
                <w:sz w:val="18"/>
              </w:rPr>
              <w:t>145,123,582.75</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2"/>
                <w:sz w:val="18"/>
              </w:rPr>
              <w:t>110,611,713.29</w:t>
            </w:r>
          </w:p>
        </w:tc>
      </w:tr>
      <w:tr>
        <w:trPr>
          <w:trHeight w:val="406"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82"/>
              <w:jc w:val="center"/>
              <w:rPr>
                <w:rFonts w:ascii="Times New Roman" w:hAnsi="Times New Roman" w:cs="Times New Roman" w:eastAsia="Times New Roman" w:hint="default"/>
                <w:sz w:val="18"/>
                <w:szCs w:val="18"/>
              </w:rPr>
            </w:pPr>
            <w:r>
              <w:rPr>
                <w:rFonts w:ascii="Times New Roman"/>
                <w:sz w:val="18"/>
              </w:rPr>
              <w:t>S0</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72"/>
              <w:jc w:val="right"/>
              <w:rPr>
                <w:rFonts w:ascii="Times New Roman" w:hAnsi="Times New Roman" w:cs="Times New Roman" w:eastAsia="Times New Roman" w:hint="default"/>
                <w:sz w:val="18"/>
                <w:szCs w:val="18"/>
              </w:rPr>
            </w:pPr>
            <w:r>
              <w:rPr>
                <w:rFonts w:ascii="Times New Roman"/>
                <w:spacing w:val="-1"/>
                <w:sz w:val="18"/>
              </w:rPr>
              <w:t>351,959,591.00</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8"/>
              <w:jc w:val="right"/>
              <w:rPr>
                <w:rFonts w:ascii="Times New Roman" w:hAnsi="Times New Roman" w:cs="Times New Roman" w:eastAsia="Times New Roman" w:hint="default"/>
                <w:sz w:val="18"/>
                <w:szCs w:val="18"/>
              </w:rPr>
            </w:pPr>
            <w:r>
              <w:rPr>
                <w:rFonts w:ascii="Times New Roman"/>
                <w:spacing w:val="-1"/>
                <w:sz w:val="18"/>
              </w:rPr>
              <w:t>152,100,000.00</w:t>
            </w:r>
          </w:p>
        </w:tc>
      </w:tr>
      <w:tr>
        <w:trPr>
          <w:trHeight w:val="730"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364" w:lineRule="auto" w:before="51"/>
              <w:ind w:left="108" w:right="184"/>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 增加股份数</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82"/>
              <w:jc w:val="center"/>
              <w:rPr>
                <w:rFonts w:ascii="Times New Roman" w:hAnsi="Times New Roman" w:cs="Times New Roman" w:eastAsia="Times New Roman" w:hint="default"/>
                <w:sz w:val="18"/>
                <w:szCs w:val="18"/>
              </w:rPr>
            </w:pPr>
            <w:r>
              <w:rPr>
                <w:rFonts w:ascii="Times New Roman"/>
                <w:sz w:val="18"/>
              </w:rPr>
              <w:t>S1</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72"/>
              <w:jc w:val="right"/>
              <w:rPr>
                <w:rFonts w:ascii="Times New Roman" w:hAnsi="Times New Roman" w:cs="Times New Roman" w:eastAsia="Times New Roman" w:hint="default"/>
                <w:sz w:val="18"/>
                <w:szCs w:val="18"/>
              </w:rPr>
            </w:pPr>
            <w:r>
              <w:rPr>
                <w:rFonts w:ascii="Times New Roman"/>
                <w:spacing w:val="-1"/>
                <w:sz w:val="18"/>
              </w:rPr>
              <w:t>70,391,918.00</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9"/>
              <w:jc w:val="right"/>
              <w:rPr>
                <w:rFonts w:ascii="Times New Roman" w:hAnsi="Times New Roman" w:cs="Times New Roman" w:eastAsia="Times New Roman" w:hint="default"/>
                <w:sz w:val="20"/>
                <w:szCs w:val="20"/>
              </w:rPr>
            </w:pPr>
            <w:r>
              <w:rPr>
                <w:rFonts w:ascii="Times New Roman"/>
                <w:w w:val="95"/>
                <w:sz w:val="20"/>
              </w:rPr>
              <w:t>121,680,000.00</w:t>
            </w:r>
            <w:r>
              <w:rPr>
                <w:rFonts w:ascii="Times New Roman"/>
                <w:sz w:val="20"/>
              </w:rPr>
            </w:r>
          </w:p>
        </w:tc>
      </w:tr>
      <w:tr>
        <w:trPr>
          <w:trHeight w:val="430"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8" w:right="0"/>
              <w:jc w:val="left"/>
              <w:rPr>
                <w:rFonts w:ascii="宋体" w:hAnsi="宋体" w:cs="宋体" w:eastAsia="宋体" w:hint="default"/>
                <w:sz w:val="18"/>
                <w:szCs w:val="18"/>
              </w:rPr>
            </w:pPr>
            <w:r>
              <w:rPr>
                <w:rFonts w:ascii="宋体" w:hAnsi="宋体" w:cs="宋体" w:eastAsia="宋体" w:hint="default"/>
                <w:sz w:val="18"/>
                <w:szCs w:val="18"/>
              </w:rPr>
              <w:t>因发行新股或债转股等增加股份数</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83"/>
              <w:jc w:val="center"/>
              <w:rPr>
                <w:rFonts w:ascii="Times New Roman" w:hAnsi="Times New Roman" w:cs="Times New Roman" w:eastAsia="Times New Roman" w:hint="default"/>
                <w:sz w:val="18"/>
                <w:szCs w:val="18"/>
              </w:rPr>
            </w:pPr>
            <w:r>
              <w:rPr>
                <w:rFonts w:ascii="Times New Roman"/>
                <w:sz w:val="18"/>
              </w:rPr>
              <w:t>Si</w:t>
            </w:r>
          </w:p>
        </w:tc>
        <w:tc>
          <w:tcPr>
            <w:tcW w:w="1672"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9"/>
              <w:jc w:val="right"/>
              <w:rPr>
                <w:rFonts w:ascii="Times New Roman" w:hAnsi="Times New Roman" w:cs="Times New Roman" w:eastAsia="Times New Roman" w:hint="default"/>
                <w:sz w:val="20"/>
                <w:szCs w:val="20"/>
              </w:rPr>
            </w:pPr>
            <w:r>
              <w:rPr>
                <w:rFonts w:ascii="Times New Roman"/>
                <w:w w:val="95"/>
                <w:sz w:val="20"/>
              </w:rPr>
              <w:t>148,571,509.00</w:t>
            </w:r>
            <w:r>
              <w:rPr>
                <w:rFonts w:ascii="Times New Roman"/>
                <w:sz w:val="20"/>
              </w:rPr>
            </w:r>
          </w:p>
        </w:tc>
      </w:tr>
      <w:tr>
        <w:trPr>
          <w:trHeight w:val="754"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364" w:lineRule="auto" w:before="50"/>
              <w:ind w:left="108" w:right="184"/>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 月数</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81"/>
              <w:jc w:val="center"/>
              <w:rPr>
                <w:rFonts w:ascii="Times New Roman" w:hAnsi="Times New Roman" w:cs="Times New Roman" w:eastAsia="Times New Roman" w:hint="default"/>
                <w:sz w:val="18"/>
                <w:szCs w:val="18"/>
              </w:rPr>
            </w:pPr>
            <w:r>
              <w:rPr>
                <w:rFonts w:ascii="Times New Roman"/>
                <w:sz w:val="18"/>
              </w:rPr>
              <w:t>Mi</w:t>
            </w:r>
          </w:p>
        </w:tc>
        <w:tc>
          <w:tcPr>
            <w:tcW w:w="1672"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7</w:t>
            </w:r>
          </w:p>
        </w:tc>
      </w:tr>
      <w:tr>
        <w:trPr>
          <w:trHeight w:val="407"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83"/>
              <w:jc w:val="center"/>
              <w:rPr>
                <w:rFonts w:ascii="Times New Roman" w:hAnsi="Times New Roman" w:cs="Times New Roman" w:eastAsia="Times New Roman" w:hint="default"/>
                <w:sz w:val="18"/>
                <w:szCs w:val="18"/>
              </w:rPr>
            </w:pPr>
            <w:r>
              <w:rPr>
                <w:rFonts w:ascii="Times New Roman"/>
                <w:sz w:val="18"/>
              </w:rPr>
              <w:t>Sj</w:t>
            </w:r>
          </w:p>
        </w:tc>
        <w:tc>
          <w:tcPr>
            <w:tcW w:w="1672"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
        </w:tc>
      </w:tr>
      <w:tr>
        <w:trPr>
          <w:trHeight w:val="753"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364" w:lineRule="auto" w:before="51"/>
              <w:ind w:left="108" w:right="184"/>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 月数</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81"/>
              <w:jc w:val="center"/>
              <w:rPr>
                <w:rFonts w:ascii="Times New Roman" w:hAnsi="Times New Roman" w:cs="Times New Roman" w:eastAsia="Times New Roman" w:hint="default"/>
                <w:sz w:val="18"/>
                <w:szCs w:val="18"/>
              </w:rPr>
            </w:pPr>
            <w:r>
              <w:rPr>
                <w:rFonts w:ascii="Times New Roman"/>
                <w:sz w:val="18"/>
              </w:rPr>
              <w:t>Mj</w:t>
            </w:r>
          </w:p>
        </w:tc>
        <w:tc>
          <w:tcPr>
            <w:tcW w:w="1672"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
        </w:tc>
      </w:tr>
      <w:tr>
        <w:trPr>
          <w:trHeight w:val="405"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82"/>
              <w:jc w:val="center"/>
              <w:rPr>
                <w:rFonts w:ascii="Times New Roman" w:hAnsi="Times New Roman" w:cs="Times New Roman" w:eastAsia="Times New Roman" w:hint="default"/>
                <w:sz w:val="18"/>
                <w:szCs w:val="18"/>
              </w:rPr>
            </w:pPr>
            <w:r>
              <w:rPr>
                <w:rFonts w:ascii="Times New Roman"/>
                <w:sz w:val="18"/>
              </w:rPr>
              <w:t>Sk</w:t>
            </w:r>
          </w:p>
        </w:tc>
        <w:tc>
          <w:tcPr>
            <w:tcW w:w="1672"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
        </w:tc>
      </w:tr>
      <w:tr>
        <w:trPr>
          <w:trHeight w:val="402"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9"/>
              <w:jc w:val="center"/>
              <w:rPr>
                <w:rFonts w:ascii="Times New Roman" w:hAnsi="Times New Roman" w:cs="Times New Roman" w:eastAsia="Times New Roman" w:hint="default"/>
                <w:sz w:val="18"/>
                <w:szCs w:val="18"/>
              </w:rPr>
            </w:pPr>
            <w:r>
              <w:rPr>
                <w:rFonts w:ascii="Times New Roman"/>
                <w:sz w:val="18"/>
              </w:rPr>
              <w:t>M0</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69"/>
              <w:jc w:val="right"/>
              <w:rPr>
                <w:rFonts w:ascii="Times New Roman" w:hAnsi="Times New Roman" w:cs="Times New Roman" w:eastAsia="Times New Roman" w:hint="default"/>
                <w:sz w:val="18"/>
                <w:szCs w:val="18"/>
              </w:rPr>
            </w:pPr>
            <w:r>
              <w:rPr>
                <w:rFonts w:ascii="Times New Roman"/>
                <w:sz w:val="18"/>
              </w:rPr>
              <w:t>12</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7"/>
              <w:jc w:val="right"/>
              <w:rPr>
                <w:rFonts w:ascii="Times New Roman" w:hAnsi="Times New Roman" w:cs="Times New Roman" w:eastAsia="Times New Roman" w:hint="default"/>
                <w:sz w:val="18"/>
                <w:szCs w:val="18"/>
              </w:rPr>
            </w:pPr>
            <w:r>
              <w:rPr>
                <w:rFonts w:ascii="Times New Roman"/>
                <w:sz w:val="18"/>
              </w:rPr>
              <w:t>12</w:t>
            </w:r>
          </w:p>
        </w:tc>
      </w:tr>
      <w:tr>
        <w:trPr>
          <w:trHeight w:val="758"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419" w:type="dxa"/>
            <w:tcBorders>
              <w:top w:val="nil" w:sz="6" w:space="0" w:color="auto"/>
              <w:left w:val="nil" w:sz="6" w:space="0" w:color="auto"/>
              <w:bottom w:val="nil" w:sz="6" w:space="0" w:color="auto"/>
              <w:right w:val="nil" w:sz="6" w:space="0" w:color="auto"/>
            </w:tcBorders>
          </w:tcPr>
          <w:p>
            <w:pPr>
              <w:pStyle w:val="TableParagraph"/>
              <w:spacing w:line="384" w:lineRule="auto" w:before="51"/>
              <w:ind w:left="587" w:right="370" w:hanging="40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S0</w:t>
            </w:r>
            <w:r>
              <w:rPr>
                <w:rFonts w:ascii="宋体" w:hAnsi="宋体" w:cs="宋体" w:eastAsia="宋体" w:hint="default"/>
                <w:sz w:val="18"/>
                <w:szCs w:val="18"/>
              </w:rPr>
              <w:t>＋</w:t>
            </w:r>
            <w:r>
              <w:rPr>
                <w:rFonts w:ascii="Times New Roman" w:hAnsi="Times New Roman" w:cs="Times New Roman" w:eastAsia="Times New Roman" w:hint="default"/>
                <w:sz w:val="18"/>
                <w:szCs w:val="18"/>
              </w:rPr>
              <w:t>S1</w:t>
            </w:r>
            <w:r>
              <w:rPr>
                <w:rFonts w:ascii="宋体" w:hAnsi="宋体" w:cs="宋体" w:eastAsia="宋体" w:hint="default"/>
                <w:sz w:val="18"/>
                <w:szCs w:val="18"/>
              </w:rPr>
              <w:t>＋</w:t>
            </w:r>
            <w:r>
              <w:rPr>
                <w:rFonts w:ascii="Times New Roman" w:hAnsi="Times New Roman" w:cs="Times New Roman" w:eastAsia="Times New Roman" w:hint="default"/>
                <w:sz w:val="18"/>
                <w:szCs w:val="18"/>
              </w:rPr>
              <w:t>Si×Mi÷M0- Sj×Mj÷M0-Sk</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72"/>
              <w:jc w:val="right"/>
              <w:rPr>
                <w:rFonts w:ascii="Times New Roman" w:hAnsi="Times New Roman" w:cs="Times New Roman" w:eastAsia="Times New Roman" w:hint="default"/>
                <w:sz w:val="18"/>
                <w:szCs w:val="18"/>
              </w:rPr>
            </w:pPr>
            <w:r>
              <w:rPr>
                <w:rFonts w:ascii="Times New Roman"/>
                <w:spacing w:val="-1"/>
                <w:sz w:val="18"/>
              </w:rPr>
              <w:t>422,351,509.00</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360,446,713.58</w:t>
            </w:r>
          </w:p>
        </w:tc>
      </w:tr>
      <w:tr>
        <w:trPr>
          <w:trHeight w:val="400"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0"/>
              <w:jc w:val="center"/>
              <w:rPr>
                <w:rFonts w:ascii="Times New Roman" w:hAnsi="Times New Roman" w:cs="Times New Roman" w:eastAsia="Times New Roman" w:hint="default"/>
                <w:sz w:val="18"/>
                <w:szCs w:val="18"/>
              </w:rPr>
            </w:pPr>
            <w:r>
              <w:rPr>
                <w:rFonts w:ascii="Times New Roman"/>
                <w:sz w:val="18"/>
              </w:rPr>
              <w:t>P=a/S</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1"/>
              <w:jc w:val="right"/>
              <w:rPr>
                <w:rFonts w:ascii="Times New Roman" w:hAnsi="Times New Roman" w:cs="Times New Roman" w:eastAsia="Times New Roman" w:hint="default"/>
                <w:sz w:val="18"/>
                <w:szCs w:val="18"/>
              </w:rPr>
            </w:pPr>
            <w:r>
              <w:rPr>
                <w:rFonts w:ascii="Times New Roman"/>
                <w:spacing w:val="-1"/>
                <w:sz w:val="18"/>
              </w:rPr>
              <w:t>0.42</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0.33</w:t>
            </w:r>
          </w:p>
        </w:tc>
      </w:tr>
      <w:tr>
        <w:trPr>
          <w:trHeight w:val="296"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0"/>
              <w:jc w:val="center"/>
              <w:rPr>
                <w:rFonts w:ascii="Times New Roman" w:hAnsi="Times New Roman" w:cs="Times New Roman" w:eastAsia="Times New Roman" w:hint="default"/>
                <w:sz w:val="18"/>
                <w:szCs w:val="18"/>
              </w:rPr>
            </w:pPr>
            <w:r>
              <w:rPr>
                <w:rFonts w:ascii="Times New Roman"/>
                <w:sz w:val="18"/>
              </w:rPr>
              <w:t>P</w:t>
            </w:r>
            <w:r>
              <w:rPr>
                <w:rFonts w:ascii="Times New Roman"/>
                <w:spacing w:val="-2"/>
                <w:sz w:val="18"/>
              </w:rPr>
              <w:t> </w:t>
            </w:r>
            <w:r>
              <w:rPr>
                <w:rFonts w:ascii="Times New Roman"/>
                <w:sz w:val="18"/>
              </w:rPr>
              <w:t>0=c/S</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1"/>
              <w:jc w:val="right"/>
              <w:rPr>
                <w:rFonts w:ascii="Times New Roman" w:hAnsi="Times New Roman" w:cs="Times New Roman" w:eastAsia="Times New Roman" w:hint="default"/>
                <w:sz w:val="18"/>
                <w:szCs w:val="18"/>
              </w:rPr>
            </w:pPr>
            <w:r>
              <w:rPr>
                <w:rFonts w:ascii="Times New Roman"/>
                <w:spacing w:val="-1"/>
                <w:sz w:val="18"/>
              </w:rPr>
              <w:t>0.34</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7"/>
              <w:jc w:val="right"/>
              <w:rPr>
                <w:rFonts w:ascii="Times New Roman" w:hAnsi="Times New Roman" w:cs="Times New Roman" w:eastAsia="Times New Roman" w:hint="default"/>
                <w:sz w:val="18"/>
                <w:szCs w:val="18"/>
              </w:rPr>
            </w:pPr>
            <w:r>
              <w:rPr>
                <w:rFonts w:ascii="Times New Roman"/>
                <w:spacing w:val="-1"/>
                <w:sz w:val="18"/>
              </w:rPr>
              <w:t>0.31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1140" w:left="1440" w:right="1300"/>
        </w:sectPr>
      </w:pPr>
    </w:p>
    <w:p>
      <w:pPr>
        <w:pStyle w:val="BodyText"/>
        <w:spacing w:line="348" w:lineRule="auto" w:before="17"/>
        <w:ind w:left="360" w:right="339" w:firstLine="35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按照证监会《公开发行证券的公司信息披露解释性公告第</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非经常性损益</w:t>
      </w:r>
      <w:r>
        <w:rPr>
          <w:rFonts w:ascii="Times New Roman" w:hAnsi="Times New Roman" w:cs="Times New Roman" w:eastAsia="Times New Roman" w:hint="default"/>
        </w:rPr>
        <w:t>[2008]</w:t>
      </w:r>
      <w:r>
        <w:rPr/>
        <w:t>》的要求，报 告期非经常性损益情况</w:t>
      </w:r>
    </w:p>
    <w:p>
      <w:pPr>
        <w:spacing w:line="240" w:lineRule="auto" w:before="7"/>
        <w:rPr>
          <w:rFonts w:ascii="宋体" w:hAnsi="宋体" w:cs="宋体" w:eastAsia="宋体" w:hint="default"/>
          <w:sz w:val="15"/>
          <w:szCs w:val="15"/>
        </w:rPr>
      </w:pPr>
    </w:p>
    <w:p>
      <w:pPr>
        <w:tabs>
          <w:tab w:pos="6514" w:val="left" w:leader="none"/>
          <w:tab w:pos="8034" w:val="left" w:leader="none"/>
        </w:tabs>
        <w:spacing w:before="0"/>
        <w:ind w:left="2545" w:right="0" w:firstLine="0"/>
        <w:jc w:val="left"/>
        <w:rPr>
          <w:rFonts w:ascii="宋体" w:hAnsi="宋体" w:cs="宋体" w:eastAsia="宋体" w:hint="default"/>
          <w:sz w:val="15"/>
          <w:szCs w:val="15"/>
        </w:rPr>
      </w:pPr>
      <w:r>
        <w:rPr>
          <w:rFonts w:ascii="宋体" w:hAnsi="宋体" w:cs="宋体" w:eastAsia="宋体" w:hint="default"/>
          <w:b/>
          <w:bCs/>
          <w:spacing w:val="-1"/>
          <w:sz w:val="15"/>
          <w:szCs w:val="15"/>
        </w:rPr>
        <w:t>非经常性损益明细</w:t>
        <w:tab/>
      </w:r>
      <w:r>
        <w:rPr>
          <w:rFonts w:ascii="宋体" w:hAnsi="宋体" w:cs="宋体" w:eastAsia="宋体" w:hint="default"/>
          <w:b/>
          <w:bCs/>
          <w:sz w:val="15"/>
          <w:szCs w:val="15"/>
        </w:rPr>
        <w:t>本期金额</w:t>
        <w:tab/>
        <w:t>说明</w:t>
      </w:r>
      <w:r>
        <w:rPr>
          <w:rFonts w:ascii="宋体" w:hAnsi="宋体" w:cs="宋体" w:eastAsia="宋体" w:hint="default"/>
          <w:sz w:val="15"/>
          <w:szCs w:val="15"/>
        </w:rPr>
      </w:r>
    </w:p>
    <w:p>
      <w:pPr>
        <w:spacing w:line="240" w:lineRule="auto" w:before="4"/>
        <w:rPr>
          <w:rFonts w:ascii="宋体" w:hAnsi="宋体" w:cs="宋体" w:eastAsia="宋体" w:hint="default"/>
          <w:b/>
          <w:bCs/>
          <w:sz w:val="6"/>
          <w:szCs w:val="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40.4pt;height:.5pt;mso-position-horizontal-relative:char;mso-position-vertical-relative:line" coordorigin="0,0" coordsize="8808,10">
            <v:group style="position:absolute;left:5;top:5;width:6064;height:2" coordorigin="5,5" coordsize="6064,2">
              <v:shape style="position:absolute;left:5;top:5;width:6064;height:2" coordorigin="5,5" coordsize="6064,0" path="m5,5l6068,5e" filled="false" stroked="true" strokeweight=".48pt" strokecolor="#000000">
                <v:path arrowok="t"/>
              </v:shape>
            </v:group>
            <v:group style="position:absolute;left:6068;top:5;width:10;height:2" coordorigin="6068,5" coordsize="10,2">
              <v:shape style="position:absolute;left:6068;top:5;width:10;height:2" coordorigin="6068,5" coordsize="10,0" path="m6068,5l6078,5e" filled="false" stroked="true" strokeweight=".48pt" strokecolor="#000000">
                <v:path arrowok="t"/>
              </v:shape>
            </v:group>
            <v:group style="position:absolute;left:6078;top:5;width:1268;height:2" coordorigin="6078,5" coordsize="1268,2">
              <v:shape style="position:absolute;left:6078;top:5;width:1268;height:2" coordorigin="6078,5" coordsize="1268,0" path="m6078,5l7345,5e" filled="false" stroked="true" strokeweight=".48pt" strokecolor="#000000">
                <v:path arrowok="t"/>
              </v:shape>
            </v:group>
            <v:group style="position:absolute;left:7346;top:5;width:10;height:2" coordorigin="7346,5" coordsize="10,2">
              <v:shape style="position:absolute;left:7346;top:5;width:10;height:2" coordorigin="7346,5" coordsize="10,0" path="m7346,5l7355,5e" filled="false" stroked="true" strokeweight=".48pt" strokecolor="#000000">
                <v:path arrowok="t"/>
              </v:shape>
            </v:group>
            <v:group style="position:absolute;left:7355;top:5;width:1448;height:2" coordorigin="7355,5" coordsize="1448,2">
              <v:shape style="position:absolute;left:7355;top:5;width:1448;height:2" coordorigin="7355,5" coordsize="1448,0" path="m7355,5l8802,5e" filled="false" stroked="true" strokeweight=".48pt" strokecolor="#000000">
                <v:path arrowok="t"/>
              </v:shape>
            </v:group>
          </v:group>
        </w:pict>
      </w:r>
      <w:r>
        <w:rPr>
          <w:rFonts w:ascii="宋体" w:hAnsi="宋体" w:cs="宋体" w:eastAsia="宋体" w:hint="default"/>
          <w:sz w:val="2"/>
          <w:szCs w:val="2"/>
        </w:rPr>
      </w:r>
    </w:p>
    <w:tbl>
      <w:tblPr>
        <w:tblW w:w="0" w:type="auto"/>
        <w:jc w:val="left"/>
        <w:tblInd w:w="188" w:type="dxa"/>
        <w:tblLayout w:type="fixed"/>
        <w:tblCellMar>
          <w:top w:w="0" w:type="dxa"/>
          <w:left w:w="0" w:type="dxa"/>
          <w:bottom w:w="0" w:type="dxa"/>
          <w:right w:w="0" w:type="dxa"/>
        </w:tblCellMar>
        <w:tblLook w:val="01E0"/>
      </w:tblPr>
      <w:tblGrid>
        <w:gridCol w:w="6092"/>
        <w:gridCol w:w="1176"/>
        <w:gridCol w:w="1391"/>
      </w:tblGrid>
      <w:tr>
        <w:trPr>
          <w:trHeight w:val="421"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w:t>
            </w:r>
            <w:r>
              <w:rPr>
                <w:rFonts w:ascii="宋体" w:hAnsi="宋体" w:cs="宋体" w:eastAsia="宋体" w:hint="default"/>
                <w:sz w:val="15"/>
                <w:szCs w:val="15"/>
              </w:rPr>
              <w:t>）非流动性资产处置损益，包括已计提资产减值准备的冲销部分</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 w:right="0"/>
              <w:jc w:val="left"/>
              <w:rPr>
                <w:rFonts w:ascii="宋体" w:hAnsi="宋体" w:cs="宋体" w:eastAsia="宋体" w:hint="default"/>
                <w:sz w:val="15"/>
                <w:szCs w:val="15"/>
              </w:rPr>
            </w:pPr>
            <w:r>
              <w:rPr>
                <w:rFonts w:ascii="宋体" w:hAnsi="宋体" w:cs="宋体" w:eastAsia="宋体" w:hint="default"/>
                <w:spacing w:val="3"/>
                <w:sz w:val="15"/>
                <w:szCs w:val="15"/>
              </w:rPr>
              <w:t>固定资产、长期股</w:t>
            </w:r>
            <w:r>
              <w:rPr>
                <w:rFonts w:ascii="宋体" w:hAnsi="宋体" w:cs="宋体" w:eastAsia="宋体" w:hint="default"/>
                <w:sz w:val="15"/>
                <w:szCs w:val="15"/>
              </w:rPr>
            </w:r>
          </w:p>
        </w:tc>
      </w:tr>
      <w:tr>
        <w:trPr>
          <w:trHeight w:val="260" w:hRule="exact"/>
        </w:trPr>
        <w:tc>
          <w:tcPr>
            <w:tcW w:w="609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Times New Roman" w:hAnsi="Times New Roman" w:cs="Times New Roman" w:eastAsia="Times New Roman" w:hint="default"/>
                <w:sz w:val="15"/>
                <w:szCs w:val="15"/>
              </w:rPr>
            </w:pPr>
            <w:r>
              <w:rPr>
                <w:rFonts w:ascii="Times New Roman"/>
                <w:spacing w:val="-1"/>
                <w:sz w:val="15"/>
              </w:rPr>
              <w:t>23,928,107.80</w:t>
            </w:r>
          </w:p>
        </w:tc>
        <w:tc>
          <w:tcPr>
            <w:tcW w:w="1391" w:type="dxa"/>
            <w:tcBorders>
              <w:top w:val="nil" w:sz="6" w:space="0" w:color="auto"/>
              <w:left w:val="nil" w:sz="6" w:space="0" w:color="auto"/>
              <w:bottom w:val="nil" w:sz="6" w:space="0" w:color="auto"/>
              <w:right w:val="nil" w:sz="6" w:space="0" w:color="auto"/>
            </w:tcBorders>
          </w:tcPr>
          <w:p>
            <w:pPr>
              <w:pStyle w:val="TableParagraph"/>
              <w:spacing w:line="152" w:lineRule="exact"/>
              <w:ind w:left="107" w:right="0"/>
              <w:jc w:val="left"/>
              <w:rPr>
                <w:rFonts w:ascii="宋体" w:hAnsi="宋体" w:cs="宋体" w:eastAsia="宋体" w:hint="default"/>
                <w:sz w:val="15"/>
                <w:szCs w:val="15"/>
              </w:rPr>
            </w:pPr>
            <w:r>
              <w:rPr>
                <w:rFonts w:ascii="宋体" w:hAnsi="宋体" w:cs="宋体" w:eastAsia="宋体" w:hint="default"/>
                <w:sz w:val="15"/>
                <w:szCs w:val="15"/>
              </w:rPr>
              <w:t>权投资处置损益</w:t>
            </w:r>
          </w:p>
        </w:tc>
      </w:tr>
      <w:tr>
        <w:trPr>
          <w:trHeight w:val="36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w:t>
            </w:r>
            <w:r>
              <w:rPr>
                <w:rFonts w:ascii="宋体" w:hAnsi="宋体" w:cs="宋体" w:eastAsia="宋体" w:hint="default"/>
                <w:sz w:val="15"/>
                <w:szCs w:val="15"/>
              </w:rPr>
              <w:t>）越权审批，或无正式批准文件，或偶发性的税收返还、减免</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4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3</w:t>
            </w:r>
            <w:r>
              <w:rPr>
                <w:rFonts w:ascii="宋体" w:hAnsi="宋体" w:cs="宋体" w:eastAsia="宋体" w:hint="default"/>
                <w:sz w:val="15"/>
                <w:szCs w:val="15"/>
              </w:rPr>
              <w:t>）计入当期损益的政府补助，但与公司正常经营业务密切相关，符合国家政策规定、</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4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按照一定标准定额或定量持续享受的政府补助除外</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15"/>
                <w:szCs w:val="15"/>
              </w:rPr>
            </w:pPr>
            <w:r>
              <w:rPr>
                <w:rFonts w:ascii="Times New Roman"/>
                <w:spacing w:val="-1"/>
                <w:sz w:val="15"/>
              </w:rPr>
              <w:t>14,686,190.85</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5"/>
                <w:szCs w:val="15"/>
              </w:rPr>
            </w:pPr>
            <w:r>
              <w:rPr>
                <w:rFonts w:ascii="宋体" w:hAnsi="宋体" w:cs="宋体" w:eastAsia="宋体" w:hint="default"/>
                <w:sz w:val="15"/>
                <w:szCs w:val="15"/>
              </w:rPr>
              <w:t>政府补助</w:t>
            </w:r>
          </w:p>
        </w:tc>
      </w:tr>
      <w:tr>
        <w:trPr>
          <w:trHeight w:val="36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4</w:t>
            </w:r>
            <w:r>
              <w:rPr>
                <w:rFonts w:ascii="宋体" w:hAnsi="宋体" w:cs="宋体" w:eastAsia="宋体" w:hint="default"/>
                <w:sz w:val="15"/>
                <w:szCs w:val="15"/>
              </w:rPr>
              <w:t>）计入当期损益的对非金融企业收取的资金占用费</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4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5</w:t>
            </w:r>
            <w:r>
              <w:rPr>
                <w:rFonts w:ascii="宋体" w:hAnsi="宋体" w:cs="宋体" w:eastAsia="宋体" w:hint="default"/>
                <w:sz w:val="15"/>
                <w:szCs w:val="15"/>
              </w:rPr>
              <w:t>）企业取得子公司、联营企业及合营企业的投资成本小于取得投资时应享有被投资单</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35"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5"/>
                <w:szCs w:val="15"/>
              </w:rPr>
            </w:pPr>
            <w:r>
              <w:rPr>
                <w:rFonts w:ascii="宋体" w:hAnsi="宋体" w:cs="宋体" w:eastAsia="宋体" w:hint="default"/>
                <w:sz w:val="15"/>
                <w:szCs w:val="15"/>
              </w:rPr>
              <w:t>位可辨认净资产公允价值产生的收益</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64"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6</w:t>
            </w:r>
            <w:r>
              <w:rPr>
                <w:rFonts w:ascii="宋体" w:hAnsi="宋体" w:cs="宋体" w:eastAsia="宋体" w:hint="default"/>
                <w:sz w:val="15"/>
                <w:szCs w:val="15"/>
              </w:rPr>
              <w:t>）非货币性资产交换损益</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6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7</w:t>
            </w:r>
            <w:r>
              <w:rPr>
                <w:rFonts w:ascii="宋体" w:hAnsi="宋体" w:cs="宋体" w:eastAsia="宋体" w:hint="default"/>
                <w:sz w:val="15"/>
                <w:szCs w:val="15"/>
              </w:rPr>
              <w:t>）委托他人投资或管理资产的损益</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6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8</w:t>
            </w:r>
            <w:r>
              <w:rPr>
                <w:rFonts w:ascii="宋体" w:hAnsi="宋体" w:cs="宋体" w:eastAsia="宋体" w:hint="default"/>
                <w:sz w:val="15"/>
                <w:szCs w:val="15"/>
              </w:rPr>
              <w:t>）因不可抗力因素，如遭受自然灾害而计提的各项资产减值准备</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6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9</w:t>
            </w:r>
            <w:r>
              <w:rPr>
                <w:rFonts w:ascii="宋体" w:hAnsi="宋体" w:cs="宋体" w:eastAsia="宋体" w:hint="default"/>
                <w:sz w:val="15"/>
                <w:szCs w:val="15"/>
              </w:rPr>
              <w:t>）债务重组损益</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29,927.40</w:t>
            </w:r>
          </w:p>
        </w:tc>
        <w:tc>
          <w:tcPr>
            <w:tcW w:w="1391" w:type="dxa"/>
            <w:tcBorders>
              <w:top w:val="nil" w:sz="6" w:space="0" w:color="auto"/>
              <w:left w:val="nil" w:sz="6" w:space="0" w:color="auto"/>
              <w:bottom w:val="nil" w:sz="6" w:space="0" w:color="auto"/>
              <w:right w:val="nil" w:sz="6" w:space="0" w:color="auto"/>
            </w:tcBorders>
          </w:tcPr>
          <w:p>
            <w:pPr/>
          </w:p>
        </w:tc>
      </w:tr>
      <w:tr>
        <w:trPr>
          <w:trHeight w:val="36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10</w:t>
            </w:r>
            <w:r>
              <w:rPr>
                <w:rFonts w:ascii="宋体" w:hAnsi="宋体" w:cs="宋体" w:eastAsia="宋体" w:hint="default"/>
                <w:sz w:val="15"/>
                <w:szCs w:val="15"/>
              </w:rPr>
              <w:t>）企业重组费用，如安置职工的支出、整合费用等</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6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11</w:t>
            </w:r>
            <w:r>
              <w:rPr>
                <w:rFonts w:ascii="宋体" w:hAnsi="宋体" w:cs="宋体" w:eastAsia="宋体" w:hint="default"/>
                <w:sz w:val="15"/>
                <w:szCs w:val="15"/>
              </w:rPr>
              <w:t>）交易价格显失公允的交易产生的超过公允价值部分的损益</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6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12</w:t>
            </w:r>
            <w:r>
              <w:rPr>
                <w:rFonts w:ascii="宋体" w:hAnsi="宋体" w:cs="宋体" w:eastAsia="宋体" w:hint="default"/>
                <w:sz w:val="15"/>
                <w:szCs w:val="15"/>
              </w:rPr>
              <w:t>）同一控制下企业合并产生的子公司期初至合并日的当期净损益</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6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13</w:t>
            </w:r>
            <w:r>
              <w:rPr>
                <w:rFonts w:ascii="宋体" w:hAnsi="宋体" w:cs="宋体" w:eastAsia="宋体" w:hint="default"/>
                <w:sz w:val="15"/>
                <w:szCs w:val="15"/>
              </w:rPr>
              <w:t>）与公司正常经营业务无关的或有事项产生的损益</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41"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14</w:t>
            </w:r>
            <w:r>
              <w:rPr>
                <w:rFonts w:ascii="宋体" w:hAnsi="宋体" w:cs="宋体" w:eastAsia="宋体" w:hint="default"/>
                <w:sz w:val="15"/>
                <w:szCs w:val="15"/>
              </w:rPr>
              <w:t>）除同公司正常经营业务相关的有效套期保值业务外，持有交易性金融资产、交易性</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16"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5"/>
                <w:szCs w:val="15"/>
              </w:rPr>
            </w:pPr>
            <w:r>
              <w:rPr>
                <w:rFonts w:ascii="宋体" w:hAnsi="宋体" w:cs="宋体" w:eastAsia="宋体" w:hint="default"/>
                <w:sz w:val="15"/>
                <w:szCs w:val="15"/>
              </w:rPr>
              <w:t>金融负债产生的公允价值变动损益，以及处置交易性金融资产、交易性金融负债和可供出</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4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5"/>
                <w:szCs w:val="15"/>
              </w:rPr>
            </w:pPr>
            <w:r>
              <w:rPr>
                <w:rFonts w:ascii="宋体" w:hAnsi="宋体" w:cs="宋体" w:eastAsia="宋体" w:hint="default"/>
                <w:sz w:val="15"/>
                <w:szCs w:val="15"/>
              </w:rPr>
              <w:t>售金融资产取得的投资收益</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64"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15</w:t>
            </w:r>
            <w:r>
              <w:rPr>
                <w:rFonts w:ascii="宋体" w:hAnsi="宋体" w:cs="宋体" w:eastAsia="宋体" w:hint="default"/>
                <w:sz w:val="15"/>
                <w:szCs w:val="15"/>
              </w:rPr>
              <w:t>）单独进行减值测试的应收款项减值准备转回</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6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16</w:t>
            </w:r>
            <w:r>
              <w:rPr>
                <w:rFonts w:ascii="宋体" w:hAnsi="宋体" w:cs="宋体" w:eastAsia="宋体" w:hint="default"/>
                <w:sz w:val="15"/>
                <w:szCs w:val="15"/>
              </w:rPr>
              <w:t>）对外委托贷款取得的损益</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6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17</w:t>
            </w:r>
            <w:r>
              <w:rPr>
                <w:rFonts w:ascii="宋体" w:hAnsi="宋体" w:cs="宋体" w:eastAsia="宋体" w:hint="default"/>
                <w:sz w:val="15"/>
                <w:szCs w:val="15"/>
              </w:rPr>
              <w:t>）采用公允价值模式进行后续计量的投资性房地产公允价值变动产生的损益</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6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18</w:t>
            </w:r>
            <w:r>
              <w:rPr>
                <w:rFonts w:ascii="宋体" w:hAnsi="宋体" w:cs="宋体" w:eastAsia="宋体" w:hint="default"/>
                <w:sz w:val="15"/>
                <w:szCs w:val="15"/>
              </w:rPr>
              <w:t>）根据税收、会计等法律、法规的要求对当期损益进行一次性调整对当期损益的影响</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6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19</w:t>
            </w:r>
            <w:r>
              <w:rPr>
                <w:rFonts w:ascii="宋体" w:hAnsi="宋体" w:cs="宋体" w:eastAsia="宋体" w:hint="default"/>
                <w:sz w:val="15"/>
                <w:szCs w:val="15"/>
              </w:rPr>
              <w:t>）受托经营取得的托管费收入</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6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w:t>
            </w:r>
            <w:r>
              <w:rPr>
                <w:rFonts w:ascii="宋体" w:hAnsi="宋体" w:cs="宋体" w:eastAsia="宋体" w:hint="default"/>
                <w:sz w:val="15"/>
                <w:szCs w:val="15"/>
              </w:rPr>
              <w:t>）除上述各项之外的其他营业外收入和支出</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5"/>
                <w:szCs w:val="15"/>
              </w:rPr>
            </w:pPr>
            <w:r>
              <w:rPr>
                <w:rFonts w:ascii="Times New Roman"/>
                <w:spacing w:val="-1"/>
                <w:sz w:val="15"/>
              </w:rPr>
              <w:t>-79,829.93</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5"/>
                <w:szCs w:val="15"/>
              </w:rPr>
            </w:pPr>
            <w:r>
              <w:rPr>
                <w:rFonts w:ascii="宋体" w:hAnsi="宋体" w:cs="宋体" w:eastAsia="宋体" w:hint="default"/>
                <w:sz w:val="15"/>
                <w:szCs w:val="15"/>
              </w:rPr>
              <w:t>捐赠支出及其他</w:t>
            </w:r>
          </w:p>
        </w:tc>
      </w:tr>
      <w:tr>
        <w:trPr>
          <w:trHeight w:val="257" w:hRule="exact"/>
        </w:trPr>
        <w:tc>
          <w:tcPr>
            <w:tcW w:w="609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5"/>
                <w:szCs w:val="15"/>
              </w:rPr>
            </w:pPr>
            <w:r>
              <w:rPr>
                <w:rFonts w:ascii="宋体" w:hAnsi="宋体" w:cs="宋体" w:eastAsia="宋体" w:hint="default"/>
                <w:spacing w:val="3"/>
                <w:sz w:val="15"/>
                <w:szCs w:val="15"/>
              </w:rPr>
              <w:t>理财收益及权益法</w:t>
            </w:r>
            <w:r>
              <w:rPr>
                <w:rFonts w:ascii="宋体" w:hAnsi="宋体" w:cs="宋体" w:eastAsia="宋体" w:hint="default"/>
                <w:sz w:val="15"/>
                <w:szCs w:val="15"/>
              </w:rPr>
            </w:r>
          </w:p>
        </w:tc>
      </w:tr>
      <w:tr>
        <w:trPr>
          <w:trHeight w:val="164"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167" w:lineRule="exact"/>
              <w:ind w:left="3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21</w:t>
            </w:r>
            <w:r>
              <w:rPr>
                <w:rFonts w:ascii="宋体" w:hAnsi="宋体" w:cs="宋体" w:eastAsia="宋体" w:hint="default"/>
                <w:sz w:val="15"/>
                <w:szCs w:val="15"/>
              </w:rPr>
              <w:t>）其他符合非经常性损益定义的损益项目</w:t>
            </w:r>
          </w:p>
        </w:tc>
        <w:tc>
          <w:tcPr>
            <w:tcW w:w="1176"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259" w:hRule="exact"/>
        </w:trPr>
        <w:tc>
          <w:tcPr>
            <w:tcW w:w="609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162" w:lineRule="exact"/>
              <w:ind w:right="106"/>
              <w:jc w:val="right"/>
              <w:rPr>
                <w:rFonts w:ascii="Times New Roman" w:hAnsi="Times New Roman" w:cs="Times New Roman" w:eastAsia="Times New Roman" w:hint="default"/>
                <w:sz w:val="15"/>
                <w:szCs w:val="15"/>
              </w:rPr>
            </w:pPr>
            <w:r>
              <w:rPr>
                <w:rFonts w:ascii="Times New Roman"/>
                <w:spacing w:val="-1"/>
                <w:sz w:val="15"/>
              </w:rPr>
              <w:t>2,217,493.50</w:t>
            </w:r>
          </w:p>
        </w:tc>
        <w:tc>
          <w:tcPr>
            <w:tcW w:w="1391" w:type="dxa"/>
            <w:tcBorders>
              <w:top w:val="nil" w:sz="6" w:space="0" w:color="auto"/>
              <w:left w:val="nil" w:sz="6" w:space="0" w:color="auto"/>
              <w:bottom w:val="nil" w:sz="6" w:space="0" w:color="auto"/>
              <w:right w:val="nil" w:sz="6" w:space="0" w:color="auto"/>
            </w:tcBorders>
          </w:tcPr>
          <w:p>
            <w:pPr>
              <w:pStyle w:val="TableParagraph"/>
              <w:spacing w:line="150" w:lineRule="exact"/>
              <w:ind w:left="107" w:right="0"/>
              <w:jc w:val="left"/>
              <w:rPr>
                <w:rFonts w:ascii="宋体" w:hAnsi="宋体" w:cs="宋体" w:eastAsia="宋体" w:hint="default"/>
                <w:sz w:val="15"/>
                <w:szCs w:val="15"/>
              </w:rPr>
            </w:pPr>
            <w:r>
              <w:rPr>
                <w:rFonts w:ascii="宋体" w:hAnsi="宋体" w:cs="宋体" w:eastAsia="宋体" w:hint="default"/>
                <w:sz w:val="15"/>
                <w:szCs w:val="15"/>
              </w:rPr>
              <w:t>投资收益</w:t>
            </w:r>
          </w:p>
        </w:tc>
      </w:tr>
      <w:tr>
        <w:trPr>
          <w:trHeight w:val="36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b/>
                <w:bCs/>
                <w:sz w:val="15"/>
                <w:szCs w:val="15"/>
              </w:rPr>
              <w:t>非经常性损益合计</w:t>
            </w:r>
            <w:r>
              <w:rPr>
                <w:rFonts w:ascii="宋体" w:hAnsi="宋体" w:cs="宋体" w:eastAsia="宋体" w:hint="default"/>
                <w:sz w:val="15"/>
                <w:szCs w:val="15"/>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40,781,889.62</w:t>
            </w:r>
            <w:r>
              <w:rPr>
                <w:rFonts w:ascii="Times New Roman"/>
                <w:spacing w:val="-1"/>
                <w:sz w:val="15"/>
              </w:rPr>
            </w:r>
          </w:p>
        </w:tc>
        <w:tc>
          <w:tcPr>
            <w:tcW w:w="1391" w:type="dxa"/>
            <w:tcBorders>
              <w:top w:val="nil" w:sz="6" w:space="0" w:color="auto"/>
              <w:left w:val="nil" w:sz="6" w:space="0" w:color="auto"/>
              <w:bottom w:val="nil" w:sz="6" w:space="0" w:color="auto"/>
              <w:right w:val="nil" w:sz="6" w:space="0" w:color="auto"/>
            </w:tcBorders>
          </w:tcPr>
          <w:p>
            <w:pPr/>
          </w:p>
        </w:tc>
      </w:tr>
      <w:tr>
        <w:trPr>
          <w:trHeight w:val="36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5"/>
                <w:szCs w:val="15"/>
              </w:rPr>
              <w:t>减：所得税影响金额</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5"/>
                <w:szCs w:val="15"/>
              </w:rPr>
            </w:pPr>
            <w:r>
              <w:rPr>
                <w:rFonts w:ascii="Times New Roman"/>
                <w:spacing w:val="-1"/>
                <w:sz w:val="15"/>
              </w:rPr>
              <w:t>9,647,545.39</w:t>
            </w:r>
          </w:p>
        </w:tc>
        <w:tc>
          <w:tcPr>
            <w:tcW w:w="1391" w:type="dxa"/>
            <w:tcBorders>
              <w:top w:val="nil" w:sz="6" w:space="0" w:color="auto"/>
              <w:left w:val="nil" w:sz="6" w:space="0" w:color="auto"/>
              <w:bottom w:val="nil" w:sz="6" w:space="0" w:color="auto"/>
              <w:right w:val="nil" w:sz="6" w:space="0" w:color="auto"/>
            </w:tcBorders>
          </w:tcPr>
          <w:p>
            <w:pPr/>
          </w:p>
        </w:tc>
      </w:tr>
      <w:tr>
        <w:trPr>
          <w:trHeight w:val="36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b/>
                <w:bCs/>
                <w:sz w:val="15"/>
                <w:szCs w:val="15"/>
              </w:rPr>
              <w:t>扣除所得税影响后的非经常性损益</w:t>
            </w:r>
            <w:r>
              <w:rPr>
                <w:rFonts w:ascii="宋体" w:hAnsi="宋体" w:cs="宋体" w:eastAsia="宋体" w:hint="default"/>
                <w:sz w:val="15"/>
                <w:szCs w:val="15"/>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31,134,344.23</w:t>
            </w:r>
            <w:r>
              <w:rPr>
                <w:rFonts w:ascii="Times New Roman"/>
                <w:spacing w:val="-1"/>
                <w:sz w:val="15"/>
              </w:rPr>
            </w:r>
          </w:p>
        </w:tc>
        <w:tc>
          <w:tcPr>
            <w:tcW w:w="1391" w:type="dxa"/>
            <w:tcBorders>
              <w:top w:val="nil" w:sz="6" w:space="0" w:color="auto"/>
              <w:left w:val="nil" w:sz="6" w:space="0" w:color="auto"/>
              <w:bottom w:val="nil" w:sz="6" w:space="0" w:color="auto"/>
              <w:right w:val="nil" w:sz="6" w:space="0" w:color="auto"/>
            </w:tcBorders>
          </w:tcPr>
          <w:p>
            <w:pPr/>
          </w:p>
        </w:tc>
      </w:tr>
      <w:tr>
        <w:trPr>
          <w:trHeight w:val="36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5"/>
                <w:szCs w:val="15"/>
              </w:rPr>
              <w:t>其中：归属于母公司所有者的非经常性损益</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5"/>
                <w:szCs w:val="15"/>
              </w:rPr>
            </w:pPr>
            <w:r>
              <w:rPr>
                <w:rFonts w:ascii="Times New Roman"/>
                <w:spacing w:val="-1"/>
                <w:sz w:val="15"/>
              </w:rPr>
              <w:t>31,094,319.31</w:t>
            </w:r>
          </w:p>
        </w:tc>
        <w:tc>
          <w:tcPr>
            <w:tcW w:w="1391" w:type="dxa"/>
            <w:tcBorders>
              <w:top w:val="nil" w:sz="6" w:space="0" w:color="auto"/>
              <w:left w:val="nil" w:sz="6" w:space="0" w:color="auto"/>
              <w:bottom w:val="nil" w:sz="6" w:space="0" w:color="auto"/>
              <w:right w:val="nil" w:sz="6" w:space="0" w:color="auto"/>
            </w:tcBorders>
          </w:tcPr>
          <w:p>
            <w:pPr/>
          </w:p>
        </w:tc>
      </w:tr>
      <w:tr>
        <w:trPr>
          <w:trHeight w:val="360" w:hRule="exact"/>
        </w:trPr>
        <w:tc>
          <w:tcPr>
            <w:tcW w:w="6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5"/>
                <w:szCs w:val="15"/>
              </w:rPr>
            </w:pPr>
            <w:r>
              <w:rPr>
                <w:rFonts w:ascii="宋体" w:hAnsi="宋体" w:cs="宋体" w:eastAsia="宋体" w:hint="default"/>
                <w:sz w:val="15"/>
                <w:szCs w:val="15"/>
              </w:rPr>
              <w:t>归属于少数股东的非经常性损益</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40,024.92</w:t>
            </w:r>
          </w:p>
        </w:tc>
        <w:tc>
          <w:tcPr>
            <w:tcW w:w="1391"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79" w:top="1480" w:bottom="1160" w:left="1440" w:right="14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spacing w:before="0"/>
        <w:ind w:left="2667" w:right="0" w:firstLine="0"/>
        <w:jc w:val="left"/>
        <w:rPr>
          <w:rFonts w:ascii="宋体" w:hAnsi="宋体" w:cs="宋体" w:eastAsia="宋体" w:hint="default"/>
          <w:sz w:val="32"/>
          <w:szCs w:val="32"/>
        </w:rPr>
      </w:pPr>
      <w:r>
        <w:rPr>
          <w:rFonts w:ascii="宋体" w:hAnsi="宋体" w:cs="宋体" w:eastAsia="宋体" w:hint="default"/>
          <w:b/>
          <w:bCs/>
          <w:sz w:val="32"/>
          <w:szCs w:val="32"/>
        </w:rPr>
        <w:t>第十一节备查文件目录</w:t>
      </w:r>
      <w:r>
        <w:rPr>
          <w:rFonts w:ascii="宋体" w:hAnsi="宋体" w:cs="宋体" w:eastAsia="宋体" w:hint="default"/>
          <w:sz w:val="32"/>
          <w:szCs w:val="32"/>
        </w:rPr>
      </w:r>
    </w:p>
    <w:p>
      <w:pPr>
        <w:spacing w:line="240" w:lineRule="auto" w:before="11"/>
        <w:rPr>
          <w:rFonts w:ascii="宋体" w:hAnsi="宋体" w:cs="宋体" w:eastAsia="宋体" w:hint="default"/>
          <w:b/>
          <w:bCs/>
          <w:sz w:val="44"/>
          <w:szCs w:val="44"/>
        </w:rPr>
      </w:pPr>
    </w:p>
    <w:p>
      <w:pPr>
        <w:pStyle w:val="Heading4"/>
        <w:spacing w:line="357" w:lineRule="auto"/>
        <w:ind w:right="106" w:firstLine="479"/>
        <w:jc w:val="left"/>
      </w:pPr>
      <w:r>
        <w:rPr>
          <w:spacing w:val="-3"/>
        </w:rPr>
        <w:t>一、载有公司法定代表人、主管会计工作负责人、会计机构负责人签名并盖</w:t>
      </w:r>
      <w:r>
        <w:rPr/>
        <w:t> 章的会计报表。</w:t>
      </w:r>
    </w:p>
    <w:p>
      <w:pPr>
        <w:pStyle w:val="Heading4"/>
        <w:spacing w:line="357" w:lineRule="auto" w:before="36"/>
        <w:ind w:left="600" w:right="105"/>
        <w:jc w:val="left"/>
      </w:pPr>
      <w:r>
        <w:rPr/>
        <w:t>二、载有会计师事务所盖章，注册会计师签名并盖章的审计报告原件。 </w:t>
      </w:r>
      <w:r>
        <w:rPr>
          <w:spacing w:val="-3"/>
        </w:rPr>
        <w:t>三、报告期内在中国证监会指定报纸上公开披露过的所有公司文件正本的原</w:t>
      </w:r>
    </w:p>
    <w:p>
      <w:pPr>
        <w:pStyle w:val="Heading4"/>
        <w:spacing w:line="240" w:lineRule="auto" w:before="36"/>
        <w:ind w:right="0"/>
        <w:jc w:val="left"/>
      </w:pPr>
      <w:r>
        <w:rPr/>
        <w:t>稿。</w:t>
      </w:r>
    </w:p>
    <w:p>
      <w:pPr>
        <w:pStyle w:val="Heading4"/>
        <w:spacing w:line="357" w:lineRule="auto" w:before="154"/>
        <w:ind w:left="600" w:right="3606"/>
        <w:jc w:val="left"/>
      </w:pPr>
      <w:r>
        <w:rPr/>
        <w:t>四、其他相关文件。 以上文件的备置地点：公司董事会秘书处</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5"/>
          <w:szCs w:val="25"/>
        </w:rPr>
      </w:pPr>
    </w:p>
    <w:p>
      <w:pPr>
        <w:pStyle w:val="Heading4"/>
        <w:spacing w:line="240" w:lineRule="auto"/>
        <w:ind w:left="5981" w:right="125"/>
        <w:jc w:val="center"/>
      </w:pPr>
      <w:r>
        <w:rPr/>
        <w:t>天舟文化股份有限公司</w:t>
      </w:r>
    </w:p>
    <w:p>
      <w:pPr>
        <w:pStyle w:val="Heading4"/>
        <w:spacing w:line="297" w:lineRule="auto" w:before="154"/>
        <w:ind w:left="5981" w:right="123"/>
        <w:jc w:val="center"/>
      </w:pPr>
      <w:r>
        <w:rPr/>
        <w:t>董事长：肖志鸿 二〇一六年三月五日</w:t>
      </w:r>
    </w:p>
    <w:sectPr>
      <w:pgSz w:w="11910" w:h="16840"/>
      <w:pgMar w:header="0" w:footer="979" w:top="1580" w:bottom="11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4"/>
        <w:szCs w:val="14"/>
      </w:rPr>
    </w:pPr>
    <w:r>
      <w:rPr/>
      <w:pict>
        <v:shapetype id="_x0000_t202" o:spt="202" coordsize="21600,21600" path="m,l,21600r21600,l21600,xe">
          <v:stroke joinstyle="miter"/>
          <v:path gradientshapeok="t" o:connecttype="rect"/>
        </v:shapetype>
        <v:shape style="position:absolute;margin-left:294.809998pt;margin-top:779.797913pt;width:13.15pt;height:13.2pt;mso-position-horizontal-relative:page;mso-position-vertical-relative:page;z-index:-1039192" type="#_x0000_t202" filled="false" stroked="false">
          <v:textbox inset="0,0,0,0">
            <w:txbxContent>
              <w:p>
                <w:pPr>
                  <w:pStyle w:val="BodyText"/>
                  <w:spacing w:line="240" w:lineRule="auto" w:before="4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4.809998pt;margin-top:781.957947pt;width:13.15pt;height:11pt;mso-position-horizontal-relative:page;mso-position-vertical-relative:page;z-index:-1039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42</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209991pt;margin-top:781.957947pt;width:16.75pt;height:11pt;mso-position-horizontal-relative:page;mso-position-vertical-relative:page;z-index:-1039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75</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81.957947pt;width:15.7pt;height:11pt;mso-position-horizontal-relative:page;mso-position-vertical-relative:page;z-index:-10391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1.957947pt;width:17.7pt;height:11pt;mso-position-horizontal-relative:page;mso-position-vertical-relative:page;z-index:-10390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01"/>
      <w:ind w:left="163"/>
    </w:pPr>
    <w:rPr>
      <w:rFonts w:ascii="宋体" w:hAnsi="宋体" w:eastAsia="宋体"/>
      <w:sz w:val="21"/>
      <w:szCs w:val="21"/>
    </w:rPr>
  </w:style>
  <w:style w:styleId="BodyText" w:type="paragraph">
    <w:name w:val="Body Text"/>
    <w:basedOn w:val="Normal"/>
    <w:uiPriority w:val="1"/>
    <w:qFormat/>
    <w:pPr>
      <w:ind w:left="120"/>
    </w:pPr>
    <w:rPr>
      <w:rFonts w:ascii="宋体" w:hAnsi="宋体" w:eastAsia="宋体"/>
      <w:sz w:val="18"/>
      <w:szCs w:val="18"/>
    </w:rPr>
  </w:style>
  <w:style w:styleId="Heading1" w:type="paragraph">
    <w:name w:val="Heading 1"/>
    <w:basedOn w:val="Normal"/>
    <w:uiPriority w:val="1"/>
    <w:qFormat/>
    <w:pPr>
      <w:ind w:left="3132"/>
      <w:outlineLvl w:val="1"/>
    </w:pPr>
    <w:rPr>
      <w:rFonts w:ascii="宋体" w:hAnsi="宋体" w:eastAsia="宋体"/>
      <w:b/>
      <w:bCs/>
      <w:sz w:val="32"/>
      <w:szCs w:val="32"/>
    </w:rPr>
  </w:style>
  <w:style w:styleId="Heading2" w:type="paragraph">
    <w:name w:val="Heading 2"/>
    <w:basedOn w:val="Normal"/>
    <w:uiPriority w:val="1"/>
    <w:qFormat/>
    <w:pPr>
      <w:ind w:left="2116"/>
      <w:outlineLvl w:val="2"/>
    </w:pPr>
    <w:rPr>
      <w:rFonts w:ascii="宋体" w:hAnsi="宋体" w:eastAsia="宋体"/>
      <w:b/>
      <w:bCs/>
      <w:sz w:val="30"/>
      <w:szCs w:val="30"/>
    </w:rPr>
  </w:style>
  <w:style w:styleId="Heading3" w:type="paragraph">
    <w:name w:val="Heading 3"/>
    <w:basedOn w:val="Normal"/>
    <w:uiPriority w:val="1"/>
    <w:qFormat/>
    <w:pPr>
      <w:ind w:left="683"/>
      <w:outlineLvl w:val="3"/>
    </w:pPr>
    <w:rPr>
      <w:rFonts w:ascii="宋体" w:hAnsi="宋体" w:eastAsia="宋体"/>
      <w:b/>
      <w:bCs/>
      <w:sz w:val="24"/>
      <w:szCs w:val="24"/>
    </w:rPr>
  </w:style>
  <w:style w:styleId="Heading4" w:type="paragraph">
    <w:name w:val="Heading 4"/>
    <w:basedOn w:val="Normal"/>
    <w:uiPriority w:val="1"/>
    <w:qFormat/>
    <w:pPr>
      <w:ind w:left="120"/>
      <w:outlineLvl w:val="4"/>
    </w:pPr>
    <w:rPr>
      <w:rFonts w:ascii="宋体" w:hAnsi="宋体" w:eastAsia="宋体"/>
      <w:sz w:val="24"/>
      <w:szCs w:val="24"/>
    </w:rPr>
  </w:style>
  <w:style w:styleId="Heading5" w:type="paragraph">
    <w:name w:val="Heading 5"/>
    <w:basedOn w:val="Normal"/>
    <w:uiPriority w:val="1"/>
    <w:qFormat/>
    <w:pPr>
      <w:ind w:left="823"/>
      <w:outlineLvl w:val="5"/>
    </w:pPr>
    <w:rPr>
      <w:rFonts w:ascii="宋体" w:hAnsi="宋体" w:eastAsia="宋体"/>
      <w:b/>
      <w:bCs/>
      <w:sz w:val="21"/>
      <w:szCs w:val="21"/>
    </w:rPr>
  </w:style>
  <w:style w:styleId="Heading6" w:type="paragraph">
    <w:name w:val="Heading 6"/>
    <w:basedOn w:val="Normal"/>
    <w:uiPriority w:val="1"/>
    <w:qFormat/>
    <w:pPr>
      <w:ind w:left="163"/>
      <w:outlineLvl w:val="6"/>
    </w:pPr>
    <w:rPr>
      <w:rFonts w:ascii="宋体" w:hAnsi="宋体" w:eastAsia="宋体"/>
      <w:sz w:val="21"/>
      <w:szCs w:val="21"/>
    </w:rPr>
  </w:style>
  <w:style w:styleId="Heading7" w:type="paragraph">
    <w:name w:val="Heading 7"/>
    <w:basedOn w:val="Normal"/>
    <w:uiPriority w:val="1"/>
    <w:qFormat/>
    <w:pPr>
      <w:ind w:left="521"/>
      <w:outlineLvl w:val="7"/>
    </w:pPr>
    <w:rPr>
      <w:rFonts w:ascii="宋体" w:hAnsi="宋体" w:eastAsia="宋体"/>
      <w:sz w:val="20"/>
      <w:szCs w:val="20"/>
    </w:rPr>
  </w:style>
  <w:style w:styleId="Heading8" w:type="paragraph">
    <w:name w:val="Heading 8"/>
    <w:basedOn w:val="Normal"/>
    <w:uiPriority w:val="1"/>
    <w:qFormat/>
    <w:pPr>
      <w:outlineLvl w:val="8"/>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t-angel.com/" TargetMode="External"/><Relationship Id="rId8" Type="http://schemas.openxmlformats.org/officeDocument/2006/relationships/hyperlink" Target="mailto:tangeldm@126.com" TargetMode="External"/><Relationship Id="rId9" Type="http://schemas.openxmlformats.org/officeDocument/2006/relationships/hyperlink" Target="http://www.cninfo.com.cn/" TargetMode="External"/><Relationship Id="rId10" Type="http://schemas.openxmlformats.org/officeDocument/2006/relationships/hyperlink" Target="http://www.cs.com.cn/" TargetMode="External"/><Relationship Id="rId11" Type="http://schemas.openxmlformats.org/officeDocument/2006/relationships/hyperlink" Target="http://www.stcn.com/" TargetMode="External"/><Relationship Id="rId12" Type="http://schemas.openxmlformats.org/officeDocument/2006/relationships/hyperlink" Target="http://www.cnstock.com/" TargetMode="External"/><Relationship Id="rId13" Type="http://schemas.openxmlformats.org/officeDocument/2006/relationships/hyperlink" Target="http://www.ccstock.cn/" TargetMode="Externa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jpeg"/><Relationship Id="rId20" Type="http://schemas.openxmlformats.org/officeDocument/2006/relationships/hyperlink" Target="http://w/" TargetMode="External"/><Relationship Id="rId21" Type="http://schemas.openxmlformats.org/officeDocument/2006/relationships/footer" Target="footer2.xml"/><Relationship Id="rId22" Type="http://schemas.openxmlformats.org/officeDocument/2006/relationships/image" Target="media/image8.jpeg"/><Relationship Id="rId23" Type="http://schemas.openxmlformats.org/officeDocument/2006/relationships/footer" Target="footer3.xml"/><Relationship Id="rId24" Type="http://schemas.openxmlformats.org/officeDocument/2006/relationships/hyperlink" Target="http://www.cninfo.co/" TargetMode="External"/><Relationship Id="rId25" Type="http://schemas.openxmlformats.org/officeDocument/2006/relationships/footer" Target="footer4.xml"/><Relationship Id="rId26" Type="http://schemas.openxmlformats.org/officeDocument/2006/relationships/footer" Target="footer5.xml"/><Relationship Id="rId27" Type="http://schemas.openxmlformats.org/officeDocument/2006/relationships/hyperlink" Target="http://www.baidu.com/s?wd=%E8%8B%B1%E5%B1%9E%E7%BB%B4%E5%B0%94%E4%BA%AC%E7%BE%A4%E5%B2%9B&amp;amp;hl_tag=textlink&amp;amp;tn=SE_hldp01350_v6v6zkg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dcterms:created xsi:type="dcterms:W3CDTF">2020-05-04T16:00:09Z</dcterms:created>
  <dcterms:modified xsi:type="dcterms:W3CDTF">2020-05-04T16:00:09Z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2016-03-04T00:00:00Z</vt:filetime>
  </property>
  <property fmtid="{D5CDD505-2E9C-101B-9397-08002B2CF9AE}" pid="3" name="Creator">
    <vt:lpwstr>Microsoft® Office Word 2007</vt:lpwstr>
  </property>
  <property fmtid="{D5CDD505-2E9C-101B-9397-08002B2CF9AE}" pid="4" name="LastSaved">
    <vt:filetime>2020-05-04T00:00:00Z</vt:filetime>
  </property>
</Properties>
</file>